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E0A20" w14:textId="77777777" w:rsidR="003E02AC" w:rsidRDefault="000E24D0" w:rsidP="00E61884">
      <w:pPr>
        <w:pStyle w:val="Casestudynumber"/>
        <w:rPr>
          <w:color w:val="245266"/>
          <w:sz w:val="74"/>
          <w:szCs w:val="74"/>
        </w:rPr>
      </w:pPr>
      <w:bookmarkStart w:id="0" w:name="_GoBack"/>
      <w:bookmarkEnd w:id="0"/>
      <w:r w:rsidRPr="00D15CC6">
        <w:t xml:space="preserve">case </w:t>
      </w:r>
      <w:r w:rsidRPr="00E61884">
        <w:t>study</w:t>
      </w:r>
      <w:r>
        <w:rPr>
          <w:color w:val="FFFFFF"/>
        </w:rPr>
        <w:t xml:space="preserve"> </w:t>
      </w:r>
      <w:r>
        <w:rPr>
          <w:rStyle w:val="A4"/>
        </w:rPr>
        <w:t>3.1</w:t>
      </w:r>
      <w:r>
        <w:rPr>
          <w:color w:val="FFFFFF"/>
        </w:rPr>
        <w:t xml:space="preserve"> </w:t>
      </w:r>
      <w:r>
        <w:rPr>
          <w:color w:val="245266"/>
        </w:rPr>
        <w:t>solution</w:t>
      </w:r>
    </w:p>
    <w:p w14:paraId="242744B2" w14:textId="77777777" w:rsidR="003E02AC" w:rsidRDefault="000E24D0" w:rsidP="008F356F">
      <w:pPr>
        <w:pStyle w:val="CasestudyHead"/>
      </w:pPr>
      <w:r>
        <w:t>Telecom Corporation of New Zealand Limited</w:t>
      </w:r>
      <w:r w:rsidR="00762DC9">
        <w:t xml:space="preserve"> </w:t>
      </w:r>
      <w:r>
        <w:t>Balance Sheet</w:t>
      </w:r>
    </w:p>
    <w:p w14:paraId="118316B1" w14:textId="77777777" w:rsidR="00043E87" w:rsidRDefault="00043E87" w:rsidP="00714BFA">
      <w:pPr>
        <w:pStyle w:val="Source"/>
        <w:spacing w:after="100"/>
      </w:pPr>
      <w:r>
        <w:rPr>
          <w:noProof/>
          <w:lang w:val="en-GB" w:eastAsia="en-GB"/>
        </w:rPr>
        <w:drawing>
          <wp:inline distT="0" distB="0" distL="0" distR="0" wp14:anchorId="20235871" wp14:editId="0704B68E">
            <wp:extent cx="5194935" cy="5742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5511" cy="5743576"/>
                    </a:xfrm>
                    <a:prstGeom prst="rect">
                      <a:avLst/>
                    </a:prstGeom>
                    <a:noFill/>
                    <a:ln>
                      <a:noFill/>
                    </a:ln>
                  </pic:spPr>
                </pic:pic>
              </a:graphicData>
            </a:graphic>
          </wp:inline>
        </w:drawing>
      </w:r>
    </w:p>
    <w:p w14:paraId="6D0A365A" w14:textId="77777777" w:rsidR="00043E87" w:rsidRDefault="00043E87" w:rsidP="00714BFA">
      <w:pPr>
        <w:pStyle w:val="Source"/>
        <w:spacing w:after="100"/>
      </w:pPr>
    </w:p>
    <w:p w14:paraId="3BD4016C" w14:textId="77777777" w:rsidR="003E02AC" w:rsidRDefault="000E24D0" w:rsidP="00714BFA">
      <w:pPr>
        <w:pStyle w:val="Source"/>
        <w:spacing w:after="100"/>
      </w:pPr>
      <w:r>
        <w:t xml:space="preserve">SOURCE: </w:t>
      </w:r>
      <w:r w:rsidRPr="00387967">
        <w:rPr>
          <w:i/>
          <w:iCs/>
        </w:rPr>
        <w:t>Telecom Corporation of New Z</w:t>
      </w:r>
      <w:r w:rsidR="00043E87">
        <w:rPr>
          <w:i/>
          <w:iCs/>
        </w:rPr>
        <w:t>ealand Limited Annual Report 2013</w:t>
      </w:r>
      <w:r w:rsidR="00043E87">
        <w:t>, p. 7</w:t>
      </w:r>
      <w:r>
        <w:t xml:space="preserve">7. </w:t>
      </w:r>
    </w:p>
    <w:p w14:paraId="4F476746" w14:textId="77777777" w:rsidR="00043E87" w:rsidRDefault="00043E87" w:rsidP="008F356F">
      <w:pPr>
        <w:pStyle w:val="QHead"/>
      </w:pPr>
    </w:p>
    <w:p w14:paraId="0151B682" w14:textId="77777777" w:rsidR="003E02AC" w:rsidRDefault="000E24D0" w:rsidP="008F356F">
      <w:pPr>
        <w:pStyle w:val="QHead"/>
      </w:pPr>
      <w:r>
        <w:t>Questions</w:t>
      </w:r>
    </w:p>
    <w:p w14:paraId="36D3570B" w14:textId="77777777" w:rsidR="003E02AC" w:rsidRPr="00BE3708" w:rsidRDefault="000E24D0" w:rsidP="000827E3">
      <w:pPr>
        <w:pStyle w:val="NumberedL1"/>
        <w:rPr>
          <w:color w:val="auto"/>
        </w:rPr>
      </w:pPr>
      <w:r>
        <w:t>1</w:t>
      </w:r>
      <w:r>
        <w:tab/>
      </w:r>
      <w:r w:rsidRPr="00BE3708">
        <w:rPr>
          <w:color w:val="auto"/>
        </w:rPr>
        <w:t xml:space="preserve">Figures are provided for both ‘Telecom Corporation of New Zealand Group’ and ‘Telecom Corporation of New Zealand Parent’. </w:t>
      </w:r>
    </w:p>
    <w:p w14:paraId="64BF1537" w14:textId="77777777" w:rsidR="003E02AC" w:rsidRPr="00BE3708" w:rsidRDefault="000E24D0" w:rsidP="00E61884">
      <w:pPr>
        <w:pStyle w:val="NumberedL2"/>
        <w:rPr>
          <w:color w:val="auto"/>
        </w:rPr>
      </w:pPr>
      <w:r w:rsidRPr="00BE3708">
        <w:rPr>
          <w:color w:val="auto"/>
        </w:rPr>
        <w:t>(a)</w:t>
      </w:r>
      <w:r w:rsidR="000827E3" w:rsidRPr="00BE3708">
        <w:rPr>
          <w:color w:val="auto"/>
        </w:rPr>
        <w:tab/>
      </w:r>
      <w:r w:rsidRPr="00BE3708">
        <w:rPr>
          <w:color w:val="auto"/>
        </w:rPr>
        <w:t xml:space="preserve">What is the difference between these two entities? </w:t>
      </w:r>
    </w:p>
    <w:p w14:paraId="119DCA95" w14:textId="77777777" w:rsidR="003E02AC" w:rsidRPr="00BE3708" w:rsidRDefault="000E24D0" w:rsidP="006E525A">
      <w:pPr>
        <w:pStyle w:val="NumberedL2text"/>
        <w:rPr>
          <w:color w:val="auto"/>
        </w:rPr>
      </w:pPr>
      <w:r w:rsidRPr="00BE3708">
        <w:rPr>
          <w:color w:val="auto"/>
        </w:rPr>
        <w:t>Telecom Corporation of New Zealand Parent represents the parent, holding or controlling company’s report. It is the report of a single legal entity that has controlling interests in a number of other companies within the group.</w:t>
      </w:r>
    </w:p>
    <w:p w14:paraId="6D71634F" w14:textId="77777777" w:rsidR="003E02AC" w:rsidRPr="00BE3708" w:rsidRDefault="000E24D0" w:rsidP="009364B1">
      <w:pPr>
        <w:pStyle w:val="NumberedL2textind"/>
        <w:ind w:left="720" w:firstLine="360"/>
        <w:rPr>
          <w:rFonts w:ascii="Cochin" w:hAnsi="Cochin" w:cs="Cochin"/>
          <w:sz w:val="20"/>
          <w:szCs w:val="20"/>
        </w:rPr>
      </w:pPr>
      <w:r w:rsidRPr="00BE3708">
        <w:rPr>
          <w:rFonts w:ascii="Cochin" w:hAnsi="Cochin" w:cs="Cochin"/>
          <w:sz w:val="20"/>
          <w:szCs w:val="20"/>
        </w:rPr>
        <w:t>Telecom Corporation of New Zealand Group represents the financial position of the economic entity comprising the holding or parent company and all other subsidiary entities within the group (those where the holding or parent company has direct or indirect control).</w:t>
      </w:r>
    </w:p>
    <w:p w14:paraId="31FBBBD8" w14:textId="77777777" w:rsidR="003E02AC" w:rsidRPr="00BE3708" w:rsidRDefault="000E24D0" w:rsidP="00E61884">
      <w:pPr>
        <w:pStyle w:val="NumberedL2"/>
        <w:rPr>
          <w:color w:val="auto"/>
        </w:rPr>
      </w:pPr>
      <w:r w:rsidRPr="00BE3708">
        <w:rPr>
          <w:color w:val="auto"/>
        </w:rPr>
        <w:t>(b)</w:t>
      </w:r>
      <w:r w:rsidR="000827E3" w:rsidRPr="00BE3708">
        <w:rPr>
          <w:color w:val="auto"/>
        </w:rPr>
        <w:tab/>
      </w:r>
      <w:r w:rsidRPr="00BE3708">
        <w:rPr>
          <w:color w:val="auto"/>
        </w:rPr>
        <w:t xml:space="preserve">Why are the two sets of figures provided? </w:t>
      </w:r>
    </w:p>
    <w:p w14:paraId="216227E9" w14:textId="77777777" w:rsidR="003E02AC" w:rsidRPr="00BE3708" w:rsidRDefault="000E24D0" w:rsidP="006E525A">
      <w:pPr>
        <w:pStyle w:val="NumberedL2text"/>
        <w:rPr>
          <w:color w:val="auto"/>
        </w:rPr>
      </w:pPr>
      <w:r w:rsidRPr="00BE3708">
        <w:rPr>
          <w:color w:val="auto"/>
        </w:rPr>
        <w:t xml:space="preserve">Two sets of figures are provided to show the balance sheet of the holding company Telecom Corporation of New Zealand Parent as a separate entity and subsequently the balance sheet for the overall Telecom Corporation of New Zealand Group to include all interests of subsidiaries. </w:t>
      </w:r>
    </w:p>
    <w:p w14:paraId="4DA1D256" w14:textId="77777777" w:rsidR="003E02AC" w:rsidRPr="00BE3708" w:rsidRDefault="000E24D0" w:rsidP="000827E3">
      <w:pPr>
        <w:pStyle w:val="NumberedL1"/>
        <w:rPr>
          <w:color w:val="auto"/>
        </w:rPr>
      </w:pPr>
      <w:r w:rsidRPr="00BE3708">
        <w:rPr>
          <w:color w:val="auto"/>
        </w:rPr>
        <w:t>2</w:t>
      </w:r>
      <w:r w:rsidRPr="00BE3708">
        <w:rPr>
          <w:color w:val="auto"/>
        </w:rPr>
        <w:tab/>
        <w:t xml:space="preserve">The assets are classified as ‘current’ and ‘non-current’. </w:t>
      </w:r>
    </w:p>
    <w:p w14:paraId="540F0C07" w14:textId="77777777" w:rsidR="003E02AC" w:rsidRPr="00BE3708" w:rsidRDefault="000E24D0" w:rsidP="00E61884">
      <w:pPr>
        <w:pStyle w:val="NumberedL2"/>
        <w:rPr>
          <w:color w:val="auto"/>
        </w:rPr>
      </w:pPr>
      <w:r w:rsidRPr="00BE3708">
        <w:rPr>
          <w:color w:val="auto"/>
        </w:rPr>
        <w:t>(a)</w:t>
      </w:r>
      <w:r w:rsidR="000827E3" w:rsidRPr="00BE3708">
        <w:rPr>
          <w:color w:val="auto"/>
        </w:rPr>
        <w:tab/>
      </w:r>
      <w:r w:rsidRPr="00BE3708">
        <w:rPr>
          <w:color w:val="auto"/>
        </w:rPr>
        <w:t xml:space="preserve">What is the difference between these two categories? </w:t>
      </w:r>
    </w:p>
    <w:p w14:paraId="604D39C3" w14:textId="1DB8CC49" w:rsidR="003E02AC" w:rsidRPr="00BE3708" w:rsidRDefault="000E24D0" w:rsidP="006E525A">
      <w:pPr>
        <w:pStyle w:val="NumberedL2text"/>
        <w:rPr>
          <w:color w:val="auto"/>
        </w:rPr>
      </w:pPr>
      <w:r w:rsidRPr="00BE3708">
        <w:rPr>
          <w:color w:val="auto"/>
        </w:rPr>
        <w:t xml:space="preserve">Current assets represent those assets that are in the form of cash, or will be converted to cash or fully used up or realised within either the next accounting cycle period or </w:t>
      </w:r>
      <w:r w:rsidR="000D523C">
        <w:rPr>
          <w:color w:val="auto"/>
        </w:rPr>
        <w:t>12</w:t>
      </w:r>
      <w:r w:rsidRPr="00BE3708">
        <w:rPr>
          <w:color w:val="auto"/>
        </w:rPr>
        <w:t xml:space="preserve"> months. Non-current assets are those that will not be converted to cash or fully used up or realised within the next </w:t>
      </w:r>
      <w:r w:rsidR="000D523C">
        <w:rPr>
          <w:color w:val="auto"/>
        </w:rPr>
        <w:t>12</w:t>
      </w:r>
      <w:r w:rsidRPr="00BE3708">
        <w:rPr>
          <w:color w:val="auto"/>
        </w:rPr>
        <w:t xml:space="preserve"> months or operating cycle period.</w:t>
      </w:r>
    </w:p>
    <w:p w14:paraId="0DADEA26" w14:textId="77777777" w:rsidR="003E02AC" w:rsidRPr="00BE3708" w:rsidRDefault="000E24D0" w:rsidP="00E61884">
      <w:pPr>
        <w:pStyle w:val="NumberedL2"/>
        <w:rPr>
          <w:color w:val="auto"/>
        </w:rPr>
      </w:pPr>
      <w:r w:rsidRPr="00BE3708">
        <w:rPr>
          <w:color w:val="auto"/>
        </w:rPr>
        <w:t>(b)</w:t>
      </w:r>
      <w:r w:rsidR="000827E3" w:rsidRPr="00BE3708">
        <w:rPr>
          <w:color w:val="auto"/>
        </w:rPr>
        <w:tab/>
      </w:r>
      <w:r w:rsidRPr="00BE3708">
        <w:rPr>
          <w:color w:val="auto"/>
        </w:rPr>
        <w:t xml:space="preserve">How else could the assets be classified? </w:t>
      </w:r>
    </w:p>
    <w:p w14:paraId="63FC7464" w14:textId="77777777" w:rsidR="003E02AC" w:rsidRPr="00BE3708" w:rsidRDefault="000E24D0" w:rsidP="006E525A">
      <w:pPr>
        <w:pStyle w:val="NumberedL2text"/>
        <w:rPr>
          <w:color w:val="auto"/>
        </w:rPr>
      </w:pPr>
      <w:r w:rsidRPr="00BE3708">
        <w:rPr>
          <w:color w:val="auto"/>
        </w:rPr>
        <w:t>An acceptable alternative, providing it provides more relevant information, is to classify the assets in order of liquidity (the speed with which non-cash assets can be converted to cash).</w:t>
      </w:r>
    </w:p>
    <w:p w14:paraId="670A1032" w14:textId="77777777" w:rsidR="003E02AC" w:rsidRPr="00BE3708" w:rsidRDefault="000E24D0" w:rsidP="000827E3">
      <w:pPr>
        <w:pStyle w:val="NumberedL1"/>
        <w:rPr>
          <w:color w:val="auto"/>
        </w:rPr>
      </w:pPr>
      <w:r w:rsidRPr="00BE3708">
        <w:rPr>
          <w:color w:val="auto"/>
        </w:rPr>
        <w:t>3</w:t>
      </w:r>
      <w:r w:rsidRPr="00BE3708">
        <w:rPr>
          <w:color w:val="auto"/>
        </w:rPr>
        <w:tab/>
        <w:t xml:space="preserve">What sort of items would be included in the inventory of ‘Telecom Corporation of New Zealand Group’? </w:t>
      </w:r>
    </w:p>
    <w:p w14:paraId="081C2F46" w14:textId="5581C1A5" w:rsidR="003E02AC" w:rsidRPr="00BE3708" w:rsidRDefault="000E24D0" w:rsidP="000D341C">
      <w:pPr>
        <w:pStyle w:val="NumberedL1Text"/>
        <w:rPr>
          <w:color w:val="auto"/>
        </w:rPr>
      </w:pPr>
      <w:r w:rsidRPr="00BE3708">
        <w:rPr>
          <w:color w:val="auto"/>
        </w:rPr>
        <w:t>Inventory refers to raw material used in the production process, work or goods in process (partly produced), finished goods for sale (merchandise) or use</w:t>
      </w:r>
      <w:r w:rsidR="000D523C">
        <w:rPr>
          <w:color w:val="auto"/>
        </w:rPr>
        <w:t>,</w:t>
      </w:r>
      <w:r w:rsidRPr="00BE3708">
        <w:rPr>
          <w:color w:val="auto"/>
        </w:rPr>
        <w:t xml:space="preserve"> and consumable stores.</w:t>
      </w:r>
    </w:p>
    <w:p w14:paraId="3C4E537E" w14:textId="77777777" w:rsidR="003E02AC" w:rsidRPr="00BE3708" w:rsidRDefault="000E24D0" w:rsidP="006E525A">
      <w:pPr>
        <w:pStyle w:val="NumberedL2text"/>
        <w:rPr>
          <w:color w:val="auto"/>
        </w:rPr>
      </w:pPr>
      <w:r w:rsidRPr="00BE3708">
        <w:rPr>
          <w:color w:val="auto"/>
        </w:rPr>
        <w:t>In the case of Telecom you could identify possible items within each class:</w:t>
      </w:r>
    </w:p>
    <w:p w14:paraId="23E5D20E" w14:textId="77C1A8AE" w:rsidR="003E02AC" w:rsidRPr="00BE3708" w:rsidRDefault="000E24D0" w:rsidP="00056E2A">
      <w:pPr>
        <w:pStyle w:val="bulletedlist3"/>
        <w:rPr>
          <w:color w:val="auto"/>
        </w:rPr>
      </w:pPr>
      <w:r w:rsidRPr="00BE3708">
        <w:rPr>
          <w:color w:val="auto"/>
        </w:rPr>
        <w:t>•</w:t>
      </w:r>
      <w:r w:rsidRPr="00BE3708">
        <w:rPr>
          <w:color w:val="auto"/>
        </w:rPr>
        <w:tab/>
      </w:r>
      <w:proofErr w:type="gramStart"/>
      <w:r w:rsidR="000D523C">
        <w:rPr>
          <w:color w:val="auto"/>
        </w:rPr>
        <w:t>m</w:t>
      </w:r>
      <w:r w:rsidRPr="00BE3708">
        <w:rPr>
          <w:color w:val="auto"/>
        </w:rPr>
        <w:t>aintenance</w:t>
      </w:r>
      <w:proofErr w:type="gramEnd"/>
      <w:r w:rsidR="00056E2A" w:rsidRPr="00BE3708">
        <w:rPr>
          <w:color w:val="auto"/>
        </w:rPr>
        <w:t xml:space="preserve"> </w:t>
      </w:r>
      <w:r w:rsidRPr="00BE3708">
        <w:rPr>
          <w:color w:val="auto"/>
        </w:rPr>
        <w:t>materials</w:t>
      </w:r>
      <w:r w:rsidR="00056E2A" w:rsidRPr="00BE3708">
        <w:rPr>
          <w:color w:val="auto"/>
        </w:rPr>
        <w:t xml:space="preserve"> </w:t>
      </w:r>
      <w:r w:rsidRPr="00BE3708">
        <w:rPr>
          <w:color w:val="auto"/>
        </w:rPr>
        <w:t>and</w:t>
      </w:r>
      <w:r w:rsidR="00056E2A" w:rsidRPr="00BE3708">
        <w:rPr>
          <w:color w:val="auto"/>
        </w:rPr>
        <w:t xml:space="preserve"> </w:t>
      </w:r>
      <w:r w:rsidRPr="00BE3708">
        <w:rPr>
          <w:color w:val="auto"/>
        </w:rPr>
        <w:t>consumables</w:t>
      </w:r>
    </w:p>
    <w:p w14:paraId="42B82F4A" w14:textId="1CB708F3" w:rsidR="003E02AC" w:rsidRPr="00BE3708" w:rsidRDefault="000E24D0" w:rsidP="00056E2A">
      <w:pPr>
        <w:pStyle w:val="bulletedlist3"/>
        <w:rPr>
          <w:color w:val="auto"/>
        </w:rPr>
      </w:pPr>
      <w:r w:rsidRPr="00BE3708">
        <w:rPr>
          <w:color w:val="auto"/>
        </w:rPr>
        <w:t>•</w:t>
      </w:r>
      <w:r w:rsidRPr="00BE3708">
        <w:rPr>
          <w:color w:val="auto"/>
        </w:rPr>
        <w:tab/>
      </w:r>
      <w:proofErr w:type="gramStart"/>
      <w:r w:rsidR="000D523C">
        <w:rPr>
          <w:color w:val="auto"/>
        </w:rPr>
        <w:t>g</w:t>
      </w:r>
      <w:r w:rsidRPr="00BE3708">
        <w:rPr>
          <w:color w:val="auto"/>
        </w:rPr>
        <w:t>oods</w:t>
      </w:r>
      <w:proofErr w:type="gramEnd"/>
      <w:r w:rsidRPr="00BE3708">
        <w:rPr>
          <w:color w:val="auto"/>
        </w:rPr>
        <w:t xml:space="preserve"> held for resale </w:t>
      </w:r>
    </w:p>
    <w:p w14:paraId="2EFAF94F" w14:textId="6A5435A3" w:rsidR="003E02AC" w:rsidRPr="00BE3708" w:rsidRDefault="000E24D0" w:rsidP="00056E2A">
      <w:pPr>
        <w:pStyle w:val="bulletedlist3"/>
        <w:rPr>
          <w:color w:val="auto"/>
        </w:rPr>
      </w:pPr>
      <w:r w:rsidRPr="00BE3708">
        <w:rPr>
          <w:color w:val="auto"/>
        </w:rPr>
        <w:t>•</w:t>
      </w:r>
      <w:r w:rsidRPr="00BE3708">
        <w:rPr>
          <w:color w:val="auto"/>
        </w:rPr>
        <w:tab/>
      </w:r>
      <w:proofErr w:type="gramStart"/>
      <w:r w:rsidR="000D523C">
        <w:rPr>
          <w:color w:val="auto"/>
        </w:rPr>
        <w:t>w</w:t>
      </w:r>
      <w:r w:rsidRPr="00BE3708">
        <w:rPr>
          <w:color w:val="auto"/>
        </w:rPr>
        <w:t>ork</w:t>
      </w:r>
      <w:proofErr w:type="gramEnd"/>
      <w:r w:rsidRPr="00BE3708">
        <w:rPr>
          <w:color w:val="auto"/>
        </w:rPr>
        <w:t xml:space="preserve"> in progress. </w:t>
      </w:r>
    </w:p>
    <w:p w14:paraId="6D3B13DA" w14:textId="77777777" w:rsidR="003E02AC" w:rsidRPr="00BE3708" w:rsidRDefault="000E24D0" w:rsidP="000827E3">
      <w:pPr>
        <w:pStyle w:val="NumberedL1"/>
        <w:rPr>
          <w:color w:val="auto"/>
        </w:rPr>
      </w:pPr>
      <w:r w:rsidRPr="00BE3708">
        <w:rPr>
          <w:color w:val="auto"/>
        </w:rPr>
        <w:t>4</w:t>
      </w:r>
      <w:r w:rsidRPr="00BE3708">
        <w:rPr>
          <w:color w:val="auto"/>
        </w:rPr>
        <w:tab/>
        <w:t xml:space="preserve">Both the current and non-current liability categories include an account labelled ‘Provisions’. </w:t>
      </w:r>
    </w:p>
    <w:p w14:paraId="0E758F54" w14:textId="77777777" w:rsidR="003E02AC" w:rsidRPr="00BE3708" w:rsidRDefault="000E24D0" w:rsidP="00E61884">
      <w:pPr>
        <w:pStyle w:val="NumberedL2"/>
        <w:rPr>
          <w:color w:val="auto"/>
        </w:rPr>
      </w:pPr>
      <w:r w:rsidRPr="00BE3708">
        <w:rPr>
          <w:color w:val="auto"/>
        </w:rPr>
        <w:t>(a)</w:t>
      </w:r>
      <w:r w:rsidR="000827E3" w:rsidRPr="00BE3708">
        <w:rPr>
          <w:color w:val="auto"/>
        </w:rPr>
        <w:tab/>
      </w:r>
      <w:r w:rsidRPr="00BE3708">
        <w:rPr>
          <w:color w:val="auto"/>
        </w:rPr>
        <w:t xml:space="preserve">What does the term ‘provision’ mean? </w:t>
      </w:r>
    </w:p>
    <w:p w14:paraId="4F084A2E" w14:textId="77777777" w:rsidR="003E02AC" w:rsidRPr="00BE3708" w:rsidRDefault="000E24D0" w:rsidP="006E525A">
      <w:pPr>
        <w:pStyle w:val="NumberedL2text"/>
        <w:rPr>
          <w:color w:val="auto"/>
        </w:rPr>
      </w:pPr>
      <w:r w:rsidRPr="00BE3708">
        <w:rPr>
          <w:color w:val="auto"/>
        </w:rPr>
        <w:t xml:space="preserve">According to </w:t>
      </w:r>
      <w:r w:rsidRPr="00BE3708">
        <w:rPr>
          <w:i/>
          <w:iCs/>
          <w:color w:val="auto"/>
        </w:rPr>
        <w:t>NZ IAS 37: Provisions, Contingent Liabilities and Contingent Assets</w:t>
      </w:r>
      <w:r w:rsidRPr="00BE3708">
        <w:rPr>
          <w:color w:val="auto"/>
        </w:rPr>
        <w:t xml:space="preserve">, a provision is a liability of uncertain timing or amount. </w:t>
      </w:r>
    </w:p>
    <w:p w14:paraId="0C129730" w14:textId="77777777" w:rsidR="003E02AC" w:rsidRPr="00BE3708" w:rsidRDefault="000E24D0" w:rsidP="002802D4">
      <w:pPr>
        <w:pStyle w:val="NumberedL2textind"/>
        <w:ind w:left="720" w:firstLine="360"/>
        <w:rPr>
          <w:rFonts w:ascii="Cochin" w:hAnsi="Cochin" w:cs="Cochin"/>
          <w:sz w:val="20"/>
          <w:szCs w:val="20"/>
        </w:rPr>
      </w:pPr>
      <w:r w:rsidRPr="00BE3708">
        <w:rPr>
          <w:rFonts w:ascii="Cochin" w:hAnsi="Cochin" w:cs="Cochin"/>
          <w:sz w:val="20"/>
          <w:szCs w:val="20"/>
        </w:rPr>
        <w:t>A provision shall be recognised when:</w:t>
      </w:r>
    </w:p>
    <w:p w14:paraId="403EC30F" w14:textId="3B9AA234" w:rsidR="003E02AC" w:rsidRPr="00BE3708" w:rsidRDefault="000E24D0" w:rsidP="00FC5CD7">
      <w:pPr>
        <w:pStyle w:val="bulletedlist4"/>
        <w:rPr>
          <w:color w:val="auto"/>
        </w:rPr>
      </w:pPr>
      <w:r w:rsidRPr="00BE3708">
        <w:rPr>
          <w:color w:val="auto"/>
        </w:rPr>
        <w:t>•</w:t>
      </w:r>
      <w:r w:rsidRPr="00BE3708">
        <w:rPr>
          <w:color w:val="auto"/>
        </w:rPr>
        <w:tab/>
      </w:r>
      <w:proofErr w:type="gramStart"/>
      <w:r w:rsidRPr="00BE3708">
        <w:rPr>
          <w:color w:val="auto"/>
        </w:rPr>
        <w:t>an</w:t>
      </w:r>
      <w:proofErr w:type="gramEnd"/>
      <w:r w:rsidRPr="00BE3708">
        <w:rPr>
          <w:color w:val="auto"/>
        </w:rPr>
        <w:t xml:space="preserve"> entity has a present obligation (legal or constructive) as a result of a past event</w:t>
      </w:r>
    </w:p>
    <w:p w14:paraId="42CE0040" w14:textId="570C11B5" w:rsidR="003E02AC" w:rsidRPr="00BE3708" w:rsidRDefault="000E24D0" w:rsidP="00FC5CD7">
      <w:pPr>
        <w:pStyle w:val="bulletedlist4"/>
        <w:rPr>
          <w:color w:val="auto"/>
        </w:rPr>
      </w:pPr>
      <w:r w:rsidRPr="00BE3708">
        <w:rPr>
          <w:color w:val="auto"/>
        </w:rPr>
        <w:t>•</w:t>
      </w:r>
      <w:r w:rsidRPr="00BE3708">
        <w:rPr>
          <w:color w:val="auto"/>
        </w:rPr>
        <w:tab/>
      </w:r>
      <w:proofErr w:type="gramStart"/>
      <w:r w:rsidRPr="00BE3708">
        <w:rPr>
          <w:color w:val="auto"/>
        </w:rPr>
        <w:t>it</w:t>
      </w:r>
      <w:proofErr w:type="gramEnd"/>
      <w:r w:rsidRPr="00BE3708">
        <w:rPr>
          <w:color w:val="auto"/>
        </w:rPr>
        <w:t xml:space="preserve"> is probable that outflow of resources embodying economic benefits will be required to settle obligation</w:t>
      </w:r>
      <w:r w:rsidR="000D523C">
        <w:rPr>
          <w:color w:val="auto"/>
        </w:rPr>
        <w:t>,</w:t>
      </w:r>
      <w:r w:rsidRPr="00BE3708">
        <w:rPr>
          <w:color w:val="auto"/>
        </w:rPr>
        <w:t xml:space="preserve"> and</w:t>
      </w:r>
    </w:p>
    <w:p w14:paraId="73EC5D01" w14:textId="77777777" w:rsidR="003E02AC" w:rsidRPr="00BE3708" w:rsidRDefault="000E24D0" w:rsidP="00FC5CD7">
      <w:pPr>
        <w:pStyle w:val="bulletedlist4"/>
        <w:rPr>
          <w:color w:val="auto"/>
        </w:rPr>
      </w:pPr>
      <w:r w:rsidRPr="00BE3708">
        <w:rPr>
          <w:color w:val="auto"/>
        </w:rPr>
        <w:t>•</w:t>
      </w:r>
      <w:r w:rsidRPr="00BE3708">
        <w:rPr>
          <w:color w:val="auto"/>
        </w:rPr>
        <w:tab/>
      </w:r>
      <w:proofErr w:type="gramStart"/>
      <w:r w:rsidRPr="00BE3708">
        <w:rPr>
          <w:color w:val="auto"/>
        </w:rPr>
        <w:t>a</w:t>
      </w:r>
      <w:proofErr w:type="gramEnd"/>
      <w:r w:rsidRPr="00BE3708">
        <w:rPr>
          <w:color w:val="auto"/>
        </w:rPr>
        <w:t xml:space="preserve"> reliable estimate can be made of the amount of the obligation.</w:t>
      </w:r>
    </w:p>
    <w:p w14:paraId="4DB8F3B0" w14:textId="77777777" w:rsidR="003E02AC" w:rsidRPr="00BE3708" w:rsidRDefault="000E24D0" w:rsidP="00E61884">
      <w:pPr>
        <w:pStyle w:val="NumberedL2"/>
        <w:rPr>
          <w:color w:val="auto"/>
        </w:rPr>
      </w:pPr>
      <w:r w:rsidRPr="00BE3708">
        <w:rPr>
          <w:color w:val="auto"/>
        </w:rPr>
        <w:t>(b)</w:t>
      </w:r>
      <w:r w:rsidR="000827E3" w:rsidRPr="00BE3708">
        <w:rPr>
          <w:color w:val="auto"/>
        </w:rPr>
        <w:tab/>
      </w:r>
      <w:r w:rsidRPr="00BE3708">
        <w:rPr>
          <w:color w:val="auto"/>
        </w:rPr>
        <w:t>Provide possible examples of liability provision accounts.</w:t>
      </w:r>
    </w:p>
    <w:p w14:paraId="4B697862" w14:textId="2F05A785" w:rsidR="003E02AC" w:rsidRPr="00BE3708" w:rsidRDefault="000E24D0" w:rsidP="006E525A">
      <w:pPr>
        <w:pStyle w:val="NumberedL2text"/>
        <w:rPr>
          <w:color w:val="auto"/>
        </w:rPr>
      </w:pPr>
      <w:r w:rsidRPr="00BE3708">
        <w:rPr>
          <w:color w:val="auto"/>
        </w:rPr>
        <w:t xml:space="preserve">The liability provisions relate to expected future outlays of economic benefits related to </w:t>
      </w:r>
      <w:r w:rsidRPr="00BE3708">
        <w:rPr>
          <w:color w:val="auto"/>
        </w:rPr>
        <w:lastRenderedPageBreak/>
        <w:t xml:space="preserve">existing contractual claims against the entity, but normally where the amount of the claim has not been previously determined </w:t>
      </w:r>
      <w:r w:rsidR="000D523C">
        <w:rPr>
          <w:color w:val="auto"/>
        </w:rPr>
        <w:t>(for example,</w:t>
      </w:r>
      <w:r w:rsidRPr="00BE3708">
        <w:rPr>
          <w:color w:val="auto"/>
        </w:rPr>
        <w:t xml:space="preserve"> insurance, warranty, long service leave, holiday pay, taxation).</w:t>
      </w:r>
    </w:p>
    <w:p w14:paraId="283C3273" w14:textId="77777777" w:rsidR="003E02AC" w:rsidRPr="00BE3708" w:rsidRDefault="000E24D0" w:rsidP="00183E29">
      <w:pPr>
        <w:pStyle w:val="NumberedL2textind"/>
        <w:ind w:left="720" w:firstLine="360"/>
        <w:rPr>
          <w:rFonts w:ascii="Cochin" w:hAnsi="Cochin" w:cs="Cochin"/>
          <w:sz w:val="20"/>
          <w:szCs w:val="20"/>
        </w:rPr>
      </w:pPr>
      <w:r w:rsidRPr="00BE3708">
        <w:rPr>
          <w:rFonts w:ascii="Cochin" w:hAnsi="Cochin" w:cs="Cochin"/>
          <w:sz w:val="20"/>
          <w:szCs w:val="20"/>
        </w:rPr>
        <w:t xml:space="preserve">Specific examples include: </w:t>
      </w:r>
    </w:p>
    <w:p w14:paraId="2868405E" w14:textId="31DA9E96" w:rsidR="003E02AC" w:rsidRPr="00BE3708" w:rsidRDefault="000E24D0" w:rsidP="00183E29">
      <w:pPr>
        <w:pStyle w:val="bulletedlist4"/>
        <w:rPr>
          <w:color w:val="auto"/>
        </w:rPr>
      </w:pPr>
      <w:r w:rsidRPr="00BE3708">
        <w:rPr>
          <w:color w:val="auto"/>
        </w:rPr>
        <w:t>•</w:t>
      </w:r>
      <w:r w:rsidRPr="00BE3708">
        <w:rPr>
          <w:color w:val="auto"/>
        </w:rPr>
        <w:tab/>
      </w:r>
      <w:r w:rsidR="00C15991">
        <w:rPr>
          <w:color w:val="auto"/>
        </w:rPr>
        <w:t>C</w:t>
      </w:r>
      <w:r w:rsidRPr="00BE3708">
        <w:rPr>
          <w:color w:val="auto"/>
        </w:rPr>
        <w:t xml:space="preserve">ommercial </w:t>
      </w:r>
      <w:r w:rsidR="00B34604">
        <w:rPr>
          <w:rFonts w:ascii="Trebuchet MS" w:hAnsi="Trebuchet MS"/>
          <w:color w:val="auto"/>
        </w:rPr>
        <w:t>–</w:t>
      </w:r>
      <w:r w:rsidRPr="00BE3708">
        <w:rPr>
          <w:color w:val="auto"/>
        </w:rPr>
        <w:t xml:space="preserve"> </w:t>
      </w:r>
      <w:r w:rsidR="00C15991">
        <w:rPr>
          <w:color w:val="auto"/>
        </w:rPr>
        <w:t>t</w:t>
      </w:r>
      <w:r w:rsidRPr="00BE3708">
        <w:rPr>
          <w:color w:val="auto"/>
        </w:rPr>
        <w:t>hese provisions principally relate to the cost of rectifying several billing application configuration issues, and covers the cost of investiga</w:t>
      </w:r>
      <w:r w:rsidR="00E92194" w:rsidRPr="00BE3708">
        <w:rPr>
          <w:color w:val="auto"/>
        </w:rPr>
        <w:t>ting and resolving these issues</w:t>
      </w:r>
      <w:r w:rsidRPr="00BE3708">
        <w:rPr>
          <w:color w:val="auto"/>
        </w:rPr>
        <w:t xml:space="preserve">. </w:t>
      </w:r>
    </w:p>
    <w:p w14:paraId="624848D5" w14:textId="20463C7D" w:rsidR="003E02AC" w:rsidRPr="00BE3708" w:rsidRDefault="000E24D0" w:rsidP="00183E29">
      <w:pPr>
        <w:pStyle w:val="bulletedlist4"/>
        <w:rPr>
          <w:color w:val="auto"/>
        </w:rPr>
      </w:pPr>
      <w:r w:rsidRPr="00BE3708">
        <w:rPr>
          <w:color w:val="auto"/>
        </w:rPr>
        <w:t>•</w:t>
      </w:r>
      <w:r w:rsidRPr="00BE3708">
        <w:rPr>
          <w:color w:val="auto"/>
        </w:rPr>
        <w:tab/>
      </w:r>
      <w:r w:rsidR="00C15991">
        <w:rPr>
          <w:color w:val="auto"/>
        </w:rPr>
        <w:t>P</w:t>
      </w:r>
      <w:r w:rsidRPr="00BE3708">
        <w:rPr>
          <w:color w:val="auto"/>
        </w:rPr>
        <w:t xml:space="preserve">roperty </w:t>
      </w:r>
      <w:r w:rsidR="00B34604">
        <w:rPr>
          <w:rFonts w:ascii="Trebuchet MS" w:hAnsi="Trebuchet MS"/>
          <w:color w:val="auto"/>
        </w:rPr>
        <w:t>–</w:t>
      </w:r>
      <w:r w:rsidRPr="00BE3708">
        <w:rPr>
          <w:color w:val="auto"/>
        </w:rPr>
        <w:t xml:space="preserve"> </w:t>
      </w:r>
      <w:r w:rsidR="00C15991">
        <w:rPr>
          <w:color w:val="auto"/>
        </w:rPr>
        <w:t>p</w:t>
      </w:r>
      <w:r w:rsidRPr="00BE3708">
        <w:rPr>
          <w:color w:val="auto"/>
        </w:rPr>
        <w:t xml:space="preserve">roperty provisions relate primarily to make good requirements under property leases. </w:t>
      </w:r>
    </w:p>
    <w:p w14:paraId="0A1F0BB8" w14:textId="16789B77" w:rsidR="003E02AC" w:rsidRPr="00BE3708" w:rsidRDefault="000E24D0" w:rsidP="00183E29">
      <w:pPr>
        <w:pStyle w:val="bulletedlist4"/>
        <w:rPr>
          <w:color w:val="auto"/>
        </w:rPr>
      </w:pPr>
      <w:r w:rsidRPr="00BE3708">
        <w:rPr>
          <w:color w:val="auto"/>
        </w:rPr>
        <w:t>•</w:t>
      </w:r>
      <w:r w:rsidRPr="00BE3708">
        <w:rPr>
          <w:color w:val="auto"/>
        </w:rPr>
        <w:tab/>
      </w:r>
      <w:r w:rsidR="00C15991">
        <w:rPr>
          <w:color w:val="auto"/>
        </w:rPr>
        <w:t>O</w:t>
      </w:r>
      <w:r w:rsidRPr="00BE3708">
        <w:rPr>
          <w:color w:val="auto"/>
        </w:rPr>
        <w:t xml:space="preserve">ther </w:t>
      </w:r>
      <w:r w:rsidR="00B34604">
        <w:rPr>
          <w:rFonts w:ascii="Trebuchet MS" w:hAnsi="Trebuchet MS"/>
          <w:color w:val="auto"/>
        </w:rPr>
        <w:t>–</w:t>
      </w:r>
      <w:r w:rsidRPr="00BE3708">
        <w:rPr>
          <w:color w:val="auto"/>
        </w:rPr>
        <w:t xml:space="preserve"> </w:t>
      </w:r>
      <w:r w:rsidR="00C15991">
        <w:rPr>
          <w:color w:val="auto"/>
        </w:rPr>
        <w:t>o</w:t>
      </w:r>
      <w:r w:rsidRPr="00BE3708">
        <w:rPr>
          <w:color w:val="auto"/>
        </w:rPr>
        <w:t xml:space="preserve">ther provisions include legal provisions. </w:t>
      </w:r>
    </w:p>
    <w:p w14:paraId="64113A61" w14:textId="77777777" w:rsidR="003E02AC" w:rsidRPr="00BE3708" w:rsidRDefault="000E24D0" w:rsidP="00E61884">
      <w:pPr>
        <w:pStyle w:val="NumberedL2"/>
        <w:rPr>
          <w:color w:val="auto"/>
        </w:rPr>
      </w:pPr>
      <w:r w:rsidRPr="00BE3708">
        <w:rPr>
          <w:color w:val="auto"/>
        </w:rPr>
        <w:t>(c)</w:t>
      </w:r>
      <w:r w:rsidR="000827E3" w:rsidRPr="00BE3708">
        <w:rPr>
          <w:color w:val="auto"/>
        </w:rPr>
        <w:tab/>
      </w:r>
      <w:r w:rsidRPr="00BE3708">
        <w:rPr>
          <w:color w:val="auto"/>
        </w:rPr>
        <w:t>Discuss how a provision can be both a ‘current liability’ and a ‘non-current liability’.</w:t>
      </w:r>
    </w:p>
    <w:p w14:paraId="03F97F59" w14:textId="77777777" w:rsidR="003E02AC" w:rsidRPr="00BE3708" w:rsidRDefault="000E24D0" w:rsidP="006E525A">
      <w:pPr>
        <w:pStyle w:val="NumberedL2text"/>
        <w:rPr>
          <w:color w:val="auto"/>
        </w:rPr>
      </w:pPr>
      <w:r w:rsidRPr="00BE3708">
        <w:rPr>
          <w:color w:val="auto"/>
        </w:rPr>
        <w:t>The expected future outflow of goods or services may be within one year or within the normal operating cycle (classified as ‘current’), or beyond that time frame (classified as ‘non-current’).</w:t>
      </w:r>
    </w:p>
    <w:p w14:paraId="15972039" w14:textId="7ECB2803" w:rsidR="003E02AC" w:rsidRPr="00BE3708" w:rsidRDefault="000E24D0" w:rsidP="000827E3">
      <w:pPr>
        <w:pStyle w:val="NumberedL1"/>
        <w:rPr>
          <w:color w:val="auto"/>
        </w:rPr>
      </w:pPr>
      <w:r w:rsidRPr="00BE3708">
        <w:rPr>
          <w:color w:val="auto"/>
        </w:rPr>
        <w:t>5</w:t>
      </w:r>
      <w:r w:rsidRPr="00BE3708">
        <w:rPr>
          <w:color w:val="auto"/>
        </w:rPr>
        <w:tab/>
        <w:t>Inta</w:t>
      </w:r>
      <w:r w:rsidR="00E92194" w:rsidRPr="00BE3708">
        <w:rPr>
          <w:color w:val="auto"/>
        </w:rPr>
        <w:t>ngible assets make up 40</w:t>
      </w:r>
      <w:r w:rsidRPr="00BE3708">
        <w:rPr>
          <w:color w:val="auto"/>
        </w:rPr>
        <w:t>.3% of Telecom Corpora</w:t>
      </w:r>
      <w:r w:rsidR="00E92194" w:rsidRPr="00BE3708">
        <w:rPr>
          <w:color w:val="auto"/>
        </w:rPr>
        <w:t>tion of New Zealand Group’s 2013</w:t>
      </w:r>
      <w:r w:rsidRPr="00BE3708">
        <w:rPr>
          <w:color w:val="auto"/>
        </w:rPr>
        <w:t xml:space="preserve"> total non-current assets. </w:t>
      </w:r>
    </w:p>
    <w:p w14:paraId="61BBE899" w14:textId="77777777" w:rsidR="003E02AC" w:rsidRPr="00BE3708" w:rsidRDefault="000E24D0" w:rsidP="00E61884">
      <w:pPr>
        <w:pStyle w:val="NumberedL2"/>
        <w:rPr>
          <w:color w:val="auto"/>
        </w:rPr>
      </w:pPr>
      <w:r w:rsidRPr="00BE3708">
        <w:rPr>
          <w:color w:val="auto"/>
        </w:rPr>
        <w:t>(a)</w:t>
      </w:r>
      <w:r w:rsidR="000827E3" w:rsidRPr="00BE3708">
        <w:rPr>
          <w:color w:val="auto"/>
        </w:rPr>
        <w:tab/>
      </w:r>
      <w:r w:rsidRPr="00BE3708">
        <w:rPr>
          <w:color w:val="auto"/>
        </w:rPr>
        <w:t xml:space="preserve">What is meant by the term ‘intangible assets’? </w:t>
      </w:r>
    </w:p>
    <w:p w14:paraId="00D710C6" w14:textId="77777777" w:rsidR="003E02AC" w:rsidRPr="00BE3708" w:rsidRDefault="000E24D0" w:rsidP="006E525A">
      <w:pPr>
        <w:pStyle w:val="NumberedL2text"/>
        <w:rPr>
          <w:color w:val="auto"/>
        </w:rPr>
      </w:pPr>
      <w:r w:rsidRPr="00BE3708">
        <w:rPr>
          <w:i/>
          <w:iCs/>
          <w:color w:val="auto"/>
        </w:rPr>
        <w:t>NZ IAS 38: Intangible Assets</w:t>
      </w:r>
      <w:r w:rsidRPr="00BE3708">
        <w:rPr>
          <w:color w:val="auto"/>
        </w:rPr>
        <w:t xml:space="preserve"> defines an intangible asset as ‘[a]n identifiable non-monetary asset without physical substance’. </w:t>
      </w:r>
    </w:p>
    <w:p w14:paraId="55AB3194" w14:textId="77777777" w:rsidR="003E02AC" w:rsidRPr="00BE3708" w:rsidRDefault="000E24D0" w:rsidP="00C15991">
      <w:pPr>
        <w:pStyle w:val="Extract0"/>
        <w:ind w:left="1440"/>
        <w:rPr>
          <w:color w:val="auto"/>
        </w:rPr>
      </w:pPr>
      <w:r w:rsidRPr="00BE3708">
        <w:rPr>
          <w:color w:val="auto"/>
        </w:rPr>
        <w:t>‘... Physical form is not essential to the existence of an asset ... [intangible assets exist] if future economic benefits are expected to flow from them to the entity and if they are controlled by the entity.’ (NZ Framework, para 56)</w:t>
      </w:r>
    </w:p>
    <w:p w14:paraId="2399D6B5" w14:textId="02BAB20A" w:rsidR="003E02AC" w:rsidRPr="00BE3708" w:rsidRDefault="000E24D0" w:rsidP="006E525A">
      <w:pPr>
        <w:pStyle w:val="NumberedL2text"/>
        <w:rPr>
          <w:color w:val="auto"/>
        </w:rPr>
      </w:pPr>
      <w:r w:rsidRPr="00BE3708">
        <w:rPr>
          <w:color w:val="auto"/>
        </w:rPr>
        <w:t>Three conditions need to be established before an item can be recognised as an intangible asset. The item must be non-monetary, identifiable</w:t>
      </w:r>
      <w:r w:rsidR="00C15991">
        <w:rPr>
          <w:color w:val="auto"/>
        </w:rPr>
        <w:t>,</w:t>
      </w:r>
      <w:r w:rsidRPr="00BE3708">
        <w:rPr>
          <w:color w:val="auto"/>
        </w:rPr>
        <w:t xml:space="preserve"> and lack physical substance.</w:t>
      </w:r>
    </w:p>
    <w:p w14:paraId="5FCE97D2" w14:textId="77777777" w:rsidR="003E02AC" w:rsidRPr="00BE3708" w:rsidRDefault="000E24D0" w:rsidP="00753324">
      <w:pPr>
        <w:pStyle w:val="NumberedL2textind"/>
        <w:ind w:left="720" w:firstLine="360"/>
        <w:rPr>
          <w:rFonts w:ascii="Cochin" w:hAnsi="Cochin" w:cs="Cochin"/>
          <w:sz w:val="20"/>
          <w:szCs w:val="20"/>
        </w:rPr>
      </w:pPr>
      <w:r w:rsidRPr="00BE3708">
        <w:rPr>
          <w:rFonts w:ascii="Cochin" w:hAnsi="Cochin" w:cs="Cochin"/>
          <w:sz w:val="20"/>
          <w:szCs w:val="20"/>
        </w:rPr>
        <w:t>An asset meets the identifiability criterion in the definition when it:</w:t>
      </w:r>
    </w:p>
    <w:p w14:paraId="13A34ABA" w14:textId="5301EA63" w:rsidR="003E02AC" w:rsidRPr="00BE3708" w:rsidRDefault="000E24D0" w:rsidP="004C5ABE">
      <w:pPr>
        <w:pStyle w:val="bulletedlist4"/>
        <w:rPr>
          <w:color w:val="auto"/>
        </w:rPr>
      </w:pPr>
      <w:r w:rsidRPr="00BE3708">
        <w:rPr>
          <w:color w:val="auto"/>
        </w:rPr>
        <w:t>•</w:t>
      </w:r>
      <w:r w:rsidRPr="00BE3708">
        <w:rPr>
          <w:color w:val="auto"/>
        </w:rPr>
        <w:tab/>
        <w:t>is separable, that is, is capable of being separated or divided from the entity and sold, transferred, licensed, rented or exchanged, either individually or together with a related contract, asset or liability</w:t>
      </w:r>
      <w:r w:rsidR="00C15991">
        <w:rPr>
          <w:color w:val="auto"/>
        </w:rPr>
        <w:t>,</w:t>
      </w:r>
      <w:r w:rsidRPr="00BE3708">
        <w:rPr>
          <w:color w:val="auto"/>
        </w:rPr>
        <w:t xml:space="preserve"> or</w:t>
      </w:r>
    </w:p>
    <w:p w14:paraId="7A768993" w14:textId="77777777" w:rsidR="003E02AC" w:rsidRPr="00BE3708" w:rsidRDefault="000E24D0" w:rsidP="004C5ABE">
      <w:pPr>
        <w:pStyle w:val="bulletedlist4"/>
        <w:rPr>
          <w:color w:val="auto"/>
        </w:rPr>
      </w:pPr>
      <w:r w:rsidRPr="00BE3708">
        <w:rPr>
          <w:color w:val="auto"/>
        </w:rPr>
        <w:t>•</w:t>
      </w:r>
      <w:r w:rsidRPr="00BE3708">
        <w:rPr>
          <w:color w:val="auto"/>
        </w:rPr>
        <w:tab/>
        <w:t>arises from contractual or other legal rights, regardless of whether those rights are transferable or separable from the entity or from other rights and obligations.</w:t>
      </w:r>
    </w:p>
    <w:p w14:paraId="3088BB99" w14:textId="77777777" w:rsidR="003E02AC" w:rsidRPr="00BE3708" w:rsidRDefault="000E24D0" w:rsidP="00E61884">
      <w:pPr>
        <w:pStyle w:val="NumberedL2"/>
        <w:rPr>
          <w:color w:val="auto"/>
        </w:rPr>
      </w:pPr>
      <w:r w:rsidRPr="00BE3708">
        <w:rPr>
          <w:color w:val="auto"/>
        </w:rPr>
        <w:t>(b)</w:t>
      </w:r>
      <w:r w:rsidR="000827E3" w:rsidRPr="00BE3708">
        <w:rPr>
          <w:color w:val="auto"/>
        </w:rPr>
        <w:tab/>
      </w:r>
      <w:r w:rsidRPr="00BE3708">
        <w:rPr>
          <w:color w:val="auto"/>
        </w:rPr>
        <w:t xml:space="preserve">What are some likely examples of intangible assets that Telecom Corporation of New Zealand may hold? </w:t>
      </w:r>
    </w:p>
    <w:p w14:paraId="0891A557" w14:textId="0B89C6CA" w:rsidR="003E02AC" w:rsidRPr="00BE3708" w:rsidRDefault="000E24D0" w:rsidP="00451B8F">
      <w:pPr>
        <w:pStyle w:val="NumberedL2text"/>
        <w:rPr>
          <w:color w:val="auto"/>
        </w:rPr>
      </w:pPr>
      <w:r w:rsidRPr="00BE3708">
        <w:rPr>
          <w:color w:val="auto"/>
        </w:rPr>
        <w:t>Examples include patents, goodwill, research and development, mastheads, brand names, copyrights</w:t>
      </w:r>
      <w:r w:rsidR="00C15991">
        <w:rPr>
          <w:color w:val="auto"/>
        </w:rPr>
        <w:t>,</w:t>
      </w:r>
      <w:r w:rsidRPr="00BE3708">
        <w:rPr>
          <w:color w:val="auto"/>
        </w:rPr>
        <w:t xml:space="preserve"> and trademarks. </w:t>
      </w:r>
    </w:p>
    <w:p w14:paraId="5680BC64" w14:textId="3F9BD94C" w:rsidR="003E02AC" w:rsidRPr="00BE3708" w:rsidRDefault="000E24D0" w:rsidP="00CB5840">
      <w:pPr>
        <w:pStyle w:val="NumberedL2textind"/>
        <w:ind w:left="720" w:firstLine="360"/>
        <w:rPr>
          <w:rFonts w:ascii="Cochin" w:hAnsi="Cochin"/>
          <w:sz w:val="20"/>
        </w:rPr>
      </w:pPr>
      <w:r w:rsidRPr="00BE3708">
        <w:rPr>
          <w:rFonts w:ascii="Cochin" w:hAnsi="Cochin"/>
          <w:sz w:val="20"/>
        </w:rPr>
        <w:t>Examples specific to Telecom include software, capacity, spectrum licences, other intangibles</w:t>
      </w:r>
      <w:r w:rsidR="00C15991">
        <w:rPr>
          <w:rFonts w:ascii="Cochin" w:hAnsi="Cochin"/>
          <w:sz w:val="20"/>
        </w:rPr>
        <w:t>,</w:t>
      </w:r>
      <w:r w:rsidRPr="00BE3708">
        <w:rPr>
          <w:rFonts w:ascii="Cochin" w:hAnsi="Cochin"/>
          <w:sz w:val="20"/>
        </w:rPr>
        <w:t xml:space="preserve"> and goodwill. </w:t>
      </w:r>
    </w:p>
    <w:p w14:paraId="23C8349A" w14:textId="77777777" w:rsidR="003E02AC" w:rsidRPr="00BE3708" w:rsidRDefault="000E24D0" w:rsidP="000827E3">
      <w:pPr>
        <w:pStyle w:val="NumberedL1"/>
        <w:rPr>
          <w:color w:val="auto"/>
        </w:rPr>
      </w:pPr>
      <w:r w:rsidRPr="00BE3708">
        <w:rPr>
          <w:color w:val="auto"/>
        </w:rPr>
        <w:t>6</w:t>
      </w:r>
      <w:r w:rsidRPr="00BE3708">
        <w:rPr>
          <w:color w:val="auto"/>
        </w:rPr>
        <w:tab/>
        <w:t xml:space="preserve">Does this report represent an ‘entity’ or ‘proprietary’ approach to the accounting equation? </w:t>
      </w:r>
    </w:p>
    <w:p w14:paraId="5296BD7A" w14:textId="77777777" w:rsidR="003E02AC" w:rsidRPr="00BE3708" w:rsidRDefault="000E24D0" w:rsidP="0097388F">
      <w:pPr>
        <w:pStyle w:val="Answertextfullout"/>
        <w:rPr>
          <w:color w:val="auto"/>
        </w:rPr>
      </w:pPr>
      <w:r w:rsidRPr="00BE3708">
        <w:rPr>
          <w:color w:val="auto"/>
        </w:rPr>
        <w:t>The report uses the proprietary approach (OE = A – L).</w:t>
      </w:r>
    </w:p>
    <w:p w14:paraId="7BEFE0BC" w14:textId="77777777" w:rsidR="003E02AC" w:rsidRPr="00BE3708" w:rsidRDefault="000E24D0" w:rsidP="000827E3">
      <w:pPr>
        <w:pStyle w:val="NumberedL1"/>
        <w:rPr>
          <w:color w:val="auto"/>
        </w:rPr>
      </w:pPr>
      <w:r w:rsidRPr="00BE3708">
        <w:rPr>
          <w:color w:val="auto"/>
        </w:rPr>
        <w:t>7</w:t>
      </w:r>
      <w:r w:rsidRPr="00BE3708">
        <w:rPr>
          <w:color w:val="auto"/>
        </w:rPr>
        <w:tab/>
        <w:t xml:space="preserve">Outline what is meant by ‘long-term derivative assets’. You should also illustrate your answer with examples.  </w:t>
      </w:r>
    </w:p>
    <w:p w14:paraId="3C8D9052" w14:textId="77777777" w:rsidR="003E02AC" w:rsidRPr="00BE3708" w:rsidRDefault="000E24D0" w:rsidP="0097388F">
      <w:pPr>
        <w:pStyle w:val="Answertextfullout"/>
        <w:rPr>
          <w:color w:val="auto"/>
        </w:rPr>
      </w:pPr>
      <w:r w:rsidRPr="00BE3708">
        <w:rPr>
          <w:color w:val="auto"/>
        </w:rPr>
        <w:t xml:space="preserve">A long-term derivative asset is a type of financial instrument governed by </w:t>
      </w:r>
      <w:r w:rsidRPr="00BE3708">
        <w:rPr>
          <w:i/>
          <w:iCs/>
          <w:color w:val="auto"/>
        </w:rPr>
        <w:t>NZ IAS 39: Financial instruments: Recognition and Measurement</w:t>
      </w:r>
      <w:r w:rsidRPr="00BE3708">
        <w:rPr>
          <w:color w:val="auto"/>
        </w:rPr>
        <w:t>. NZ IAS 39 defines a derivative in para 9 as:</w:t>
      </w:r>
    </w:p>
    <w:p w14:paraId="1DE675BA" w14:textId="77777777" w:rsidR="003E02AC" w:rsidRPr="00BE3708" w:rsidRDefault="000E24D0" w:rsidP="001E6E67">
      <w:pPr>
        <w:pStyle w:val="NumberedL2textind"/>
        <w:ind w:left="720"/>
        <w:rPr>
          <w:rFonts w:ascii="Cochin" w:hAnsi="Cochin" w:cs="Cochin"/>
          <w:sz w:val="20"/>
          <w:szCs w:val="20"/>
        </w:rPr>
      </w:pPr>
      <w:r w:rsidRPr="00BE3708">
        <w:rPr>
          <w:rFonts w:ascii="Cochin" w:hAnsi="Cochin" w:cs="Cochin"/>
          <w:sz w:val="20"/>
          <w:szCs w:val="20"/>
        </w:rPr>
        <w:t xml:space="preserve">Definition of a derivative </w:t>
      </w:r>
    </w:p>
    <w:p w14:paraId="2D3F358A" w14:textId="54366DE7" w:rsidR="003E02AC" w:rsidRPr="00BE3708" w:rsidRDefault="000E24D0" w:rsidP="001E6E67">
      <w:pPr>
        <w:pStyle w:val="NumberedL2textind"/>
        <w:ind w:left="720" w:firstLine="360"/>
        <w:rPr>
          <w:rFonts w:ascii="Cochin" w:hAnsi="Cochin" w:cs="Cochin"/>
          <w:sz w:val="20"/>
          <w:szCs w:val="20"/>
        </w:rPr>
      </w:pPr>
      <w:r w:rsidRPr="00BE3708">
        <w:rPr>
          <w:rFonts w:ascii="Cochin" w:hAnsi="Cochin" w:cs="Cochin"/>
          <w:sz w:val="20"/>
          <w:szCs w:val="20"/>
        </w:rPr>
        <w:t xml:space="preserve">A </w:t>
      </w:r>
      <w:r w:rsidRPr="00BE3708">
        <w:rPr>
          <w:rFonts w:ascii="Cochin" w:hAnsi="Cochin" w:cs="Cochin"/>
          <w:i/>
          <w:iCs/>
          <w:sz w:val="20"/>
          <w:szCs w:val="20"/>
        </w:rPr>
        <w:t>derivative</w:t>
      </w:r>
      <w:r w:rsidRPr="00BE3708">
        <w:rPr>
          <w:rFonts w:ascii="Cochin" w:hAnsi="Cochin" w:cs="Cochin"/>
          <w:sz w:val="20"/>
          <w:szCs w:val="20"/>
        </w:rPr>
        <w:t xml:space="preserve"> is a financial instrument or other contract within the scope of this Standard (see paragraphs 2</w:t>
      </w:r>
      <w:r w:rsidR="00B34604">
        <w:rPr>
          <w:rFonts w:ascii="Trebuchet MS" w:hAnsi="Trebuchet MS" w:cs="Cochin"/>
          <w:sz w:val="20"/>
          <w:szCs w:val="20"/>
        </w:rPr>
        <w:t>–</w:t>
      </w:r>
      <w:r w:rsidRPr="00BE3708">
        <w:rPr>
          <w:rFonts w:ascii="Cochin" w:hAnsi="Cochin" w:cs="Cochin"/>
          <w:sz w:val="20"/>
          <w:szCs w:val="20"/>
        </w:rPr>
        <w:t xml:space="preserve">7) with all three of the following characteristics: </w:t>
      </w:r>
    </w:p>
    <w:p w14:paraId="6CF5C838" w14:textId="02460699" w:rsidR="003E02AC" w:rsidRPr="00BE3708" w:rsidRDefault="000E24D0" w:rsidP="00943E5D">
      <w:pPr>
        <w:pStyle w:val="NumberedL3"/>
        <w:rPr>
          <w:color w:val="auto"/>
        </w:rPr>
      </w:pPr>
      <w:r w:rsidRPr="00BE3708">
        <w:rPr>
          <w:color w:val="auto"/>
        </w:rPr>
        <w:t>(a)</w:t>
      </w:r>
      <w:r w:rsidR="00B955BF" w:rsidRPr="00BE3708">
        <w:rPr>
          <w:color w:val="auto"/>
        </w:rPr>
        <w:tab/>
      </w:r>
      <w:r w:rsidRPr="00BE3708">
        <w:rPr>
          <w:color w:val="auto"/>
        </w:rPr>
        <w:t xml:space="preserve">its value changes in response to the change in a specified interest rate, financial instrument price, commodity price, foreign exchange rate, index of prices or rates, credit rating or credit index, or other variable, provided in the case of a non-financial variable </w:t>
      </w:r>
      <w:r w:rsidRPr="00BE3708">
        <w:rPr>
          <w:color w:val="auto"/>
        </w:rPr>
        <w:lastRenderedPageBreak/>
        <w:t xml:space="preserve">that the variable is not specific to a party to the contract (sometimes called the ‘underlying’) </w:t>
      </w:r>
    </w:p>
    <w:p w14:paraId="2C0F0B6C" w14:textId="22F3E933" w:rsidR="003E02AC" w:rsidRPr="00BE3708" w:rsidRDefault="000E24D0" w:rsidP="00943E5D">
      <w:pPr>
        <w:pStyle w:val="NumberedL3"/>
        <w:rPr>
          <w:color w:val="auto"/>
        </w:rPr>
      </w:pPr>
      <w:r w:rsidRPr="00BE3708">
        <w:rPr>
          <w:color w:val="auto"/>
        </w:rPr>
        <w:t>(b)</w:t>
      </w:r>
      <w:r w:rsidR="00B955BF" w:rsidRPr="00BE3708">
        <w:rPr>
          <w:color w:val="auto"/>
        </w:rPr>
        <w:tab/>
      </w:r>
      <w:proofErr w:type="gramStart"/>
      <w:r w:rsidRPr="00BE3708">
        <w:rPr>
          <w:color w:val="auto"/>
        </w:rPr>
        <w:t>it</w:t>
      </w:r>
      <w:proofErr w:type="gramEnd"/>
      <w:r w:rsidRPr="00BE3708">
        <w:rPr>
          <w:color w:val="auto"/>
        </w:rPr>
        <w:t xml:space="preserve"> requires no initial net investment or an initial net investment that is smaller than would be required for other types of contracts that would be expected to have a similar response to changes in market factors </w:t>
      </w:r>
    </w:p>
    <w:p w14:paraId="58360A78" w14:textId="77777777" w:rsidR="003E02AC" w:rsidRPr="00BE3708" w:rsidRDefault="000E24D0" w:rsidP="00943E5D">
      <w:pPr>
        <w:pStyle w:val="NumberedL3"/>
        <w:rPr>
          <w:color w:val="auto"/>
        </w:rPr>
      </w:pPr>
      <w:r w:rsidRPr="00BE3708">
        <w:rPr>
          <w:color w:val="auto"/>
        </w:rPr>
        <w:t>(c)</w:t>
      </w:r>
      <w:r w:rsidR="00B955BF" w:rsidRPr="00BE3708">
        <w:rPr>
          <w:color w:val="auto"/>
        </w:rPr>
        <w:tab/>
      </w:r>
      <w:proofErr w:type="gramStart"/>
      <w:r w:rsidRPr="00BE3708">
        <w:rPr>
          <w:color w:val="auto"/>
        </w:rPr>
        <w:t>it</w:t>
      </w:r>
      <w:proofErr w:type="gramEnd"/>
      <w:r w:rsidRPr="00BE3708">
        <w:rPr>
          <w:color w:val="auto"/>
        </w:rPr>
        <w:t xml:space="preserve"> is settled at a future date. </w:t>
      </w:r>
    </w:p>
    <w:p w14:paraId="2C3C8E70" w14:textId="77777777" w:rsidR="003E02AC" w:rsidRPr="00BE3708" w:rsidRDefault="000E24D0" w:rsidP="00FB5D8B">
      <w:pPr>
        <w:pStyle w:val="NumberedL2textind"/>
        <w:ind w:left="720"/>
        <w:rPr>
          <w:rFonts w:ascii="Cochin" w:hAnsi="Cochin" w:cs="Cochin"/>
          <w:sz w:val="20"/>
          <w:szCs w:val="20"/>
        </w:rPr>
      </w:pPr>
      <w:r w:rsidRPr="00BE3708">
        <w:rPr>
          <w:rFonts w:ascii="Cochin" w:hAnsi="Cochin" w:cs="Cochin"/>
          <w:sz w:val="20"/>
          <w:szCs w:val="20"/>
        </w:rPr>
        <w:t>Examples include:</w:t>
      </w:r>
    </w:p>
    <w:p w14:paraId="2A31274B" w14:textId="3685E1AB" w:rsidR="003E02AC" w:rsidRPr="00BE3708" w:rsidRDefault="000E24D0" w:rsidP="000E7642">
      <w:pPr>
        <w:pStyle w:val="bulletedlist3"/>
        <w:rPr>
          <w:color w:val="auto"/>
        </w:rPr>
      </w:pPr>
      <w:r w:rsidRPr="00BE3708">
        <w:rPr>
          <w:color w:val="auto"/>
        </w:rPr>
        <w:t>•</w:t>
      </w:r>
      <w:r w:rsidRPr="00BE3708">
        <w:rPr>
          <w:color w:val="auto"/>
        </w:rPr>
        <w:tab/>
      </w:r>
      <w:proofErr w:type="gramStart"/>
      <w:r w:rsidR="00C15991">
        <w:rPr>
          <w:color w:val="auto"/>
        </w:rPr>
        <w:t>c</w:t>
      </w:r>
      <w:r w:rsidRPr="00BE3708">
        <w:rPr>
          <w:color w:val="auto"/>
        </w:rPr>
        <w:t>urrency</w:t>
      </w:r>
      <w:proofErr w:type="gramEnd"/>
      <w:r w:rsidRPr="00BE3708">
        <w:rPr>
          <w:color w:val="auto"/>
        </w:rPr>
        <w:t xml:space="preserve"> options </w:t>
      </w:r>
    </w:p>
    <w:p w14:paraId="3ABD4276" w14:textId="46F9F9ED" w:rsidR="003E02AC" w:rsidRPr="00BE3708" w:rsidRDefault="000E24D0" w:rsidP="000E7642">
      <w:pPr>
        <w:pStyle w:val="bulletedlist3"/>
        <w:rPr>
          <w:color w:val="auto"/>
        </w:rPr>
      </w:pPr>
      <w:r w:rsidRPr="00BE3708">
        <w:rPr>
          <w:color w:val="auto"/>
        </w:rPr>
        <w:t>•</w:t>
      </w:r>
      <w:r w:rsidRPr="00BE3708">
        <w:rPr>
          <w:color w:val="auto"/>
        </w:rPr>
        <w:tab/>
      </w:r>
      <w:proofErr w:type="gramStart"/>
      <w:r w:rsidR="00C15991">
        <w:rPr>
          <w:color w:val="auto"/>
        </w:rPr>
        <w:t>el</w:t>
      </w:r>
      <w:r w:rsidRPr="00BE3708">
        <w:rPr>
          <w:color w:val="auto"/>
        </w:rPr>
        <w:t>ectricity</w:t>
      </w:r>
      <w:proofErr w:type="gramEnd"/>
      <w:r w:rsidRPr="00BE3708">
        <w:rPr>
          <w:color w:val="auto"/>
        </w:rPr>
        <w:t xml:space="preserve"> price hedges </w:t>
      </w:r>
    </w:p>
    <w:p w14:paraId="09AB7705" w14:textId="391A024E" w:rsidR="003E02AC" w:rsidRPr="00BE3708" w:rsidRDefault="000E24D0" w:rsidP="000E7642">
      <w:pPr>
        <w:pStyle w:val="bulletedlist3"/>
        <w:rPr>
          <w:color w:val="auto"/>
        </w:rPr>
      </w:pPr>
      <w:r w:rsidRPr="00BE3708">
        <w:rPr>
          <w:color w:val="auto"/>
        </w:rPr>
        <w:t>•</w:t>
      </w:r>
      <w:r w:rsidRPr="00BE3708">
        <w:rPr>
          <w:color w:val="auto"/>
        </w:rPr>
        <w:tab/>
      </w:r>
      <w:proofErr w:type="gramStart"/>
      <w:r w:rsidR="00C15991">
        <w:rPr>
          <w:color w:val="auto"/>
        </w:rPr>
        <w:t>f</w:t>
      </w:r>
      <w:r w:rsidRPr="00BE3708">
        <w:rPr>
          <w:color w:val="auto"/>
        </w:rPr>
        <w:t>oreign</w:t>
      </w:r>
      <w:proofErr w:type="gramEnd"/>
      <w:r w:rsidRPr="00BE3708">
        <w:rPr>
          <w:color w:val="auto"/>
        </w:rPr>
        <w:t xml:space="preserve"> exchange contracts </w:t>
      </w:r>
    </w:p>
    <w:p w14:paraId="1201BF9B" w14:textId="1FC3B3FC" w:rsidR="003E02AC" w:rsidRPr="00BE3708" w:rsidRDefault="000E24D0" w:rsidP="000E7642">
      <w:pPr>
        <w:pStyle w:val="bulletedlist3"/>
        <w:rPr>
          <w:color w:val="auto"/>
        </w:rPr>
      </w:pPr>
      <w:r w:rsidRPr="00BE3708">
        <w:rPr>
          <w:color w:val="auto"/>
        </w:rPr>
        <w:t>•</w:t>
      </w:r>
      <w:r w:rsidRPr="00BE3708">
        <w:rPr>
          <w:color w:val="auto"/>
        </w:rPr>
        <w:tab/>
      </w:r>
      <w:proofErr w:type="gramStart"/>
      <w:r w:rsidR="00C15991">
        <w:rPr>
          <w:color w:val="auto"/>
        </w:rPr>
        <w:t>i</w:t>
      </w:r>
      <w:r w:rsidRPr="00BE3708">
        <w:rPr>
          <w:color w:val="auto"/>
        </w:rPr>
        <w:t>nterest</w:t>
      </w:r>
      <w:proofErr w:type="gramEnd"/>
      <w:r w:rsidRPr="00BE3708">
        <w:rPr>
          <w:color w:val="auto"/>
        </w:rPr>
        <w:t xml:space="preserve"> rate swaps </w:t>
      </w:r>
    </w:p>
    <w:p w14:paraId="6820470B" w14:textId="30C16B0B" w:rsidR="003E02AC" w:rsidRPr="00BE3708" w:rsidRDefault="000E24D0" w:rsidP="000E7642">
      <w:pPr>
        <w:pStyle w:val="bulletedlist3"/>
        <w:rPr>
          <w:color w:val="auto"/>
        </w:rPr>
      </w:pPr>
      <w:r w:rsidRPr="00BE3708">
        <w:rPr>
          <w:color w:val="auto"/>
        </w:rPr>
        <w:t>•</w:t>
      </w:r>
      <w:r w:rsidRPr="00BE3708">
        <w:rPr>
          <w:color w:val="auto"/>
        </w:rPr>
        <w:tab/>
      </w:r>
      <w:proofErr w:type="gramStart"/>
      <w:r w:rsidR="00C15991">
        <w:rPr>
          <w:color w:val="auto"/>
        </w:rPr>
        <w:t>c</w:t>
      </w:r>
      <w:r w:rsidRPr="00BE3708">
        <w:rPr>
          <w:color w:val="auto"/>
        </w:rPr>
        <w:t>ross-currency</w:t>
      </w:r>
      <w:proofErr w:type="gramEnd"/>
      <w:r w:rsidRPr="00BE3708">
        <w:rPr>
          <w:color w:val="auto"/>
        </w:rPr>
        <w:t xml:space="preserve"> interest rate swaps.</w:t>
      </w:r>
    </w:p>
    <w:p w14:paraId="39525181" w14:textId="77777777" w:rsidR="003E02AC" w:rsidRPr="00BE3708" w:rsidRDefault="000E24D0" w:rsidP="000827E3">
      <w:pPr>
        <w:pStyle w:val="NumberedL1"/>
        <w:rPr>
          <w:color w:val="auto"/>
        </w:rPr>
      </w:pPr>
      <w:r w:rsidRPr="00BE3708">
        <w:rPr>
          <w:color w:val="auto"/>
        </w:rPr>
        <w:t>8</w:t>
      </w:r>
      <w:r w:rsidRPr="00BE3708">
        <w:rPr>
          <w:color w:val="auto"/>
        </w:rPr>
        <w:tab/>
        <w:t xml:space="preserve">Provide possible examples of ‘Reserve’ accounts for Telecom Corporation of New Zealand. </w:t>
      </w:r>
    </w:p>
    <w:p w14:paraId="260D99E8" w14:textId="77777777" w:rsidR="003E02AC" w:rsidRPr="00BE3708" w:rsidRDefault="000E24D0" w:rsidP="0097388F">
      <w:pPr>
        <w:pStyle w:val="Answertextfullout"/>
        <w:rPr>
          <w:color w:val="auto"/>
        </w:rPr>
      </w:pPr>
      <w:r w:rsidRPr="00BE3708">
        <w:rPr>
          <w:color w:val="auto"/>
        </w:rPr>
        <w:t>Examples of reserve accounts are:</w:t>
      </w:r>
    </w:p>
    <w:p w14:paraId="72D61D2A" w14:textId="20D58724" w:rsidR="003E02AC" w:rsidRPr="00BE3708" w:rsidRDefault="000E24D0" w:rsidP="000E7642">
      <w:pPr>
        <w:pStyle w:val="bulletedlist2"/>
        <w:rPr>
          <w:color w:val="auto"/>
        </w:rPr>
      </w:pPr>
      <w:r w:rsidRPr="00BE3708">
        <w:rPr>
          <w:color w:val="auto"/>
        </w:rPr>
        <w:t>•</w:t>
      </w:r>
      <w:r w:rsidRPr="00BE3708">
        <w:rPr>
          <w:color w:val="auto"/>
        </w:rPr>
        <w:tab/>
      </w:r>
      <w:proofErr w:type="gramStart"/>
      <w:r w:rsidR="00C15991">
        <w:rPr>
          <w:color w:val="auto"/>
        </w:rPr>
        <w:t>a</w:t>
      </w:r>
      <w:r w:rsidRPr="00BE3708">
        <w:rPr>
          <w:color w:val="auto"/>
        </w:rPr>
        <w:t>sset</w:t>
      </w:r>
      <w:proofErr w:type="gramEnd"/>
      <w:r w:rsidRPr="00BE3708">
        <w:rPr>
          <w:color w:val="auto"/>
        </w:rPr>
        <w:t xml:space="preserve"> revaluation reserve</w:t>
      </w:r>
    </w:p>
    <w:p w14:paraId="1B29C3D4" w14:textId="4800D474" w:rsidR="003E02AC" w:rsidRPr="00BE3708" w:rsidRDefault="000E24D0" w:rsidP="000E7642">
      <w:pPr>
        <w:pStyle w:val="bulletedlist2"/>
        <w:rPr>
          <w:color w:val="auto"/>
        </w:rPr>
      </w:pPr>
      <w:r w:rsidRPr="00BE3708">
        <w:rPr>
          <w:color w:val="auto"/>
        </w:rPr>
        <w:t>•</w:t>
      </w:r>
      <w:r w:rsidRPr="00BE3708">
        <w:rPr>
          <w:color w:val="auto"/>
        </w:rPr>
        <w:tab/>
      </w:r>
      <w:proofErr w:type="gramStart"/>
      <w:r w:rsidR="00C15991">
        <w:rPr>
          <w:color w:val="auto"/>
        </w:rPr>
        <w:t>c</w:t>
      </w:r>
      <w:r w:rsidRPr="00BE3708">
        <w:rPr>
          <w:color w:val="auto"/>
        </w:rPr>
        <w:t>apital</w:t>
      </w:r>
      <w:proofErr w:type="gramEnd"/>
      <w:r w:rsidRPr="00BE3708">
        <w:rPr>
          <w:color w:val="auto"/>
        </w:rPr>
        <w:t xml:space="preserve"> reduction reserve</w:t>
      </w:r>
    </w:p>
    <w:p w14:paraId="2C4A6153" w14:textId="427C38F8" w:rsidR="003E02AC" w:rsidRPr="00BE3708" w:rsidRDefault="000E24D0" w:rsidP="000E7642">
      <w:pPr>
        <w:pStyle w:val="bulletedlist2"/>
        <w:rPr>
          <w:color w:val="auto"/>
        </w:rPr>
      </w:pPr>
      <w:r w:rsidRPr="00BE3708">
        <w:rPr>
          <w:color w:val="auto"/>
        </w:rPr>
        <w:t>•</w:t>
      </w:r>
      <w:r w:rsidRPr="00BE3708">
        <w:rPr>
          <w:color w:val="auto"/>
        </w:rPr>
        <w:tab/>
      </w:r>
      <w:proofErr w:type="gramStart"/>
      <w:r w:rsidR="00C15991">
        <w:rPr>
          <w:color w:val="auto"/>
        </w:rPr>
        <w:t>c</w:t>
      </w:r>
      <w:r w:rsidRPr="00BE3708">
        <w:rPr>
          <w:color w:val="auto"/>
        </w:rPr>
        <w:t>apital</w:t>
      </w:r>
      <w:proofErr w:type="gramEnd"/>
      <w:r w:rsidRPr="00BE3708">
        <w:rPr>
          <w:color w:val="auto"/>
        </w:rPr>
        <w:t xml:space="preserve"> profits reserve</w:t>
      </w:r>
    </w:p>
    <w:p w14:paraId="3C8487AB" w14:textId="1915585A" w:rsidR="003E02AC" w:rsidRPr="00BE3708" w:rsidRDefault="000E24D0" w:rsidP="000E7642">
      <w:pPr>
        <w:pStyle w:val="bulletedlist2"/>
        <w:rPr>
          <w:color w:val="auto"/>
        </w:rPr>
      </w:pPr>
      <w:r w:rsidRPr="00BE3708">
        <w:rPr>
          <w:color w:val="auto"/>
        </w:rPr>
        <w:t>•</w:t>
      </w:r>
      <w:r w:rsidRPr="00BE3708">
        <w:rPr>
          <w:color w:val="auto"/>
        </w:rPr>
        <w:tab/>
      </w:r>
      <w:proofErr w:type="gramStart"/>
      <w:r w:rsidR="00C15991">
        <w:rPr>
          <w:color w:val="auto"/>
        </w:rPr>
        <w:t>a</w:t>
      </w:r>
      <w:r w:rsidRPr="00BE3708">
        <w:rPr>
          <w:color w:val="auto"/>
        </w:rPr>
        <w:t>sset</w:t>
      </w:r>
      <w:proofErr w:type="gramEnd"/>
      <w:r w:rsidRPr="00BE3708">
        <w:rPr>
          <w:color w:val="auto"/>
        </w:rPr>
        <w:t xml:space="preserve"> replacement reserve</w:t>
      </w:r>
    </w:p>
    <w:p w14:paraId="43556EC8" w14:textId="765C2485" w:rsidR="003E02AC" w:rsidRPr="00BE3708" w:rsidRDefault="000E24D0" w:rsidP="000E7642">
      <w:pPr>
        <w:pStyle w:val="bulletedlist2"/>
        <w:rPr>
          <w:color w:val="auto"/>
        </w:rPr>
      </w:pPr>
      <w:r w:rsidRPr="00BE3708">
        <w:rPr>
          <w:color w:val="auto"/>
        </w:rPr>
        <w:t>•</w:t>
      </w:r>
      <w:r w:rsidRPr="00BE3708">
        <w:rPr>
          <w:color w:val="auto"/>
        </w:rPr>
        <w:tab/>
      </w:r>
      <w:r w:rsidR="00C15991">
        <w:rPr>
          <w:color w:val="auto"/>
        </w:rPr>
        <w:t>f</w:t>
      </w:r>
      <w:r w:rsidRPr="00BE3708">
        <w:rPr>
          <w:color w:val="auto"/>
        </w:rPr>
        <w:t>orfeited shares reserve</w:t>
      </w:r>
    </w:p>
    <w:p w14:paraId="3F87C952" w14:textId="2774BB60" w:rsidR="003E02AC" w:rsidRPr="00BE3708" w:rsidRDefault="000E24D0" w:rsidP="000E7642">
      <w:pPr>
        <w:pStyle w:val="bulletedlist2"/>
        <w:rPr>
          <w:color w:val="auto"/>
        </w:rPr>
      </w:pPr>
      <w:r w:rsidRPr="00BE3708">
        <w:rPr>
          <w:color w:val="auto"/>
        </w:rPr>
        <w:t>•</w:t>
      </w:r>
      <w:r w:rsidRPr="00BE3708">
        <w:rPr>
          <w:color w:val="auto"/>
        </w:rPr>
        <w:tab/>
      </w:r>
      <w:proofErr w:type="gramStart"/>
      <w:r w:rsidR="00C15991">
        <w:rPr>
          <w:color w:val="auto"/>
        </w:rPr>
        <w:t>f</w:t>
      </w:r>
      <w:r w:rsidRPr="00BE3708">
        <w:rPr>
          <w:color w:val="auto"/>
        </w:rPr>
        <w:t>oreign</w:t>
      </w:r>
      <w:proofErr w:type="gramEnd"/>
      <w:r w:rsidRPr="00BE3708">
        <w:rPr>
          <w:color w:val="auto"/>
        </w:rPr>
        <w:t xml:space="preserve"> currency translation reserve</w:t>
      </w:r>
    </w:p>
    <w:p w14:paraId="57432063" w14:textId="2C6E7FDF" w:rsidR="003E02AC" w:rsidRPr="00BE3708" w:rsidRDefault="000E24D0" w:rsidP="000E7642">
      <w:pPr>
        <w:pStyle w:val="bulletedlist2"/>
        <w:rPr>
          <w:color w:val="auto"/>
        </w:rPr>
      </w:pPr>
      <w:r w:rsidRPr="00BE3708">
        <w:rPr>
          <w:color w:val="auto"/>
        </w:rPr>
        <w:t>•</w:t>
      </w:r>
      <w:r w:rsidRPr="00BE3708">
        <w:rPr>
          <w:color w:val="auto"/>
        </w:rPr>
        <w:tab/>
      </w:r>
      <w:r w:rsidR="00C15991">
        <w:rPr>
          <w:color w:val="auto"/>
        </w:rPr>
        <w:t>d</w:t>
      </w:r>
      <w:r w:rsidRPr="00BE3708">
        <w:rPr>
          <w:color w:val="auto"/>
        </w:rPr>
        <w:t>ividend equalisation reserve.</w:t>
      </w:r>
    </w:p>
    <w:p w14:paraId="453E4863" w14:textId="77777777" w:rsidR="003E02AC" w:rsidRPr="00BE3708" w:rsidRDefault="000E24D0" w:rsidP="000827E3">
      <w:pPr>
        <w:pStyle w:val="NumberedL1"/>
        <w:rPr>
          <w:color w:val="auto"/>
        </w:rPr>
      </w:pPr>
      <w:r w:rsidRPr="00BE3708">
        <w:rPr>
          <w:color w:val="auto"/>
        </w:rPr>
        <w:t>9</w:t>
      </w:r>
      <w:r w:rsidRPr="00BE3708">
        <w:rPr>
          <w:color w:val="auto"/>
        </w:rPr>
        <w:tab/>
        <w:t xml:space="preserve">Why would accounts payable and accruals of the Telecom Corporation of New Zealand Group be greater than accounts payable and accruals of Telecom Corporation of New Zealand Parent? </w:t>
      </w:r>
    </w:p>
    <w:p w14:paraId="016BD051" w14:textId="77777777" w:rsidR="000E24D0" w:rsidRPr="00BE3708" w:rsidRDefault="000E24D0" w:rsidP="001B1678">
      <w:pPr>
        <w:pStyle w:val="NumberedL1Text"/>
        <w:rPr>
          <w:color w:val="auto"/>
        </w:rPr>
      </w:pPr>
      <w:r w:rsidRPr="00BE3708">
        <w:rPr>
          <w:color w:val="auto"/>
        </w:rPr>
        <w:t>The accounts payable and accruals of Telecom Corporation of New Zealand Parent will only include the accounts payable and accruals of that company. The accounts payable and accruals of the Telecom Corporation of New Zealand Group will represent an aggregation of all of the accounts payable and accruals of the parent company and all subsidiary companies.</w:t>
      </w:r>
    </w:p>
    <w:sectPr w:rsidR="000E24D0" w:rsidRPr="00BE3708" w:rsidSect="002776AD">
      <w:footerReference w:type="default" r:id="rId7"/>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0A868" w14:textId="77777777" w:rsidR="00C45135" w:rsidRDefault="00C45135" w:rsidP="000D523C">
      <w:pPr>
        <w:spacing w:after="0" w:line="240" w:lineRule="auto"/>
      </w:pPr>
      <w:r>
        <w:separator/>
      </w:r>
    </w:p>
  </w:endnote>
  <w:endnote w:type="continuationSeparator" w:id="0">
    <w:p w14:paraId="0112517E" w14:textId="77777777" w:rsidR="00C45135" w:rsidRDefault="00C45135" w:rsidP="000D5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D6287" w14:textId="21052E64" w:rsidR="000D523C" w:rsidRPr="00015B83" w:rsidRDefault="000D523C" w:rsidP="000D523C">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3FD8C" w14:textId="77777777" w:rsidR="00C45135" w:rsidRDefault="00C45135" w:rsidP="000D523C">
      <w:pPr>
        <w:spacing w:after="0" w:line="240" w:lineRule="auto"/>
      </w:pPr>
      <w:r>
        <w:separator/>
      </w:r>
    </w:p>
  </w:footnote>
  <w:footnote w:type="continuationSeparator" w:id="0">
    <w:p w14:paraId="18FAA087" w14:textId="77777777" w:rsidR="00C45135" w:rsidRDefault="00C45135" w:rsidP="000D52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26FE"/>
    <w:rsid w:val="00011096"/>
    <w:rsid w:val="000178CE"/>
    <w:rsid w:val="00024D0A"/>
    <w:rsid w:val="00035BA0"/>
    <w:rsid w:val="0004006B"/>
    <w:rsid w:val="00043E87"/>
    <w:rsid w:val="00047C6A"/>
    <w:rsid w:val="00056E2A"/>
    <w:rsid w:val="000626EE"/>
    <w:rsid w:val="000827E3"/>
    <w:rsid w:val="000B0CDA"/>
    <w:rsid w:val="000D341C"/>
    <w:rsid w:val="000D523C"/>
    <w:rsid w:val="000E24D0"/>
    <w:rsid w:val="000E7642"/>
    <w:rsid w:val="001002A3"/>
    <w:rsid w:val="00124631"/>
    <w:rsid w:val="00130902"/>
    <w:rsid w:val="001472C2"/>
    <w:rsid w:val="00147E68"/>
    <w:rsid w:val="001658D2"/>
    <w:rsid w:val="00172B12"/>
    <w:rsid w:val="00177FC1"/>
    <w:rsid w:val="00183E29"/>
    <w:rsid w:val="00184FB1"/>
    <w:rsid w:val="00186180"/>
    <w:rsid w:val="001953D4"/>
    <w:rsid w:val="001A78B7"/>
    <w:rsid w:val="001B1678"/>
    <w:rsid w:val="001E6E67"/>
    <w:rsid w:val="002147F1"/>
    <w:rsid w:val="002301B6"/>
    <w:rsid w:val="00234582"/>
    <w:rsid w:val="002378AE"/>
    <w:rsid w:val="00251616"/>
    <w:rsid w:val="002776AD"/>
    <w:rsid w:val="002802D4"/>
    <w:rsid w:val="002A03EC"/>
    <w:rsid w:val="003017ED"/>
    <w:rsid w:val="003069E7"/>
    <w:rsid w:val="003207D2"/>
    <w:rsid w:val="00360C39"/>
    <w:rsid w:val="00387967"/>
    <w:rsid w:val="003A26AE"/>
    <w:rsid w:val="003A37A6"/>
    <w:rsid w:val="003A56B2"/>
    <w:rsid w:val="003B6162"/>
    <w:rsid w:val="003E02AC"/>
    <w:rsid w:val="003F3D94"/>
    <w:rsid w:val="004036A8"/>
    <w:rsid w:val="00427412"/>
    <w:rsid w:val="00430E5D"/>
    <w:rsid w:val="00434A3F"/>
    <w:rsid w:val="00451B8F"/>
    <w:rsid w:val="00460591"/>
    <w:rsid w:val="0046709B"/>
    <w:rsid w:val="00495C2C"/>
    <w:rsid w:val="004B35D4"/>
    <w:rsid w:val="004C5ABE"/>
    <w:rsid w:val="004C6187"/>
    <w:rsid w:val="00517930"/>
    <w:rsid w:val="005326FE"/>
    <w:rsid w:val="0053374B"/>
    <w:rsid w:val="00541C56"/>
    <w:rsid w:val="005A294F"/>
    <w:rsid w:val="005A3BC0"/>
    <w:rsid w:val="005F0C88"/>
    <w:rsid w:val="00601ED9"/>
    <w:rsid w:val="00614AA9"/>
    <w:rsid w:val="00632F52"/>
    <w:rsid w:val="0064605F"/>
    <w:rsid w:val="006960A3"/>
    <w:rsid w:val="006A038E"/>
    <w:rsid w:val="006C1086"/>
    <w:rsid w:val="006D7DAD"/>
    <w:rsid w:val="006E525A"/>
    <w:rsid w:val="007059F2"/>
    <w:rsid w:val="007145C1"/>
    <w:rsid w:val="00714BFA"/>
    <w:rsid w:val="00753324"/>
    <w:rsid w:val="00755734"/>
    <w:rsid w:val="00762DC9"/>
    <w:rsid w:val="00774E50"/>
    <w:rsid w:val="00786C1E"/>
    <w:rsid w:val="00787768"/>
    <w:rsid w:val="007D1930"/>
    <w:rsid w:val="008026AC"/>
    <w:rsid w:val="00861788"/>
    <w:rsid w:val="0086248A"/>
    <w:rsid w:val="00865029"/>
    <w:rsid w:val="00867CC1"/>
    <w:rsid w:val="00884CCF"/>
    <w:rsid w:val="008A178A"/>
    <w:rsid w:val="008A472E"/>
    <w:rsid w:val="008B7156"/>
    <w:rsid w:val="008B7A88"/>
    <w:rsid w:val="008E34F5"/>
    <w:rsid w:val="008E4437"/>
    <w:rsid w:val="008F0B85"/>
    <w:rsid w:val="008F356F"/>
    <w:rsid w:val="00906578"/>
    <w:rsid w:val="009364B1"/>
    <w:rsid w:val="0094085E"/>
    <w:rsid w:val="00943E5D"/>
    <w:rsid w:val="0095383A"/>
    <w:rsid w:val="0097388F"/>
    <w:rsid w:val="009B32F9"/>
    <w:rsid w:val="009B701C"/>
    <w:rsid w:val="00A137C1"/>
    <w:rsid w:val="00A155A8"/>
    <w:rsid w:val="00A44B7B"/>
    <w:rsid w:val="00A54B81"/>
    <w:rsid w:val="00A7112D"/>
    <w:rsid w:val="00A914D0"/>
    <w:rsid w:val="00A925D7"/>
    <w:rsid w:val="00AA5095"/>
    <w:rsid w:val="00AD774C"/>
    <w:rsid w:val="00B068DB"/>
    <w:rsid w:val="00B12C8E"/>
    <w:rsid w:val="00B12CF5"/>
    <w:rsid w:val="00B34604"/>
    <w:rsid w:val="00B91027"/>
    <w:rsid w:val="00B955BF"/>
    <w:rsid w:val="00BA65CC"/>
    <w:rsid w:val="00BB73B9"/>
    <w:rsid w:val="00BE3708"/>
    <w:rsid w:val="00BE5F63"/>
    <w:rsid w:val="00BF3E79"/>
    <w:rsid w:val="00BF4B3D"/>
    <w:rsid w:val="00C15991"/>
    <w:rsid w:val="00C26E35"/>
    <w:rsid w:val="00C30710"/>
    <w:rsid w:val="00C3338C"/>
    <w:rsid w:val="00C42E24"/>
    <w:rsid w:val="00C45135"/>
    <w:rsid w:val="00C51371"/>
    <w:rsid w:val="00C53A72"/>
    <w:rsid w:val="00C57B94"/>
    <w:rsid w:val="00CB149D"/>
    <w:rsid w:val="00CB5840"/>
    <w:rsid w:val="00CB7EF1"/>
    <w:rsid w:val="00CE77F3"/>
    <w:rsid w:val="00CF6A4F"/>
    <w:rsid w:val="00D15CC6"/>
    <w:rsid w:val="00D21BC0"/>
    <w:rsid w:val="00D446A1"/>
    <w:rsid w:val="00D60108"/>
    <w:rsid w:val="00DC6F74"/>
    <w:rsid w:val="00DD025B"/>
    <w:rsid w:val="00E32260"/>
    <w:rsid w:val="00E51851"/>
    <w:rsid w:val="00E61884"/>
    <w:rsid w:val="00E87D3A"/>
    <w:rsid w:val="00E92194"/>
    <w:rsid w:val="00E9262C"/>
    <w:rsid w:val="00EA2CAA"/>
    <w:rsid w:val="00EB0D26"/>
    <w:rsid w:val="00EC3A43"/>
    <w:rsid w:val="00EC7E81"/>
    <w:rsid w:val="00ED44FD"/>
    <w:rsid w:val="00F06AE4"/>
    <w:rsid w:val="00F070D2"/>
    <w:rsid w:val="00F165E1"/>
    <w:rsid w:val="00F313DA"/>
    <w:rsid w:val="00F45906"/>
    <w:rsid w:val="00F500AE"/>
    <w:rsid w:val="00F76FCA"/>
    <w:rsid w:val="00FB5D8B"/>
    <w:rsid w:val="00FB6511"/>
    <w:rsid w:val="00FC5CD7"/>
    <w:rsid w:val="00FE4B68"/>
    <w:rsid w:val="00FE7DF8"/>
    <w:rsid w:val="00FF2CA5"/>
    <w:rsid w:val="00FF6D88"/>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87B20"/>
  <w15:docId w15:val="{FB1A23AD-F82D-40BE-84A7-9655D049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F6A4F"/>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95383A"/>
    <w:pPr>
      <w:spacing w:line="241" w:lineRule="atLeast"/>
    </w:pPr>
    <w:rPr>
      <w:rFonts w:cstheme="minorBidi"/>
      <w:color w:val="auto"/>
    </w:rPr>
  </w:style>
  <w:style w:type="character" w:customStyle="1" w:styleId="A1">
    <w:name w:val="A1"/>
    <w:uiPriority w:val="99"/>
    <w:rsid w:val="0095383A"/>
    <w:rPr>
      <w:rFonts w:cs="Zurich BT"/>
      <w:color w:val="951736"/>
      <w:sz w:val="20"/>
      <w:szCs w:val="20"/>
    </w:rPr>
  </w:style>
  <w:style w:type="paragraph" w:customStyle="1" w:styleId="Pa3">
    <w:name w:val="Pa3"/>
    <w:basedOn w:val="Default"/>
    <w:next w:val="Default"/>
    <w:uiPriority w:val="99"/>
    <w:rsid w:val="0095383A"/>
    <w:pPr>
      <w:spacing w:line="241" w:lineRule="atLeast"/>
    </w:pPr>
    <w:rPr>
      <w:rFonts w:cstheme="minorBidi"/>
      <w:color w:val="auto"/>
    </w:rPr>
  </w:style>
  <w:style w:type="character" w:customStyle="1" w:styleId="A0">
    <w:name w:val="A0"/>
    <w:uiPriority w:val="99"/>
    <w:rsid w:val="0095383A"/>
    <w:rPr>
      <w:rFonts w:cs="Zurich BT"/>
      <w:b/>
      <w:bCs/>
      <w:color w:val="211D1E"/>
      <w:sz w:val="18"/>
      <w:szCs w:val="18"/>
    </w:rPr>
  </w:style>
  <w:style w:type="character" w:customStyle="1" w:styleId="A4">
    <w:name w:val="A4"/>
    <w:uiPriority w:val="99"/>
    <w:rsid w:val="003E02AC"/>
    <w:rPr>
      <w:rFonts w:cs="Zurich BT"/>
      <w:color w:val="245266"/>
      <w:sz w:val="74"/>
      <w:szCs w:val="74"/>
    </w:rPr>
  </w:style>
  <w:style w:type="paragraph" w:customStyle="1" w:styleId="Pa7">
    <w:name w:val="Pa7"/>
    <w:basedOn w:val="Default"/>
    <w:next w:val="Default"/>
    <w:uiPriority w:val="99"/>
    <w:rsid w:val="003E02AC"/>
    <w:pPr>
      <w:spacing w:before="20" w:line="201" w:lineRule="atLeast"/>
    </w:pPr>
    <w:rPr>
      <w:rFonts w:cstheme="minorBidi"/>
      <w:color w:val="auto"/>
    </w:rPr>
  </w:style>
  <w:style w:type="paragraph" w:customStyle="1" w:styleId="Pa9">
    <w:name w:val="Pa9"/>
    <w:basedOn w:val="Default"/>
    <w:next w:val="Default"/>
    <w:uiPriority w:val="99"/>
    <w:rsid w:val="003E02AC"/>
    <w:pPr>
      <w:spacing w:before="40" w:line="201" w:lineRule="atLeast"/>
    </w:pPr>
    <w:rPr>
      <w:rFonts w:cstheme="minorBidi"/>
      <w:color w:val="auto"/>
    </w:rPr>
  </w:style>
  <w:style w:type="paragraph" w:customStyle="1" w:styleId="Pa10">
    <w:name w:val="Pa10"/>
    <w:basedOn w:val="Default"/>
    <w:next w:val="Default"/>
    <w:uiPriority w:val="99"/>
    <w:rsid w:val="003E02AC"/>
    <w:pPr>
      <w:spacing w:before="20" w:line="201" w:lineRule="atLeast"/>
    </w:pPr>
    <w:rPr>
      <w:rFonts w:cstheme="minorBidi"/>
      <w:color w:val="auto"/>
    </w:rPr>
  </w:style>
  <w:style w:type="paragraph" w:customStyle="1" w:styleId="Pa11">
    <w:name w:val="Pa11"/>
    <w:basedOn w:val="Default"/>
    <w:next w:val="Default"/>
    <w:uiPriority w:val="99"/>
    <w:rsid w:val="0095383A"/>
    <w:pPr>
      <w:spacing w:before="40" w:line="201" w:lineRule="atLeast"/>
    </w:pPr>
    <w:rPr>
      <w:rFonts w:cstheme="minorBidi"/>
      <w:color w:val="auto"/>
    </w:rPr>
  </w:style>
  <w:style w:type="paragraph" w:customStyle="1" w:styleId="bulletedlist3">
    <w:name w:val="bulleted list 3"/>
    <w:basedOn w:val="bulletedlist2"/>
    <w:qFormat/>
    <w:rsid w:val="00CF6A4F"/>
    <w:pPr>
      <w:ind w:left="1080"/>
    </w:pPr>
  </w:style>
  <w:style w:type="paragraph" w:customStyle="1" w:styleId="Pa15">
    <w:name w:val="Pa15"/>
    <w:basedOn w:val="Default"/>
    <w:next w:val="Default"/>
    <w:uiPriority w:val="99"/>
    <w:rsid w:val="003E02AC"/>
    <w:pPr>
      <w:spacing w:before="20" w:line="201" w:lineRule="atLeast"/>
    </w:pPr>
    <w:rPr>
      <w:rFonts w:cstheme="minorBidi"/>
      <w:color w:val="auto"/>
    </w:rPr>
  </w:style>
  <w:style w:type="paragraph" w:customStyle="1" w:styleId="Pa16">
    <w:name w:val="Pa16"/>
    <w:basedOn w:val="Default"/>
    <w:next w:val="Default"/>
    <w:uiPriority w:val="99"/>
    <w:rsid w:val="003E02AC"/>
    <w:pPr>
      <w:spacing w:before="20" w:line="201" w:lineRule="atLeast"/>
    </w:pPr>
    <w:rPr>
      <w:rFonts w:cstheme="minorBidi"/>
      <w:color w:val="auto"/>
    </w:rPr>
  </w:style>
  <w:style w:type="paragraph" w:customStyle="1" w:styleId="designernote">
    <w:name w:val="designer note"/>
    <w:basedOn w:val="Normal"/>
    <w:qFormat/>
    <w:rsid w:val="00CF6A4F"/>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NumberedL2text">
    <w:name w:val="Numbered L2 text"/>
    <w:basedOn w:val="Default"/>
    <w:next w:val="Default"/>
    <w:autoRedefine/>
    <w:uiPriority w:val="99"/>
    <w:rsid w:val="00451B8F"/>
    <w:pPr>
      <w:spacing w:before="20" w:line="201" w:lineRule="atLeast"/>
      <w:ind w:left="720"/>
    </w:pPr>
    <w:rPr>
      <w:rFonts w:ascii="Cochin" w:hAnsi="Cochin" w:cs="Cochin"/>
      <w:color w:val="00919D"/>
      <w:sz w:val="20"/>
      <w:szCs w:val="20"/>
    </w:rPr>
  </w:style>
  <w:style w:type="paragraph" w:customStyle="1" w:styleId="NumberedL2">
    <w:name w:val="Numbered L2"/>
    <w:basedOn w:val="NumberedL1"/>
    <w:qFormat/>
    <w:rsid w:val="00CF6A4F"/>
    <w:pPr>
      <w:ind w:left="720"/>
    </w:pPr>
  </w:style>
  <w:style w:type="paragraph" w:customStyle="1" w:styleId="bulletedlist2">
    <w:name w:val="bulleted list 2"/>
    <w:basedOn w:val="Normal"/>
    <w:qFormat/>
    <w:rsid w:val="00CF6A4F"/>
    <w:pPr>
      <w:spacing w:before="20" w:after="0" w:line="201" w:lineRule="atLeast"/>
      <w:ind w:left="720" w:hanging="360"/>
    </w:pPr>
    <w:rPr>
      <w:rFonts w:ascii="Cochin" w:hAnsi="Cochin" w:cs="Cochin"/>
      <w:color w:val="00919D"/>
      <w:sz w:val="20"/>
      <w:szCs w:val="20"/>
    </w:rPr>
  </w:style>
  <w:style w:type="paragraph" w:customStyle="1" w:styleId="NumberedL2textind">
    <w:name w:val="Numbered L2 text ind"/>
    <w:basedOn w:val="Default"/>
    <w:next w:val="Default"/>
    <w:uiPriority w:val="99"/>
    <w:rsid w:val="00024D0A"/>
    <w:pPr>
      <w:spacing w:before="20" w:line="201" w:lineRule="atLeast"/>
    </w:pPr>
    <w:rPr>
      <w:rFonts w:cstheme="minorBidi"/>
      <w:color w:val="auto"/>
    </w:rPr>
  </w:style>
  <w:style w:type="paragraph" w:customStyle="1" w:styleId="Pa6">
    <w:name w:val="Pa6"/>
    <w:basedOn w:val="Default"/>
    <w:next w:val="Default"/>
    <w:uiPriority w:val="99"/>
    <w:rsid w:val="0095383A"/>
    <w:pPr>
      <w:spacing w:line="201" w:lineRule="atLeast"/>
    </w:pPr>
    <w:rPr>
      <w:rFonts w:cstheme="minorBidi"/>
      <w:color w:val="auto"/>
    </w:rPr>
  </w:style>
  <w:style w:type="paragraph" w:customStyle="1" w:styleId="Casestudy">
    <w:name w:val="Case study"/>
    <w:basedOn w:val="Normal"/>
    <w:qFormat/>
    <w:rsid w:val="00CF6A4F"/>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CF6A4F"/>
    <w:pPr>
      <w:spacing w:line="881" w:lineRule="atLeast"/>
      <w:jc w:val="right"/>
    </w:pPr>
    <w:rPr>
      <w:color w:val="auto"/>
      <w:sz w:val="88"/>
      <w:szCs w:val="88"/>
    </w:rPr>
  </w:style>
  <w:style w:type="paragraph" w:customStyle="1" w:styleId="CasestudyHead">
    <w:name w:val="Case study Head"/>
    <w:basedOn w:val="Default"/>
    <w:qFormat/>
    <w:rsid w:val="00CF6A4F"/>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CF6A4F"/>
    <w:pPr>
      <w:spacing w:after="20" w:line="201" w:lineRule="atLeast"/>
      <w:jc w:val="both"/>
    </w:pPr>
    <w:rPr>
      <w:rFonts w:ascii="Cochin" w:hAnsi="Cochin" w:cs="Cochin"/>
      <w:color w:val="211D1E"/>
      <w:sz w:val="20"/>
      <w:szCs w:val="20"/>
    </w:rPr>
  </w:style>
  <w:style w:type="paragraph" w:customStyle="1" w:styleId="QHead">
    <w:name w:val="Q Head"/>
    <w:basedOn w:val="Default"/>
    <w:qFormat/>
    <w:rsid w:val="00CF6A4F"/>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CF6A4F"/>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Source">
    <w:name w:val="Source"/>
    <w:basedOn w:val="Default"/>
    <w:qFormat/>
    <w:rsid w:val="00CF6A4F"/>
    <w:pPr>
      <w:spacing w:before="200" w:after="200" w:line="181" w:lineRule="atLeast"/>
    </w:pPr>
    <w:rPr>
      <w:color w:val="211D1E"/>
      <w:sz w:val="18"/>
      <w:szCs w:val="18"/>
    </w:rPr>
  </w:style>
  <w:style w:type="paragraph" w:customStyle="1" w:styleId="bulletedlist4">
    <w:name w:val="bulleted list 4"/>
    <w:basedOn w:val="bulletedlist3"/>
    <w:qFormat/>
    <w:rsid w:val="00CF6A4F"/>
    <w:pPr>
      <w:ind w:left="1440"/>
    </w:pPr>
  </w:style>
  <w:style w:type="paragraph" w:customStyle="1" w:styleId="extract">
    <w:name w:val="extract"/>
    <w:next w:val="Default"/>
    <w:uiPriority w:val="99"/>
    <w:rsid w:val="00CF6A4F"/>
    <w:pPr>
      <w:spacing w:before="20" w:after="20" w:line="201" w:lineRule="atLeast"/>
      <w:ind w:left="576"/>
    </w:pPr>
    <w:rPr>
      <w:rFonts w:ascii="Zurich BT" w:hAnsi="Zurich BT"/>
      <w:sz w:val="24"/>
      <w:szCs w:val="24"/>
    </w:rPr>
  </w:style>
  <w:style w:type="paragraph" w:customStyle="1" w:styleId="NumberedL3">
    <w:name w:val="Numbered L3"/>
    <w:basedOn w:val="Pa15"/>
    <w:qFormat/>
    <w:rsid w:val="00943E5D"/>
    <w:pPr>
      <w:ind w:left="960" w:hanging="380"/>
    </w:pPr>
    <w:rPr>
      <w:rFonts w:ascii="Cochin" w:hAnsi="Cochin" w:cs="Cochin"/>
      <w:color w:val="00919D"/>
      <w:sz w:val="20"/>
      <w:szCs w:val="20"/>
    </w:rPr>
  </w:style>
  <w:style w:type="paragraph" w:customStyle="1" w:styleId="Answertextfullout">
    <w:name w:val="Answer text fullout"/>
    <w:basedOn w:val="Default"/>
    <w:next w:val="Default"/>
    <w:autoRedefine/>
    <w:uiPriority w:val="99"/>
    <w:rsid w:val="0097388F"/>
    <w:pPr>
      <w:spacing w:before="20" w:line="201" w:lineRule="atLeast"/>
      <w:ind w:left="360"/>
    </w:pPr>
    <w:rPr>
      <w:rFonts w:ascii="Cochin" w:hAnsi="Cochin" w:cs="Cochin"/>
      <w:color w:val="00919D"/>
      <w:sz w:val="20"/>
      <w:szCs w:val="20"/>
    </w:rPr>
  </w:style>
  <w:style w:type="paragraph" w:customStyle="1" w:styleId="Answertext">
    <w:name w:val="Answer text"/>
    <w:basedOn w:val="Default"/>
    <w:next w:val="Default"/>
    <w:uiPriority w:val="99"/>
    <w:rsid w:val="0095383A"/>
    <w:pPr>
      <w:spacing w:before="20" w:line="201" w:lineRule="atLeast"/>
    </w:pPr>
    <w:rPr>
      <w:rFonts w:cstheme="minorBidi"/>
      <w:color w:val="auto"/>
    </w:rPr>
  </w:style>
  <w:style w:type="paragraph" w:customStyle="1" w:styleId="Boxtextfullout">
    <w:name w:val="Box text fullout"/>
    <w:qFormat/>
    <w:rsid w:val="00CF6A4F"/>
    <w:pPr>
      <w:spacing w:after="0"/>
      <w:jc w:val="both"/>
    </w:pPr>
    <w:rPr>
      <w:rFonts w:ascii="Times New Roman" w:hAnsi="Times New Roman" w:cs="Times New Roman"/>
      <w:color w:val="211D1E"/>
      <w:sz w:val="20"/>
      <w:szCs w:val="20"/>
    </w:rPr>
  </w:style>
  <w:style w:type="paragraph" w:customStyle="1" w:styleId="NumberedL1Text">
    <w:name w:val="Numbered L1 Text"/>
    <w:qFormat/>
    <w:rsid w:val="00CF6A4F"/>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CF6A4F"/>
    <w:pPr>
      <w:ind w:firstLine="360"/>
    </w:pPr>
  </w:style>
  <w:style w:type="paragraph" w:customStyle="1" w:styleId="NumberedL2TextInd0">
    <w:name w:val="Numbered L2 Text Ind"/>
    <w:basedOn w:val="NumberedL1TextInd"/>
    <w:qFormat/>
    <w:rsid w:val="00CF6A4F"/>
    <w:pPr>
      <w:ind w:left="720"/>
    </w:pPr>
    <w:rPr>
      <w:color w:val="009193"/>
    </w:rPr>
  </w:style>
  <w:style w:type="paragraph" w:customStyle="1" w:styleId="NumberedL2a">
    <w:name w:val="Numbered L2a"/>
    <w:basedOn w:val="NumberedL2"/>
    <w:qFormat/>
    <w:rsid w:val="00CF6A4F"/>
    <w:rPr>
      <w:color w:val="00919D"/>
    </w:rPr>
  </w:style>
  <w:style w:type="paragraph" w:customStyle="1" w:styleId="bulletedlist1">
    <w:name w:val="bulleted list 1"/>
    <w:basedOn w:val="bulletedlist2"/>
    <w:qFormat/>
    <w:rsid w:val="00CF6A4F"/>
    <w:pPr>
      <w:ind w:left="360"/>
    </w:pPr>
  </w:style>
  <w:style w:type="character" w:customStyle="1" w:styleId="CaseNumber">
    <w:name w:val="Case Number"/>
    <w:basedOn w:val="DefaultParagraphFont"/>
    <w:uiPriority w:val="1"/>
    <w:qFormat/>
    <w:rsid w:val="00CF6A4F"/>
    <w:rPr>
      <w:color w:val="245266"/>
      <w:sz w:val="74"/>
      <w:szCs w:val="74"/>
    </w:rPr>
  </w:style>
  <w:style w:type="character" w:customStyle="1" w:styleId="CaseNumbertext">
    <w:name w:val="Case Number text"/>
    <w:basedOn w:val="CaseNumber"/>
    <w:uiPriority w:val="1"/>
    <w:qFormat/>
    <w:rsid w:val="00CF6A4F"/>
    <w:rPr>
      <w:color w:val="245266"/>
      <w:sz w:val="88"/>
      <w:szCs w:val="74"/>
    </w:rPr>
  </w:style>
  <w:style w:type="paragraph" w:customStyle="1" w:styleId="Bodytextfullout">
    <w:name w:val="Body text fullout"/>
    <w:qFormat/>
    <w:rsid w:val="00CF6A4F"/>
    <w:pPr>
      <w:spacing w:after="80"/>
    </w:pPr>
    <w:rPr>
      <w:rFonts w:ascii="Cochin" w:hAnsi="Cochin" w:cs="Cochin"/>
      <w:color w:val="211D1E"/>
      <w:sz w:val="20"/>
      <w:szCs w:val="20"/>
    </w:rPr>
  </w:style>
  <w:style w:type="paragraph" w:customStyle="1" w:styleId="BodyText1">
    <w:name w:val="Body Text1"/>
    <w:basedOn w:val="Bodytextfullout"/>
    <w:qFormat/>
    <w:rsid w:val="00CF6A4F"/>
    <w:pPr>
      <w:ind w:firstLine="360"/>
    </w:pPr>
  </w:style>
  <w:style w:type="paragraph" w:customStyle="1" w:styleId="Boxtext">
    <w:name w:val="Box text"/>
    <w:basedOn w:val="Boxtextfullout"/>
    <w:qFormat/>
    <w:rsid w:val="00CF6A4F"/>
    <w:pPr>
      <w:ind w:firstLine="360"/>
    </w:pPr>
  </w:style>
  <w:style w:type="paragraph" w:customStyle="1" w:styleId="QAHead">
    <w:name w:val="Q A Head"/>
    <w:qFormat/>
    <w:rsid w:val="00CF6A4F"/>
    <w:pPr>
      <w:spacing w:before="100" w:after="20" w:line="240" w:lineRule="auto"/>
      <w:jc w:val="both"/>
    </w:pPr>
    <w:rPr>
      <w:rFonts w:ascii="Cochin" w:hAnsi="Cochin" w:cs="Cochin"/>
      <w:b/>
      <w:bCs/>
      <w:color w:val="00919D"/>
      <w:sz w:val="20"/>
      <w:szCs w:val="20"/>
    </w:rPr>
  </w:style>
  <w:style w:type="paragraph" w:customStyle="1" w:styleId="BoxHead">
    <w:name w:val="Box Head"/>
    <w:qFormat/>
    <w:rsid w:val="00CF6A4F"/>
    <w:pPr>
      <w:spacing w:before="440" w:line="361" w:lineRule="atLeast"/>
      <w:jc w:val="center"/>
    </w:pPr>
    <w:rPr>
      <w:rFonts w:ascii="Times New Roman" w:hAnsi="Times New Roman" w:cs="Times New Roman"/>
      <w:color w:val="211D1E"/>
      <w:sz w:val="36"/>
      <w:szCs w:val="36"/>
    </w:rPr>
  </w:style>
  <w:style w:type="paragraph" w:customStyle="1" w:styleId="AHead">
    <w:name w:val="A Head"/>
    <w:qFormat/>
    <w:rsid w:val="00CF6A4F"/>
    <w:pPr>
      <w:spacing w:after="80"/>
    </w:pPr>
    <w:rPr>
      <w:rFonts w:ascii="Cochin" w:hAnsi="Cochin" w:cs="Cochin"/>
      <w:b/>
      <w:bCs/>
      <w:color w:val="211D1E"/>
      <w:sz w:val="20"/>
      <w:szCs w:val="20"/>
    </w:rPr>
  </w:style>
  <w:style w:type="paragraph" w:customStyle="1" w:styleId="NumberedText">
    <w:name w:val="Numbered Text"/>
    <w:basedOn w:val="NumberedL1Text"/>
    <w:qFormat/>
    <w:rsid w:val="00CF6A4F"/>
    <w:pPr>
      <w:ind w:left="0" w:firstLine="360"/>
    </w:pPr>
  </w:style>
  <w:style w:type="paragraph" w:customStyle="1" w:styleId="Extract0">
    <w:name w:val="Extract"/>
    <w:basedOn w:val="extract"/>
    <w:qFormat/>
    <w:rsid w:val="00CF6A4F"/>
    <w:pPr>
      <w:spacing w:before="40" w:after="40"/>
      <w:ind w:left="0"/>
    </w:pPr>
    <w:rPr>
      <w:rFonts w:ascii="Cochin" w:hAnsi="Cochin" w:cs="Cochin"/>
      <w:color w:val="00919D"/>
      <w:sz w:val="20"/>
      <w:szCs w:val="20"/>
    </w:rPr>
  </w:style>
  <w:style w:type="paragraph" w:customStyle="1" w:styleId="NumberedL2Text0">
    <w:name w:val="Numbered L2 Text"/>
    <w:basedOn w:val="NumberedL2TextInd0"/>
    <w:qFormat/>
    <w:rsid w:val="00CF6A4F"/>
    <w:pPr>
      <w:ind w:firstLine="0"/>
    </w:pPr>
  </w:style>
  <w:style w:type="paragraph" w:customStyle="1" w:styleId="Casestudytext">
    <w:name w:val="Case study text"/>
    <w:basedOn w:val="Casestudytextfullout"/>
    <w:qFormat/>
    <w:rsid w:val="00CF6A4F"/>
    <w:pPr>
      <w:ind w:firstLine="360"/>
    </w:pPr>
  </w:style>
  <w:style w:type="paragraph" w:customStyle="1" w:styleId="Pa2">
    <w:name w:val="Pa2"/>
    <w:basedOn w:val="Default"/>
    <w:next w:val="Default"/>
    <w:uiPriority w:val="99"/>
    <w:rsid w:val="00CF6A4F"/>
    <w:pPr>
      <w:spacing w:line="201" w:lineRule="atLeast"/>
    </w:pPr>
    <w:rPr>
      <w:rFonts w:cstheme="minorBidi"/>
      <w:color w:val="auto"/>
    </w:rPr>
  </w:style>
  <w:style w:type="paragraph" w:customStyle="1" w:styleId="Pa8">
    <w:name w:val="Pa8"/>
    <w:basedOn w:val="Default"/>
    <w:next w:val="Default"/>
    <w:uiPriority w:val="99"/>
    <w:rsid w:val="00CF6A4F"/>
    <w:pPr>
      <w:spacing w:before="40" w:line="201" w:lineRule="atLeast"/>
    </w:pPr>
    <w:rPr>
      <w:rFonts w:cstheme="minorBidi"/>
      <w:color w:val="auto"/>
    </w:rPr>
  </w:style>
  <w:style w:type="paragraph" w:customStyle="1" w:styleId="TB">
    <w:name w:val="TB"/>
    <w:qFormat/>
    <w:rsid w:val="00CF6A4F"/>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CF6A4F"/>
  </w:style>
  <w:style w:type="paragraph" w:customStyle="1" w:styleId="Bulleted">
    <w:name w:val="Bulleted"/>
    <w:basedOn w:val="bulletedlist2"/>
    <w:qFormat/>
    <w:rsid w:val="00CF6A4F"/>
    <w:rPr>
      <w:color w:val="auto"/>
    </w:rPr>
  </w:style>
  <w:style w:type="paragraph" w:customStyle="1" w:styleId="NumberedTB">
    <w:name w:val="Numbered TB"/>
    <w:basedOn w:val="TB"/>
    <w:qFormat/>
    <w:rsid w:val="00CF6A4F"/>
    <w:rPr>
      <w:color w:val="00919D"/>
    </w:rPr>
  </w:style>
  <w:style w:type="paragraph" w:customStyle="1" w:styleId="BoxAHead">
    <w:name w:val="Box A Head"/>
    <w:basedOn w:val="Normal"/>
    <w:next w:val="Boxtext"/>
    <w:qFormat/>
    <w:rsid w:val="00CF6A4F"/>
    <w:pPr>
      <w:autoSpaceDE w:val="0"/>
      <w:autoSpaceDN w:val="0"/>
      <w:adjustRightInd w:val="0"/>
      <w:spacing w:before="120" w:after="0" w:line="240" w:lineRule="auto"/>
    </w:pPr>
    <w:rPr>
      <w:rFonts w:ascii="Times New Roman" w:hAnsi="Times New Roman"/>
      <w:b/>
      <w:bCs/>
      <w:sz w:val="20"/>
      <w:szCs w:val="20"/>
    </w:rPr>
  </w:style>
  <w:style w:type="paragraph" w:styleId="BalloonText">
    <w:name w:val="Balloon Text"/>
    <w:basedOn w:val="Normal"/>
    <w:link w:val="BalloonTextChar"/>
    <w:uiPriority w:val="99"/>
    <w:semiHidden/>
    <w:unhideWhenUsed/>
    <w:rsid w:val="00043E8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E87"/>
    <w:rPr>
      <w:rFonts w:ascii="Lucida Grande" w:hAnsi="Lucida Grande" w:cs="Lucida Grande"/>
      <w:sz w:val="18"/>
      <w:szCs w:val="18"/>
    </w:rPr>
  </w:style>
  <w:style w:type="paragraph" w:styleId="Header">
    <w:name w:val="header"/>
    <w:basedOn w:val="Normal"/>
    <w:link w:val="HeaderChar"/>
    <w:uiPriority w:val="99"/>
    <w:unhideWhenUsed/>
    <w:rsid w:val="000D5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523C"/>
  </w:style>
  <w:style w:type="paragraph" w:styleId="Footer">
    <w:name w:val="footer"/>
    <w:basedOn w:val="Normal"/>
    <w:link w:val="FooterChar"/>
    <w:uiPriority w:val="99"/>
    <w:unhideWhenUsed/>
    <w:rsid w:val="000D5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27</TotalTime>
  <Pages>4</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86</cp:revision>
  <dcterms:created xsi:type="dcterms:W3CDTF">2013-05-30T08:25:00Z</dcterms:created>
  <dcterms:modified xsi:type="dcterms:W3CDTF">2013-12-10T07:22:00Z</dcterms:modified>
</cp:coreProperties>
</file>