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62" w:rsidRDefault="00111A62" w:rsidP="00111A62">
      <w:pPr>
        <w:pStyle w:val="BodyText"/>
        <w:jc w:val="right"/>
      </w:pPr>
      <w:r>
        <w:t>Robert C. Higgins</w:t>
      </w:r>
      <w:r>
        <w:br/>
        <w:t>Dec-2014</w:t>
      </w:r>
    </w:p>
    <w:p w:rsidR="00111A62" w:rsidRPr="00161400" w:rsidRDefault="00111A62" w:rsidP="00111A62">
      <w:pPr>
        <w:spacing w:before="240"/>
        <w:jc w:val="center"/>
        <w:rPr>
          <w:b/>
          <w:bCs/>
          <w:sz w:val="28"/>
        </w:rPr>
      </w:pPr>
      <w:r>
        <w:rPr>
          <w:b/>
          <w:bCs/>
          <w:sz w:val="28"/>
        </w:rPr>
        <w:t xml:space="preserve">Recommended Cases to Accompany </w:t>
      </w:r>
      <w:r>
        <w:rPr>
          <w:b/>
          <w:bCs/>
          <w:i/>
          <w:iCs/>
          <w:sz w:val="28"/>
        </w:rPr>
        <w:t>Analysis for Financial Management</w:t>
      </w:r>
      <w:r>
        <w:rPr>
          <w:b/>
          <w:bCs/>
          <w:sz w:val="28"/>
        </w:rPr>
        <w:t>, 11e</w:t>
      </w:r>
    </w:p>
    <w:p w:rsidR="00111A62" w:rsidRPr="00252822" w:rsidRDefault="00111A62" w:rsidP="00111A62">
      <w:pPr>
        <w:spacing w:before="240"/>
        <w:rPr>
          <w:i/>
          <w:iCs/>
          <w:sz w:val="20"/>
        </w:rPr>
      </w:pPr>
      <w:r>
        <w:rPr>
          <w:sz w:val="20"/>
        </w:rPr>
        <w:t xml:space="preserve">This note offers chapter-by-chapter recommendations of cases that work well with </w:t>
      </w:r>
      <w:r>
        <w:rPr>
          <w:i/>
          <w:iCs/>
          <w:sz w:val="20"/>
        </w:rPr>
        <w:t>Analysis for Financial Management</w:t>
      </w:r>
      <w:r>
        <w:rPr>
          <w:iCs/>
          <w:sz w:val="20"/>
        </w:rPr>
        <w:t>,</w:t>
      </w:r>
      <w:r>
        <w:rPr>
          <w:sz w:val="20"/>
        </w:rPr>
        <w:t xml:space="preserve"> tips on finding other quality cases, and advice on preparing course packets.  </w:t>
      </w:r>
    </w:p>
    <w:p w:rsidR="00111A62" w:rsidRDefault="00111A62" w:rsidP="00111A62">
      <w:pPr>
        <w:spacing w:before="240"/>
        <w:rPr>
          <w:sz w:val="20"/>
        </w:rPr>
      </w:pPr>
      <w:r>
        <w:rPr>
          <w:sz w:val="20"/>
        </w:rPr>
        <w:t>As you review these recommendations, keep in mind that cases can be quite personal, so that what works well for one instructor may not work for others.  Be prepared, then, for some trial-and-error as you search for cases that meet your needs.  Remember too that the cases I am about to mention are from a necessarily short list that I have used successfully in the past, or intend to use in the near future.  I am sure there are many other highly effective cases of which I am unaware.  Indeed, if you spot any glaring omissions in my recommended list, please let me know.</w:t>
      </w:r>
    </w:p>
    <w:p w:rsidR="00111A62" w:rsidRDefault="00111A62" w:rsidP="00111A62">
      <w:pPr>
        <w:pStyle w:val="Heading1"/>
      </w:pPr>
      <w:bookmarkStart w:id="0" w:name="_Toc27544881"/>
      <w:r>
        <w:t>Sources of Cases</w:t>
      </w:r>
      <w:bookmarkEnd w:id="0"/>
    </w:p>
    <w:p w:rsidR="00111A62" w:rsidRDefault="00111A62" w:rsidP="00111A62">
      <w:pPr>
        <w:spacing w:before="240"/>
        <w:rPr>
          <w:sz w:val="20"/>
        </w:rPr>
      </w:pPr>
      <w:r>
        <w:rPr>
          <w:sz w:val="20"/>
        </w:rPr>
        <w:t>Cases are available in two forms: published casebooks and individual cases.  The two most popular corporate finance casebooks are:</w:t>
      </w:r>
    </w:p>
    <w:p w:rsidR="00111A62" w:rsidRDefault="00111A62" w:rsidP="00111A62">
      <w:pPr>
        <w:numPr>
          <w:ilvl w:val="0"/>
          <w:numId w:val="1"/>
        </w:numPr>
        <w:spacing w:before="240"/>
        <w:rPr>
          <w:sz w:val="20"/>
        </w:rPr>
      </w:pPr>
      <w:r>
        <w:rPr>
          <w:sz w:val="20"/>
        </w:rPr>
        <w:t xml:space="preserve">Bruner, Robert F., Kenneth Eades, and Michael Schill, </w:t>
      </w:r>
      <w:r>
        <w:rPr>
          <w:i/>
          <w:iCs/>
          <w:sz w:val="20"/>
        </w:rPr>
        <w:t>Case Studies in Finance</w:t>
      </w:r>
      <w:r>
        <w:rPr>
          <w:sz w:val="20"/>
        </w:rPr>
        <w:t>, 7</w:t>
      </w:r>
      <w:r>
        <w:rPr>
          <w:sz w:val="20"/>
          <w:vertAlign w:val="superscript"/>
        </w:rPr>
        <w:t>th</w:t>
      </w:r>
      <w:r>
        <w:rPr>
          <w:sz w:val="20"/>
        </w:rPr>
        <w:t xml:space="preserve">ed. </w:t>
      </w:r>
      <w:smartTag w:uri="urn:schemas-microsoft-com:office:smarttags" w:element="place">
        <w:smartTag w:uri="urn:schemas-microsoft-com:office:smarttags" w:element="State">
          <w:r>
            <w:rPr>
              <w:sz w:val="20"/>
            </w:rPr>
            <w:t>New York</w:t>
          </w:r>
        </w:smartTag>
      </w:smartTag>
      <w:r>
        <w:rPr>
          <w:sz w:val="20"/>
        </w:rPr>
        <w:t>: McGraw-Hill, 2013.</w:t>
      </w:r>
    </w:p>
    <w:p w:rsidR="00111A62" w:rsidRDefault="00111A62" w:rsidP="00111A62">
      <w:pPr>
        <w:numPr>
          <w:ilvl w:val="0"/>
          <w:numId w:val="1"/>
        </w:numPr>
        <w:spacing w:before="240"/>
        <w:rPr>
          <w:sz w:val="20"/>
        </w:rPr>
      </w:pPr>
      <w:r>
        <w:rPr>
          <w:sz w:val="20"/>
        </w:rPr>
        <w:t xml:space="preserve">Kester, Carl, W., Richard S. Ruback and Peter Tufano, </w:t>
      </w:r>
      <w:r>
        <w:rPr>
          <w:i/>
          <w:iCs/>
          <w:sz w:val="20"/>
        </w:rPr>
        <w:t>Case Problems in Finance</w:t>
      </w:r>
      <w:r>
        <w:rPr>
          <w:sz w:val="20"/>
        </w:rPr>
        <w:t>, 12</w:t>
      </w:r>
      <w:r>
        <w:rPr>
          <w:sz w:val="20"/>
          <w:vertAlign w:val="superscript"/>
        </w:rPr>
        <w:t>th</w:t>
      </w:r>
      <w:r>
        <w:rPr>
          <w:sz w:val="20"/>
        </w:rPr>
        <w:t xml:space="preserve"> ed. </w:t>
      </w:r>
      <w:smartTag w:uri="urn:schemas-microsoft-com:office:smarttags" w:element="place">
        <w:smartTag w:uri="urn:schemas-microsoft-com:office:smarttags" w:element="City">
          <w:r>
            <w:rPr>
              <w:sz w:val="20"/>
            </w:rPr>
            <w:t>Burr Ridge</w:t>
          </w:r>
        </w:smartTag>
        <w:r>
          <w:rPr>
            <w:sz w:val="20"/>
          </w:rPr>
          <w:t xml:space="preserve">, </w:t>
        </w:r>
        <w:smartTag w:uri="urn:schemas-microsoft-com:office:smarttags" w:element="State">
          <w:r>
            <w:rPr>
              <w:sz w:val="20"/>
            </w:rPr>
            <w:t>IL</w:t>
          </w:r>
        </w:smartTag>
      </w:smartTag>
      <w:r>
        <w:rPr>
          <w:sz w:val="20"/>
        </w:rPr>
        <w:t>: Irwin, 2005.</w:t>
      </w:r>
    </w:p>
    <w:p w:rsidR="00111A62" w:rsidRDefault="00111A62" w:rsidP="00111A62">
      <w:pPr>
        <w:spacing w:before="240"/>
        <w:rPr>
          <w:sz w:val="20"/>
        </w:rPr>
      </w:pPr>
      <w:r>
        <w:rPr>
          <w:sz w:val="20"/>
        </w:rPr>
        <w:t>Casebooks are undeniably convenient, but ordering individual cases from multiple sources offers significant advantages.  Use of individual cases greatly increases the range of options, enables the instructor to tailor his course more precisely to student needs, and offers multiple perspectives on the subject matter.  And because all of the cases in the two books just mentioned are also available individually, there are few disadvantages to using individual cases.</w:t>
      </w:r>
    </w:p>
    <w:p w:rsidR="00111A62" w:rsidRDefault="00111A62" w:rsidP="00111A62">
      <w:pPr>
        <w:spacing w:before="240"/>
        <w:rPr>
          <w:sz w:val="20"/>
        </w:rPr>
      </w:pPr>
      <w:r>
        <w:rPr>
          <w:sz w:val="20"/>
        </w:rPr>
        <w:t xml:space="preserve">Reliance on individual cases used to require working with reluctant, ill-informed bookstores, or securing copyright permissions and overseeing reproduction and sale of the cases to students.  Today the principal websites offering cases have greatly simplified the process and reduced the logistical burden borne by instructors.  </w:t>
      </w:r>
    </w:p>
    <w:p w:rsidR="00111A62" w:rsidRDefault="00111A62" w:rsidP="00111A62">
      <w:pPr>
        <w:pStyle w:val="Heading1"/>
      </w:pPr>
      <w:bookmarkStart w:id="1" w:name="_Toc27544882"/>
      <w:r>
        <w:t>The Principal Case Collections</w:t>
      </w:r>
      <w:bookmarkEnd w:id="1"/>
    </w:p>
    <w:p w:rsidR="00111A62" w:rsidRDefault="00111A62" w:rsidP="00111A62">
      <w:pPr>
        <w:spacing w:before="240"/>
        <w:rPr>
          <w:sz w:val="20"/>
        </w:rPr>
      </w:pPr>
      <w:r>
        <w:rPr>
          <w:sz w:val="20"/>
        </w:rPr>
        <w:t xml:space="preserve">Here are the web addresses of the principal case collections.  Access to these sites is restricted to registered users, but registration is a simple process for bonafide instructors.  All of the sites offer searchs, and full-text copies of many cases are available as pdf files.  Teaching notes are also often available on request.  </w:t>
      </w:r>
    </w:p>
    <w:p w:rsidR="00111A62" w:rsidRPr="006F418E" w:rsidRDefault="00111A62" w:rsidP="00111A62">
      <w:pPr>
        <w:numPr>
          <w:ilvl w:val="0"/>
          <w:numId w:val="2"/>
        </w:numPr>
        <w:spacing w:before="240"/>
        <w:rPr>
          <w:sz w:val="20"/>
        </w:rPr>
      </w:pPr>
      <w:hyperlink r:id="rId7" w:history="1">
        <w:r w:rsidRPr="00943786">
          <w:rPr>
            <w:rStyle w:val="Hyperlink"/>
            <w:sz w:val="20"/>
          </w:rPr>
          <w:t>https://hbsp.harvard.edu/</w:t>
        </w:r>
      </w:hyperlink>
      <w:r>
        <w:rPr>
          <w:sz w:val="20"/>
        </w:rPr>
        <w:t xml:space="preserve">. </w:t>
      </w:r>
      <w:r w:rsidRPr="006F418E">
        <w:rPr>
          <w:sz w:val="20"/>
        </w:rPr>
        <w:t>Harvard Business School is the major provider of business cases.  This site offers abstracts of Harvard cases and full-text copies of most.  The site also contains cases prepared by faculty at other schools including Babson, Northwestern, Stanford</w:t>
      </w:r>
      <w:r>
        <w:rPr>
          <w:sz w:val="20"/>
        </w:rPr>
        <w:t>, Ivey and Darden</w:t>
      </w:r>
      <w:r w:rsidRPr="006F418E">
        <w:rPr>
          <w:sz w:val="20"/>
        </w:rPr>
        <w:t xml:space="preserve">.  </w:t>
      </w:r>
    </w:p>
    <w:p w:rsidR="00111A62" w:rsidRDefault="00111A62" w:rsidP="00111A62">
      <w:pPr>
        <w:numPr>
          <w:ilvl w:val="0"/>
          <w:numId w:val="2"/>
        </w:numPr>
        <w:spacing w:before="240"/>
        <w:rPr>
          <w:sz w:val="20"/>
        </w:rPr>
      </w:pPr>
      <w:hyperlink r:id="rId8" w:history="1">
        <w:r w:rsidRPr="0025127E">
          <w:rPr>
            <w:rStyle w:val="Hyperlink"/>
            <w:sz w:val="20"/>
          </w:rPr>
          <w:t>https://store.darden.virginia.edu/</w:t>
        </w:r>
      </w:hyperlink>
      <w:r>
        <w:rPr>
          <w:sz w:val="20"/>
        </w:rPr>
        <w:t xml:space="preserve">. The Darden Graduate School of Business at the University of Virginia is second only to Harvard as a source of business cases.  Importantly, the site provides access to cases written by Bob Bruner, Ken Eades, and Michael Schill, three of the best finance case writers working today.  </w:t>
      </w:r>
    </w:p>
    <w:p w:rsidR="00111A62" w:rsidRPr="006F418E" w:rsidRDefault="00111A62" w:rsidP="00111A62">
      <w:pPr>
        <w:numPr>
          <w:ilvl w:val="0"/>
          <w:numId w:val="2"/>
        </w:numPr>
        <w:spacing w:before="240"/>
        <w:rPr>
          <w:sz w:val="20"/>
        </w:rPr>
      </w:pPr>
      <w:hyperlink r:id="rId9" w:history="1">
        <w:r w:rsidRPr="00943786">
          <w:rPr>
            <w:rStyle w:val="Hyperlink"/>
            <w:sz w:val="20"/>
          </w:rPr>
          <w:t>https://www.iveycases.com/</w:t>
        </w:r>
      </w:hyperlink>
      <w:r>
        <w:rPr>
          <w:sz w:val="20"/>
        </w:rPr>
        <w:t xml:space="preserve">. </w:t>
      </w:r>
      <w:r w:rsidRPr="006F418E">
        <w:rPr>
          <w:sz w:val="20"/>
        </w:rPr>
        <w:t>The Richard Ivey School of Business at the University of Western Ontario is producing a number of finance cases with particular strength in entrepreneurial finance and Asian finance.</w:t>
      </w:r>
    </w:p>
    <w:p w:rsidR="00111A62" w:rsidRDefault="00111A62" w:rsidP="00111A62">
      <w:pPr>
        <w:numPr>
          <w:ilvl w:val="0"/>
          <w:numId w:val="2"/>
        </w:numPr>
        <w:spacing w:before="240"/>
        <w:rPr>
          <w:sz w:val="20"/>
        </w:rPr>
      </w:pPr>
      <w:hyperlink r:id="rId10" w:history="1">
        <w:r>
          <w:rPr>
            <w:rStyle w:val="Hyperlink"/>
            <w:sz w:val="20"/>
          </w:rPr>
          <w:t>www.ecchatbabson.org</w:t>
        </w:r>
      </w:hyperlink>
      <w:r>
        <w:rPr>
          <w:sz w:val="20"/>
        </w:rPr>
        <w:t xml:space="preserve">.  The European Case Clearing House is a consortium of primarily European universities that offers access to business cases with emphasis on international management.  Consortium members include IMD, INSEAD, and </w:t>
      </w:r>
      <w:smartTag w:uri="urn:schemas-microsoft-com:office:smarttags" w:element="place">
        <w:smartTag w:uri="urn:schemas-microsoft-com:office:smarttags" w:element="PlaceName">
          <w:r>
            <w:rPr>
              <w:sz w:val="20"/>
            </w:rPr>
            <w:t>Cranfield</w:t>
          </w:r>
        </w:smartTag>
        <w:smartTag w:uri="urn:schemas-microsoft-com:office:smarttags" w:element="PlaceType">
          <w:r>
            <w:rPr>
              <w:sz w:val="20"/>
            </w:rPr>
            <w:t>University</w:t>
          </w:r>
        </w:smartTag>
      </w:smartTag>
      <w:r>
        <w:rPr>
          <w:sz w:val="20"/>
        </w:rPr>
        <w:t>.</w:t>
      </w:r>
    </w:p>
    <w:p w:rsidR="00111A62" w:rsidRDefault="00111A62" w:rsidP="00111A62">
      <w:pPr>
        <w:pStyle w:val="Heading1"/>
      </w:pPr>
      <w:bookmarkStart w:id="2" w:name="_Toc27544883"/>
      <w:r>
        <w:t>Course Pack Preparation</w:t>
      </w:r>
      <w:bookmarkEnd w:id="2"/>
    </w:p>
    <w:p w:rsidR="00111A62" w:rsidRDefault="00111A62" w:rsidP="00111A62">
      <w:pPr>
        <w:spacing w:before="240"/>
        <w:rPr>
          <w:sz w:val="20"/>
        </w:rPr>
      </w:pPr>
      <w:r>
        <w:rPr>
          <w:sz w:val="20"/>
        </w:rPr>
        <w:t xml:space="preserve">McGraw-Hill offers access to cases and help in preparing course packs in hard copy and digital form. You can view and order cases, and contribute your own materials at </w:t>
      </w:r>
      <w:hyperlink r:id="rId11" w:history="1">
        <w:r w:rsidRPr="00943786">
          <w:rPr>
            <w:rStyle w:val="Hyperlink"/>
            <w:sz w:val="20"/>
          </w:rPr>
          <w:t>www.mcgrawhillcreate.com</w:t>
        </w:r>
      </w:hyperlink>
      <w:r>
        <w:rPr>
          <w:sz w:val="20"/>
        </w:rPr>
        <w:t>.</w:t>
      </w:r>
    </w:p>
    <w:p w:rsidR="00111A62" w:rsidRDefault="00111A62" w:rsidP="00111A62">
      <w:pPr>
        <w:pStyle w:val="Heading1"/>
        <w:rPr>
          <w:b w:val="0"/>
          <w:bCs w:val="0"/>
          <w:sz w:val="20"/>
        </w:rPr>
      </w:pPr>
      <w:bookmarkStart w:id="3" w:name="_Toc27544886"/>
      <w:r>
        <w:t>Recommended Cases</w:t>
      </w:r>
      <w:r>
        <w:rPr>
          <w:b w:val="0"/>
          <w:bCs w:val="0"/>
          <w:sz w:val="20"/>
        </w:rPr>
        <w:t>(Roughly in order of increasing difficulty.)</w:t>
      </w:r>
    </w:p>
    <w:p w:rsidR="00111A62" w:rsidRDefault="00111A62" w:rsidP="00111A62"/>
    <w:p w:rsidR="00111A62" w:rsidRPr="0062460D" w:rsidRDefault="00111A62" w:rsidP="00111A62">
      <w:pPr>
        <w:rPr>
          <w:sz w:val="20"/>
          <w:szCs w:val="20"/>
        </w:rPr>
      </w:pPr>
      <w:r>
        <w:rPr>
          <w:sz w:val="20"/>
          <w:szCs w:val="20"/>
        </w:rPr>
        <w:t>Most</w:t>
      </w:r>
      <w:r w:rsidRPr="0062460D">
        <w:rPr>
          <w:sz w:val="20"/>
          <w:szCs w:val="20"/>
        </w:rPr>
        <w:t xml:space="preserve"> recommended cases come with teaching notes, and many provide Excel spreadsheets of case exhibits.</w:t>
      </w:r>
      <w:r>
        <w:rPr>
          <w:sz w:val="20"/>
          <w:szCs w:val="20"/>
        </w:rPr>
        <w:t xml:space="preserve">  Almost all of these cases are available through the Harvard Business School case website listed above (although the case numbers, in particular for the Darden cases, differ). </w:t>
      </w:r>
    </w:p>
    <w:p w:rsidR="00111A62" w:rsidRPr="00680EA1" w:rsidRDefault="00111A62" w:rsidP="00111A62">
      <w:pPr>
        <w:pStyle w:val="Heading1"/>
      </w:pPr>
      <w:r w:rsidRPr="00680EA1">
        <w:t>Chapters 1 and 2 Interpreting Financial Statements and Evaluating Financial Performance</w:t>
      </w:r>
      <w:bookmarkEnd w:id="3"/>
    </w:p>
    <w:p w:rsidR="00111A62" w:rsidRDefault="00111A62" w:rsidP="00111A62">
      <w:pPr>
        <w:spacing w:before="240"/>
        <w:rPr>
          <w:sz w:val="20"/>
        </w:rPr>
      </w:pPr>
      <w:r>
        <w:rPr>
          <w:sz w:val="20"/>
        </w:rPr>
        <w:t xml:space="preserve">1.  </w:t>
      </w:r>
      <w:r>
        <w:rPr>
          <w:color w:val="333333"/>
          <w:sz w:val="20"/>
          <w:szCs w:val="16"/>
          <w:u w:val="single"/>
        </w:rPr>
        <w:t>Case of the Unidentified Industries - 2013</w:t>
      </w:r>
    </w:p>
    <w:p w:rsidR="00111A62" w:rsidRDefault="00111A62" w:rsidP="00111A62">
      <w:pPr>
        <w:tabs>
          <w:tab w:val="left" w:pos="4320"/>
        </w:tabs>
        <w:ind w:left="360"/>
        <w:rPr>
          <w:sz w:val="20"/>
        </w:rPr>
      </w:pPr>
    </w:p>
    <w:p w:rsidR="00111A62" w:rsidRDefault="00111A62" w:rsidP="00111A62">
      <w:pPr>
        <w:tabs>
          <w:tab w:val="left" w:pos="4320"/>
        </w:tabs>
        <w:ind w:left="360"/>
        <w:rPr>
          <w:sz w:val="20"/>
        </w:rPr>
      </w:pPr>
      <w:r>
        <w:rPr>
          <w:sz w:val="20"/>
        </w:rPr>
        <w:t>Source:</w:t>
      </w:r>
      <w:r>
        <w:rPr>
          <w:sz w:val="20"/>
        </w:rPr>
        <w:tab/>
        <w:t>Harvard</w:t>
      </w:r>
    </w:p>
    <w:p w:rsidR="00111A62" w:rsidRDefault="00111A62" w:rsidP="00111A62">
      <w:pPr>
        <w:pStyle w:val="BodyTextIndent"/>
        <w:tabs>
          <w:tab w:val="left" w:pos="4320"/>
        </w:tabs>
        <w:rPr>
          <w:sz w:val="20"/>
        </w:rPr>
      </w:pPr>
      <w:r>
        <w:rPr>
          <w:sz w:val="20"/>
        </w:rPr>
        <w:t>Case Number:</w:t>
      </w:r>
      <w:r>
        <w:rPr>
          <w:sz w:val="20"/>
        </w:rPr>
        <w:tab/>
        <w:t>214028</w:t>
      </w:r>
    </w:p>
    <w:p w:rsidR="00111A62" w:rsidRDefault="00111A62" w:rsidP="00111A62">
      <w:pPr>
        <w:pStyle w:val="BodyTextIndent"/>
        <w:tabs>
          <w:tab w:val="left" w:pos="4320"/>
        </w:tabs>
        <w:rPr>
          <w:sz w:val="20"/>
        </w:rPr>
      </w:pPr>
      <w:r>
        <w:rPr>
          <w:sz w:val="20"/>
        </w:rPr>
        <w:t>Length:</w:t>
      </w:r>
      <w:r>
        <w:rPr>
          <w:sz w:val="20"/>
        </w:rPr>
        <w:tab/>
        <w:t>3 pages</w:t>
      </w:r>
    </w:p>
    <w:p w:rsidR="00111A62" w:rsidRDefault="00111A62" w:rsidP="00111A62">
      <w:pPr>
        <w:tabs>
          <w:tab w:val="left" w:pos="4320"/>
        </w:tabs>
        <w:ind w:left="360"/>
        <w:rPr>
          <w:sz w:val="20"/>
        </w:rPr>
      </w:pPr>
      <w:r>
        <w:rPr>
          <w:sz w:val="20"/>
        </w:rPr>
        <w:t>Year:</w:t>
      </w:r>
      <w:r>
        <w:rPr>
          <w:sz w:val="20"/>
        </w:rPr>
        <w:tab/>
        <w:t>2013</w:t>
      </w:r>
    </w:p>
    <w:p w:rsidR="00111A62" w:rsidRDefault="00111A62" w:rsidP="00111A62">
      <w:pPr>
        <w:pStyle w:val="BodyTextIndent"/>
        <w:spacing w:before="240"/>
        <w:rPr>
          <w:sz w:val="20"/>
        </w:rPr>
      </w:pPr>
      <w:r>
        <w:rPr>
          <w:color w:val="333333"/>
          <w:sz w:val="20"/>
          <w:szCs w:val="16"/>
        </w:rPr>
        <w:t xml:space="preserve">The case contains common-size balance sheets and financial ratios for 14 companies, each representative of a different industry. The challenge is to identify the industries from the structure of the financial statements.  </w:t>
      </w:r>
      <w:r>
        <w:rPr>
          <w:sz w:val="20"/>
        </w:rPr>
        <w:t>This very short case can be distributed and discussed in the same class, excellent for the first day of class.</w:t>
      </w:r>
    </w:p>
    <w:p w:rsidR="00111A62" w:rsidRDefault="00111A62" w:rsidP="00111A62">
      <w:pPr>
        <w:pStyle w:val="BodyTextIndent"/>
        <w:spacing w:before="240"/>
        <w:ind w:left="0"/>
        <w:rPr>
          <w:color w:val="333333"/>
          <w:sz w:val="20"/>
          <w:szCs w:val="16"/>
        </w:rPr>
      </w:pPr>
      <w:r>
        <w:rPr>
          <w:color w:val="333333"/>
          <w:sz w:val="20"/>
          <w:szCs w:val="16"/>
        </w:rPr>
        <w:t xml:space="preserve">2. </w:t>
      </w:r>
      <w:r w:rsidRPr="00EA3C38">
        <w:rPr>
          <w:color w:val="333333"/>
          <w:sz w:val="20"/>
          <w:szCs w:val="16"/>
          <w:u w:val="single"/>
        </w:rPr>
        <w:t>WestJet Airlines Ltd.: Investment Strategy</w:t>
      </w:r>
    </w:p>
    <w:p w:rsidR="00111A62" w:rsidRDefault="00111A62" w:rsidP="00111A62">
      <w:pPr>
        <w:tabs>
          <w:tab w:val="left" w:pos="4320"/>
        </w:tabs>
        <w:spacing w:before="240"/>
        <w:ind w:left="360"/>
        <w:rPr>
          <w:sz w:val="20"/>
        </w:rPr>
      </w:pPr>
      <w:r>
        <w:rPr>
          <w:sz w:val="20"/>
        </w:rPr>
        <w:t>Source:</w:t>
      </w:r>
      <w:r>
        <w:rPr>
          <w:sz w:val="20"/>
        </w:rPr>
        <w:tab/>
        <w:t xml:space="preserve">Ivey School of Business </w:t>
      </w:r>
    </w:p>
    <w:p w:rsidR="00111A62" w:rsidRDefault="00111A62" w:rsidP="00111A62">
      <w:pPr>
        <w:pStyle w:val="BodyTextIndent"/>
        <w:tabs>
          <w:tab w:val="left" w:pos="4320"/>
        </w:tabs>
        <w:rPr>
          <w:sz w:val="20"/>
        </w:rPr>
      </w:pPr>
      <w:r>
        <w:rPr>
          <w:sz w:val="20"/>
        </w:rPr>
        <w:t>Case Number:</w:t>
      </w:r>
      <w:r>
        <w:rPr>
          <w:sz w:val="20"/>
        </w:rPr>
        <w:tab/>
        <w:t>909N23</w:t>
      </w:r>
    </w:p>
    <w:p w:rsidR="00111A62" w:rsidRDefault="00111A62" w:rsidP="00111A62">
      <w:pPr>
        <w:pStyle w:val="BodyTextIndent"/>
        <w:tabs>
          <w:tab w:val="left" w:pos="4320"/>
        </w:tabs>
        <w:rPr>
          <w:sz w:val="20"/>
        </w:rPr>
      </w:pPr>
      <w:r>
        <w:rPr>
          <w:sz w:val="20"/>
        </w:rPr>
        <w:t>Length:</w:t>
      </w:r>
      <w:r>
        <w:rPr>
          <w:sz w:val="20"/>
        </w:rPr>
        <w:tab/>
        <w:t>15 pages</w:t>
      </w:r>
    </w:p>
    <w:p w:rsidR="00111A62" w:rsidRDefault="00111A62" w:rsidP="00111A62">
      <w:pPr>
        <w:tabs>
          <w:tab w:val="left" w:pos="4320"/>
        </w:tabs>
        <w:ind w:left="360"/>
        <w:rPr>
          <w:sz w:val="20"/>
        </w:rPr>
      </w:pPr>
      <w:r>
        <w:rPr>
          <w:sz w:val="20"/>
        </w:rPr>
        <w:t>Year:</w:t>
      </w:r>
      <w:r>
        <w:rPr>
          <w:sz w:val="20"/>
        </w:rPr>
        <w:tab/>
        <w:t>2009</w:t>
      </w:r>
    </w:p>
    <w:p w:rsidR="00111A62" w:rsidRDefault="00111A62" w:rsidP="00111A62">
      <w:pPr>
        <w:tabs>
          <w:tab w:val="left" w:pos="4320"/>
        </w:tabs>
        <w:ind w:left="360"/>
        <w:rPr>
          <w:sz w:val="20"/>
        </w:rPr>
      </w:pPr>
    </w:p>
    <w:p w:rsidR="00111A62" w:rsidRDefault="00111A62" w:rsidP="00111A62">
      <w:pPr>
        <w:tabs>
          <w:tab w:val="left" w:pos="4320"/>
        </w:tabs>
        <w:ind w:left="360"/>
        <w:rPr>
          <w:sz w:val="20"/>
        </w:rPr>
      </w:pPr>
      <w:r>
        <w:rPr>
          <w:sz w:val="20"/>
        </w:rPr>
        <w:t>A portfolio manager is considering investment in a rapidly growing Canadian airline.  To support his analysis, he asks his team to assemble comparative financial data on WestJet and key competitors.  The heart of the case is analysis of these data.  The case can be used to build skill in analyzing financial ratios, to identify the key determinants of profits, cash flow, return on equity, and value as seen by investors.</w:t>
      </w:r>
    </w:p>
    <w:p w:rsidR="00111A62" w:rsidRDefault="00111A62" w:rsidP="00111A62">
      <w:pPr>
        <w:tabs>
          <w:tab w:val="left" w:pos="4320"/>
        </w:tabs>
        <w:ind w:left="360"/>
        <w:rPr>
          <w:sz w:val="20"/>
        </w:rPr>
      </w:pPr>
    </w:p>
    <w:p w:rsidR="00111A62" w:rsidRDefault="00111A62" w:rsidP="00111A62">
      <w:pPr>
        <w:tabs>
          <w:tab w:val="left" w:pos="4320"/>
        </w:tabs>
        <w:rPr>
          <w:sz w:val="20"/>
        </w:rPr>
      </w:pPr>
      <w:r>
        <w:rPr>
          <w:sz w:val="20"/>
        </w:rPr>
        <w:t xml:space="preserve">3. </w:t>
      </w:r>
      <w:r w:rsidRPr="00AC7683">
        <w:rPr>
          <w:sz w:val="20"/>
          <w:u w:val="single"/>
        </w:rPr>
        <w:t>Krispy Kreme Doughnuts, Inc</w:t>
      </w:r>
      <w:r>
        <w:rPr>
          <w:sz w:val="20"/>
        </w:rPr>
        <w:t>.</w:t>
      </w:r>
    </w:p>
    <w:p w:rsidR="00111A62" w:rsidRDefault="00111A62" w:rsidP="00111A62">
      <w:pPr>
        <w:tabs>
          <w:tab w:val="left" w:pos="4320"/>
        </w:tabs>
        <w:spacing w:before="240"/>
        <w:ind w:left="360"/>
        <w:rPr>
          <w:sz w:val="20"/>
        </w:rPr>
      </w:pPr>
      <w:r>
        <w:rPr>
          <w:sz w:val="20"/>
        </w:rPr>
        <w:t>Source:</w:t>
      </w:r>
      <w:r>
        <w:rPr>
          <w:sz w:val="20"/>
        </w:rPr>
        <w:tab/>
        <w:t>Darden</w:t>
      </w:r>
    </w:p>
    <w:p w:rsidR="00111A62" w:rsidRDefault="00111A62" w:rsidP="00111A62">
      <w:pPr>
        <w:pStyle w:val="BodyTextIndent"/>
        <w:tabs>
          <w:tab w:val="left" w:pos="4320"/>
        </w:tabs>
        <w:rPr>
          <w:sz w:val="20"/>
        </w:rPr>
      </w:pPr>
      <w:r>
        <w:rPr>
          <w:sz w:val="20"/>
        </w:rPr>
        <w:t>Case Number:</w:t>
      </w:r>
      <w:r>
        <w:rPr>
          <w:sz w:val="20"/>
        </w:rPr>
        <w:tab/>
        <w:t>UVA-F-1479</w:t>
      </w:r>
    </w:p>
    <w:p w:rsidR="00111A62" w:rsidRDefault="00111A62" w:rsidP="00111A62">
      <w:pPr>
        <w:pStyle w:val="BodyTextIndent"/>
        <w:tabs>
          <w:tab w:val="left" w:pos="4320"/>
        </w:tabs>
        <w:rPr>
          <w:sz w:val="20"/>
        </w:rPr>
      </w:pPr>
      <w:r>
        <w:rPr>
          <w:sz w:val="20"/>
        </w:rPr>
        <w:t>Length:</w:t>
      </w:r>
      <w:r>
        <w:rPr>
          <w:sz w:val="20"/>
        </w:rPr>
        <w:tab/>
        <w:t>16 pages</w:t>
      </w:r>
    </w:p>
    <w:p w:rsidR="00111A62" w:rsidRDefault="00111A62" w:rsidP="00111A62">
      <w:pPr>
        <w:tabs>
          <w:tab w:val="left" w:pos="4320"/>
        </w:tabs>
        <w:ind w:left="360"/>
        <w:rPr>
          <w:sz w:val="20"/>
        </w:rPr>
      </w:pPr>
      <w:r>
        <w:rPr>
          <w:sz w:val="20"/>
        </w:rPr>
        <w:t>Year:</w:t>
      </w:r>
      <w:r>
        <w:rPr>
          <w:sz w:val="20"/>
        </w:rPr>
        <w:tab/>
        <w:t>2005</w:t>
      </w:r>
    </w:p>
    <w:p w:rsidR="00111A62" w:rsidRDefault="00111A62" w:rsidP="00111A62">
      <w:pPr>
        <w:tabs>
          <w:tab w:val="left" w:pos="4320"/>
        </w:tabs>
        <w:ind w:left="360"/>
        <w:rPr>
          <w:sz w:val="20"/>
        </w:rPr>
      </w:pPr>
    </w:p>
    <w:p w:rsidR="00111A62" w:rsidRDefault="00111A62" w:rsidP="00111A62">
      <w:pPr>
        <w:tabs>
          <w:tab w:val="left" w:pos="4320"/>
        </w:tabs>
        <w:ind w:left="360"/>
        <w:rPr>
          <w:sz w:val="20"/>
        </w:rPr>
      </w:pPr>
      <w:r>
        <w:rPr>
          <w:sz w:val="20"/>
        </w:rPr>
        <w:lastRenderedPageBreak/>
        <w:t>For a time Krispy Kreme was one of the fastest growing companies in America, but this all ended in late 2004 after a series of announcements caused investors to reassess the company’s prospects.  The reader’s challenge is to analyze these announcements and the company’s financial statements to determine what went wrong and how serious the situation really is.  The case is intended as a first look at financial statement analysis.</w:t>
      </w:r>
    </w:p>
    <w:p w:rsidR="00111A62" w:rsidRDefault="00111A62" w:rsidP="00111A62">
      <w:pPr>
        <w:tabs>
          <w:tab w:val="left" w:pos="4320"/>
        </w:tabs>
        <w:ind w:left="360"/>
        <w:rPr>
          <w:sz w:val="20"/>
        </w:rPr>
      </w:pPr>
    </w:p>
    <w:p w:rsidR="00111A62" w:rsidRDefault="00111A62" w:rsidP="00111A62">
      <w:pPr>
        <w:tabs>
          <w:tab w:val="left" w:pos="4320"/>
        </w:tabs>
        <w:rPr>
          <w:sz w:val="20"/>
        </w:rPr>
      </w:pPr>
      <w:r>
        <w:rPr>
          <w:sz w:val="20"/>
        </w:rPr>
        <w:t xml:space="preserve">4.  </w:t>
      </w:r>
      <w:r>
        <w:rPr>
          <w:color w:val="333333"/>
          <w:sz w:val="20"/>
          <w:szCs w:val="16"/>
          <w:u w:val="single"/>
        </w:rPr>
        <w:t>Sears, Roebuck and Co. vs. Wal-Mart Stores, Inc.</w:t>
      </w:r>
    </w:p>
    <w:p w:rsidR="00111A62" w:rsidRDefault="00111A62" w:rsidP="00111A62">
      <w:pPr>
        <w:tabs>
          <w:tab w:val="left" w:pos="4320"/>
        </w:tabs>
        <w:spacing w:before="240"/>
        <w:ind w:left="360"/>
        <w:rPr>
          <w:sz w:val="20"/>
        </w:rPr>
      </w:pPr>
      <w:r>
        <w:rPr>
          <w:sz w:val="20"/>
        </w:rPr>
        <w:t>Source:</w:t>
      </w:r>
      <w:r>
        <w:rPr>
          <w:sz w:val="20"/>
        </w:rPr>
        <w:tab/>
        <w:t>Harvard</w:t>
      </w:r>
    </w:p>
    <w:p w:rsidR="00111A62" w:rsidRDefault="00111A62" w:rsidP="00111A62">
      <w:pPr>
        <w:pStyle w:val="BodyTextIndent"/>
        <w:tabs>
          <w:tab w:val="left" w:pos="4320"/>
        </w:tabs>
        <w:rPr>
          <w:sz w:val="20"/>
        </w:rPr>
      </w:pPr>
      <w:r>
        <w:rPr>
          <w:sz w:val="20"/>
        </w:rPr>
        <w:t>Case Number:</w:t>
      </w:r>
      <w:r>
        <w:rPr>
          <w:sz w:val="20"/>
        </w:rPr>
        <w:tab/>
        <w:t>101011</w:t>
      </w:r>
    </w:p>
    <w:p w:rsidR="00111A62" w:rsidRDefault="00111A62" w:rsidP="00111A62">
      <w:pPr>
        <w:pStyle w:val="BodyTextIndent"/>
        <w:tabs>
          <w:tab w:val="left" w:pos="4320"/>
        </w:tabs>
        <w:rPr>
          <w:sz w:val="20"/>
        </w:rPr>
      </w:pPr>
      <w:r>
        <w:rPr>
          <w:sz w:val="20"/>
        </w:rPr>
        <w:t>Length:</w:t>
      </w:r>
      <w:r>
        <w:rPr>
          <w:sz w:val="20"/>
        </w:rPr>
        <w:tab/>
        <w:t>18 pages</w:t>
      </w:r>
    </w:p>
    <w:p w:rsidR="00111A62" w:rsidRDefault="00111A62" w:rsidP="00111A62">
      <w:pPr>
        <w:tabs>
          <w:tab w:val="left" w:pos="4320"/>
        </w:tabs>
        <w:ind w:left="360"/>
        <w:rPr>
          <w:sz w:val="20"/>
        </w:rPr>
      </w:pPr>
      <w:r>
        <w:rPr>
          <w:sz w:val="20"/>
        </w:rPr>
        <w:t>Year:</w:t>
      </w:r>
      <w:r>
        <w:rPr>
          <w:sz w:val="20"/>
        </w:rPr>
        <w:tab/>
        <w:t>1997</w:t>
      </w:r>
    </w:p>
    <w:p w:rsidR="00111A62" w:rsidRDefault="00111A62" w:rsidP="00111A62">
      <w:pPr>
        <w:pStyle w:val="BodyTextIndent"/>
        <w:spacing w:before="240"/>
        <w:rPr>
          <w:sz w:val="20"/>
        </w:rPr>
      </w:pPr>
      <w:r>
        <w:rPr>
          <w:sz w:val="20"/>
        </w:rPr>
        <w:t>Sears and Wal-Mart have very similar returns on equity in 1997.  The challenge is to understand how each company generated its ROE and to decide which of the two has better performance.</w:t>
      </w:r>
    </w:p>
    <w:p w:rsidR="008D0C89" w:rsidRPr="00111A62" w:rsidRDefault="008D0C89" w:rsidP="00111A62"/>
    <w:sectPr w:rsidR="008D0C89" w:rsidRPr="00111A62" w:rsidSect="00084D48">
      <w:footerReference w:type="defaul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C86" w:rsidRDefault="00440C86">
      <w:r>
        <w:separator/>
      </w:r>
    </w:p>
  </w:endnote>
  <w:endnote w:type="continuationSeparator" w:id="1">
    <w:p w:rsidR="00440C86" w:rsidRDefault="00440C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668" w:rsidRDefault="00C82668">
    <w:pPr>
      <w:pStyle w:val="Footer"/>
    </w:pPr>
    <w:r>
      <w:tab/>
    </w:r>
    <w:r>
      <w:tab/>
    </w:r>
    <w:r w:rsidR="00084D48">
      <w:rPr>
        <w:rStyle w:val="PageNumber"/>
      </w:rPr>
      <w:fldChar w:fldCharType="begin"/>
    </w:r>
    <w:r>
      <w:rPr>
        <w:rStyle w:val="PageNumber"/>
      </w:rPr>
      <w:instrText xml:space="preserve"> PAGE </w:instrText>
    </w:r>
    <w:r w:rsidR="00084D48">
      <w:rPr>
        <w:rStyle w:val="PageNumber"/>
      </w:rPr>
      <w:fldChar w:fldCharType="separate"/>
    </w:r>
    <w:r w:rsidR="00111A62">
      <w:rPr>
        <w:rStyle w:val="PageNumber"/>
        <w:noProof/>
      </w:rPr>
      <w:t>3</w:t>
    </w:r>
    <w:r w:rsidR="00084D4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C86" w:rsidRDefault="00440C86">
      <w:r>
        <w:separator/>
      </w:r>
    </w:p>
  </w:footnote>
  <w:footnote w:type="continuationSeparator" w:id="1">
    <w:p w:rsidR="00440C86" w:rsidRDefault="00440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6F0B"/>
    <w:multiLevelType w:val="hybridMultilevel"/>
    <w:tmpl w:val="710A1DC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7D7296"/>
    <w:multiLevelType w:val="hybridMultilevel"/>
    <w:tmpl w:val="4AB451C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9252933"/>
    <w:multiLevelType w:val="hybridMultilevel"/>
    <w:tmpl w:val="6FC8BA6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837FE7"/>
    <w:multiLevelType w:val="hybridMultilevel"/>
    <w:tmpl w:val="4B14A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17178A"/>
    <w:multiLevelType w:val="hybridMultilevel"/>
    <w:tmpl w:val="99DCF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B94706"/>
    <w:multiLevelType w:val="hybridMultilevel"/>
    <w:tmpl w:val="ED429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A324DA2"/>
    <w:multiLevelType w:val="hybridMultilevel"/>
    <w:tmpl w:val="1A6E4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E6F61AD"/>
    <w:multiLevelType w:val="hybridMultilevel"/>
    <w:tmpl w:val="CA3018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4"/>
  </w:num>
  <w:num w:numId="4">
    <w:abstractNumId w:val="1"/>
  </w:num>
  <w:num w:numId="5">
    <w:abstractNumId w:val="0"/>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US" w:vendorID="64" w:dllVersion="131077" w:nlCheck="1" w:checkStyle="1"/>
  <w:activeWritingStyle w:appName="MSWord" w:lang="en-US" w:vendorID="64" w:dllVersion="131078" w:nlCheck="1" w:checkStyle="1"/>
  <w:stylePaneFormatFilter w:val="3F01"/>
  <w:defaultTabStop w:val="720"/>
  <w:noPunctuationKerning/>
  <w:characterSpacingControl w:val="doNotCompress"/>
  <w:footnotePr>
    <w:footnote w:id="0"/>
    <w:footnote w:id="1"/>
  </w:footnotePr>
  <w:endnotePr>
    <w:endnote w:id="0"/>
    <w:endnote w:id="1"/>
  </w:endnotePr>
  <w:compat/>
  <w:rsids>
    <w:rsidRoot w:val="00CE7182"/>
    <w:rsid w:val="000028E1"/>
    <w:rsid w:val="000529B1"/>
    <w:rsid w:val="0005741F"/>
    <w:rsid w:val="0006455C"/>
    <w:rsid w:val="00066DD9"/>
    <w:rsid w:val="00070E32"/>
    <w:rsid w:val="00084D48"/>
    <w:rsid w:val="00111A62"/>
    <w:rsid w:val="00113CB6"/>
    <w:rsid w:val="00156A1F"/>
    <w:rsid w:val="001603B4"/>
    <w:rsid w:val="00161400"/>
    <w:rsid w:val="0019299F"/>
    <w:rsid w:val="00251683"/>
    <w:rsid w:val="00252822"/>
    <w:rsid w:val="00253B95"/>
    <w:rsid w:val="002873F0"/>
    <w:rsid w:val="002D73F1"/>
    <w:rsid w:val="00373820"/>
    <w:rsid w:val="003B4BE4"/>
    <w:rsid w:val="003B5AE1"/>
    <w:rsid w:val="003D761A"/>
    <w:rsid w:val="00440C86"/>
    <w:rsid w:val="00445B2F"/>
    <w:rsid w:val="00455D86"/>
    <w:rsid w:val="0047461A"/>
    <w:rsid w:val="0047488A"/>
    <w:rsid w:val="004854BB"/>
    <w:rsid w:val="004C2D53"/>
    <w:rsid w:val="004E2993"/>
    <w:rsid w:val="00584F0A"/>
    <w:rsid w:val="00585B16"/>
    <w:rsid w:val="005D4787"/>
    <w:rsid w:val="005E0236"/>
    <w:rsid w:val="005F14BC"/>
    <w:rsid w:val="00603DB3"/>
    <w:rsid w:val="0062460D"/>
    <w:rsid w:val="00680EA1"/>
    <w:rsid w:val="006C0B3F"/>
    <w:rsid w:val="006C2CBC"/>
    <w:rsid w:val="006D47B2"/>
    <w:rsid w:val="006F418E"/>
    <w:rsid w:val="007054F5"/>
    <w:rsid w:val="00706F8F"/>
    <w:rsid w:val="007C13DC"/>
    <w:rsid w:val="007C4E2B"/>
    <w:rsid w:val="007F1816"/>
    <w:rsid w:val="008642BB"/>
    <w:rsid w:val="00865F52"/>
    <w:rsid w:val="00867D2C"/>
    <w:rsid w:val="008A3666"/>
    <w:rsid w:val="008D0C89"/>
    <w:rsid w:val="008D1A19"/>
    <w:rsid w:val="00936D06"/>
    <w:rsid w:val="009B160C"/>
    <w:rsid w:val="009B6589"/>
    <w:rsid w:val="009E357D"/>
    <w:rsid w:val="00A37240"/>
    <w:rsid w:val="00A53764"/>
    <w:rsid w:val="00A80E04"/>
    <w:rsid w:val="00A80F1E"/>
    <w:rsid w:val="00A83AB7"/>
    <w:rsid w:val="00AB21A2"/>
    <w:rsid w:val="00AC7683"/>
    <w:rsid w:val="00AD0C0F"/>
    <w:rsid w:val="00AE4768"/>
    <w:rsid w:val="00B61BD0"/>
    <w:rsid w:val="00B670E6"/>
    <w:rsid w:val="00BA1AE7"/>
    <w:rsid w:val="00C34659"/>
    <w:rsid w:val="00C42F35"/>
    <w:rsid w:val="00C45633"/>
    <w:rsid w:val="00C473EC"/>
    <w:rsid w:val="00C82668"/>
    <w:rsid w:val="00CE1F3F"/>
    <w:rsid w:val="00CE7182"/>
    <w:rsid w:val="00DB6515"/>
    <w:rsid w:val="00DE362F"/>
    <w:rsid w:val="00E14457"/>
    <w:rsid w:val="00E22F40"/>
    <w:rsid w:val="00E43FA0"/>
    <w:rsid w:val="00E545B3"/>
    <w:rsid w:val="00EA3C38"/>
    <w:rsid w:val="00F57322"/>
    <w:rsid w:val="00F832DF"/>
    <w:rsid w:val="00F85965"/>
    <w:rsid w:val="00FA7EEC"/>
    <w:rsid w:val="00FB22C6"/>
    <w:rsid w:val="00FB380E"/>
    <w:rsid w:val="00FE47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4D48"/>
    <w:rPr>
      <w:sz w:val="24"/>
      <w:szCs w:val="24"/>
    </w:rPr>
  </w:style>
  <w:style w:type="paragraph" w:styleId="Heading1">
    <w:name w:val="heading 1"/>
    <w:basedOn w:val="Normal"/>
    <w:next w:val="Normal"/>
    <w:qFormat/>
    <w:rsid w:val="00084D48"/>
    <w:pPr>
      <w:keepNext/>
      <w:spacing w:before="240"/>
      <w:outlineLvl w:val="0"/>
    </w:pPr>
    <w:rPr>
      <w:b/>
      <w:bCs/>
    </w:rPr>
  </w:style>
  <w:style w:type="paragraph" w:styleId="Heading4">
    <w:name w:val="heading 4"/>
    <w:basedOn w:val="Normal"/>
    <w:next w:val="Normal"/>
    <w:link w:val="Heading4Char"/>
    <w:semiHidden/>
    <w:unhideWhenUsed/>
    <w:qFormat/>
    <w:rsid w:val="00C3465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4D48"/>
    <w:rPr>
      <w:color w:val="0000FF"/>
      <w:u w:val="single"/>
    </w:rPr>
  </w:style>
  <w:style w:type="paragraph" w:styleId="BodyTextIndent">
    <w:name w:val="Body Text Indent"/>
    <w:basedOn w:val="Normal"/>
    <w:rsid w:val="00084D48"/>
    <w:pPr>
      <w:ind w:left="360"/>
    </w:pPr>
  </w:style>
  <w:style w:type="character" w:styleId="FollowedHyperlink">
    <w:name w:val="FollowedHyperlink"/>
    <w:rsid w:val="00084D48"/>
    <w:rPr>
      <w:color w:val="800080"/>
      <w:u w:val="single"/>
    </w:rPr>
  </w:style>
  <w:style w:type="paragraph" w:styleId="BodyTextIndent2">
    <w:name w:val="Body Text Indent 2"/>
    <w:basedOn w:val="Normal"/>
    <w:rsid w:val="00084D48"/>
    <w:pPr>
      <w:tabs>
        <w:tab w:val="left" w:pos="4320"/>
      </w:tabs>
      <w:ind w:left="4320" w:hanging="3960"/>
    </w:pPr>
  </w:style>
  <w:style w:type="paragraph" w:styleId="BodyText">
    <w:name w:val="Body Text"/>
    <w:basedOn w:val="Normal"/>
    <w:rsid w:val="00084D48"/>
    <w:pPr>
      <w:spacing w:before="240"/>
      <w:jc w:val="center"/>
    </w:pPr>
    <w:rPr>
      <w:sz w:val="20"/>
    </w:rPr>
  </w:style>
  <w:style w:type="paragraph" w:styleId="BodyTextIndent3">
    <w:name w:val="Body Text Indent 3"/>
    <w:basedOn w:val="Normal"/>
    <w:rsid w:val="00084D48"/>
    <w:pPr>
      <w:tabs>
        <w:tab w:val="left" w:pos="4320"/>
      </w:tabs>
      <w:ind w:left="4320" w:hanging="3960"/>
    </w:pPr>
    <w:rPr>
      <w:sz w:val="20"/>
    </w:rPr>
  </w:style>
  <w:style w:type="paragraph" w:styleId="Header">
    <w:name w:val="header"/>
    <w:basedOn w:val="Normal"/>
    <w:rsid w:val="00084D48"/>
    <w:pPr>
      <w:tabs>
        <w:tab w:val="center" w:pos="4320"/>
        <w:tab w:val="right" w:pos="8640"/>
      </w:tabs>
    </w:pPr>
  </w:style>
  <w:style w:type="paragraph" w:styleId="Footer">
    <w:name w:val="footer"/>
    <w:basedOn w:val="Normal"/>
    <w:rsid w:val="00084D48"/>
    <w:pPr>
      <w:tabs>
        <w:tab w:val="center" w:pos="4320"/>
        <w:tab w:val="right" w:pos="8640"/>
      </w:tabs>
    </w:pPr>
  </w:style>
  <w:style w:type="character" w:styleId="PageNumber">
    <w:name w:val="page number"/>
    <w:basedOn w:val="DefaultParagraphFont"/>
    <w:rsid w:val="00084D48"/>
  </w:style>
  <w:style w:type="character" w:customStyle="1" w:styleId="Heading4Char">
    <w:name w:val="Heading 4 Char"/>
    <w:link w:val="Heading4"/>
    <w:semiHidden/>
    <w:rsid w:val="00C34659"/>
    <w:rPr>
      <w:rFonts w:ascii="Calibri" w:eastAsia="Times New Roman" w:hAnsi="Calibri" w:cs="Times New Roman"/>
      <w:b/>
      <w:bCs/>
      <w:sz w:val="28"/>
      <w:szCs w:val="28"/>
    </w:rPr>
  </w:style>
  <w:style w:type="paragraph" w:styleId="NormalWeb">
    <w:name w:val="Normal (Web)"/>
    <w:basedOn w:val="Normal"/>
    <w:uiPriority w:val="99"/>
    <w:unhideWhenUsed/>
    <w:rsid w:val="00C34659"/>
    <w:pPr>
      <w:spacing w:before="100" w:beforeAutospacing="1" w:after="100" w:afterAutospacing="1"/>
    </w:pPr>
  </w:style>
  <w:style w:type="paragraph" w:styleId="BalloonText">
    <w:name w:val="Balloon Text"/>
    <w:basedOn w:val="Normal"/>
    <w:link w:val="BalloonTextChar"/>
    <w:rsid w:val="0062460D"/>
    <w:rPr>
      <w:rFonts w:ascii="Tahoma" w:hAnsi="Tahoma" w:cs="Tahoma"/>
      <w:sz w:val="16"/>
      <w:szCs w:val="16"/>
    </w:rPr>
  </w:style>
  <w:style w:type="character" w:customStyle="1" w:styleId="BalloonTextChar">
    <w:name w:val="Balloon Text Char"/>
    <w:basedOn w:val="DefaultParagraphFont"/>
    <w:link w:val="BalloonText"/>
    <w:rsid w:val="006246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outlineLvl w:val="0"/>
    </w:pPr>
    <w:rPr>
      <w:b/>
      <w:bCs/>
    </w:rPr>
  </w:style>
  <w:style w:type="paragraph" w:styleId="Heading4">
    <w:name w:val="heading 4"/>
    <w:basedOn w:val="Normal"/>
    <w:next w:val="Normal"/>
    <w:link w:val="Heading4Char"/>
    <w:semiHidden/>
    <w:unhideWhenUsed/>
    <w:qFormat/>
    <w:rsid w:val="00C3465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left="360"/>
    </w:pPr>
  </w:style>
  <w:style w:type="character" w:styleId="FollowedHyperlink">
    <w:name w:val="FollowedHyperlink"/>
    <w:rPr>
      <w:color w:val="800080"/>
      <w:u w:val="single"/>
    </w:rPr>
  </w:style>
  <w:style w:type="paragraph" w:styleId="BodyTextIndent2">
    <w:name w:val="Body Text Indent 2"/>
    <w:basedOn w:val="Normal"/>
    <w:pPr>
      <w:tabs>
        <w:tab w:val="left" w:pos="4320"/>
      </w:tabs>
      <w:ind w:left="4320" w:hanging="3960"/>
    </w:pPr>
  </w:style>
  <w:style w:type="paragraph" w:styleId="BodyText">
    <w:name w:val="Body Text"/>
    <w:basedOn w:val="Normal"/>
    <w:pPr>
      <w:spacing w:before="240"/>
      <w:jc w:val="center"/>
    </w:pPr>
    <w:rPr>
      <w:sz w:val="20"/>
    </w:rPr>
  </w:style>
  <w:style w:type="paragraph" w:styleId="BodyTextIndent3">
    <w:name w:val="Body Text Indent 3"/>
    <w:basedOn w:val="Normal"/>
    <w:pPr>
      <w:tabs>
        <w:tab w:val="left" w:pos="4320"/>
      </w:tabs>
      <w:ind w:left="4320" w:hanging="3960"/>
    </w:pPr>
    <w:rPr>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4Char">
    <w:name w:val="Heading 4 Char"/>
    <w:link w:val="Heading4"/>
    <w:semiHidden/>
    <w:rsid w:val="00C34659"/>
    <w:rPr>
      <w:rFonts w:ascii="Calibri" w:eastAsia="Times New Roman" w:hAnsi="Calibri" w:cs="Times New Roman"/>
      <w:b/>
      <w:bCs/>
      <w:sz w:val="28"/>
      <w:szCs w:val="28"/>
    </w:rPr>
  </w:style>
  <w:style w:type="paragraph" w:styleId="NormalWeb">
    <w:name w:val="Normal (Web)"/>
    <w:basedOn w:val="Normal"/>
    <w:uiPriority w:val="99"/>
    <w:unhideWhenUsed/>
    <w:rsid w:val="00C34659"/>
    <w:pPr>
      <w:spacing w:before="100" w:beforeAutospacing="1" w:after="100" w:afterAutospacing="1"/>
    </w:pPr>
  </w:style>
  <w:style w:type="paragraph" w:styleId="BalloonText">
    <w:name w:val="Balloon Text"/>
    <w:basedOn w:val="Normal"/>
    <w:link w:val="BalloonTextChar"/>
    <w:rsid w:val="0062460D"/>
    <w:rPr>
      <w:rFonts w:ascii="Tahoma" w:hAnsi="Tahoma" w:cs="Tahoma"/>
      <w:sz w:val="16"/>
      <w:szCs w:val="16"/>
    </w:rPr>
  </w:style>
  <w:style w:type="character" w:customStyle="1" w:styleId="BalloonTextChar">
    <w:name w:val="Balloon Text Char"/>
    <w:basedOn w:val="DefaultParagraphFont"/>
    <w:link w:val="BalloonText"/>
    <w:rsid w:val="006246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2646566">
      <w:bodyDiv w:val="1"/>
      <w:marLeft w:val="0"/>
      <w:marRight w:val="0"/>
      <w:marTop w:val="0"/>
      <w:marBottom w:val="0"/>
      <w:divBdr>
        <w:top w:val="none" w:sz="0" w:space="0" w:color="auto"/>
        <w:left w:val="none" w:sz="0" w:space="0" w:color="auto"/>
        <w:bottom w:val="none" w:sz="0" w:space="0" w:color="auto"/>
        <w:right w:val="none" w:sz="0" w:space="0" w:color="auto"/>
      </w:divBdr>
      <w:divsChild>
        <w:div w:id="398748200">
          <w:marLeft w:val="0"/>
          <w:marRight w:val="0"/>
          <w:marTop w:val="0"/>
          <w:marBottom w:val="0"/>
          <w:divBdr>
            <w:top w:val="none" w:sz="0" w:space="0" w:color="auto"/>
            <w:left w:val="none" w:sz="0" w:space="0" w:color="auto"/>
            <w:bottom w:val="none" w:sz="0" w:space="0" w:color="auto"/>
            <w:right w:val="none" w:sz="0" w:space="0" w:color="auto"/>
          </w:divBdr>
        </w:div>
      </w:divsChild>
    </w:div>
    <w:div w:id="619921920">
      <w:bodyDiv w:val="1"/>
      <w:marLeft w:val="0"/>
      <w:marRight w:val="0"/>
      <w:marTop w:val="0"/>
      <w:marBottom w:val="0"/>
      <w:divBdr>
        <w:top w:val="none" w:sz="0" w:space="0" w:color="auto"/>
        <w:left w:val="none" w:sz="0" w:space="0" w:color="auto"/>
        <w:bottom w:val="none" w:sz="0" w:space="0" w:color="auto"/>
        <w:right w:val="none" w:sz="0" w:space="0" w:color="auto"/>
      </w:divBdr>
      <w:divsChild>
        <w:div w:id="1837727587">
          <w:marLeft w:val="0"/>
          <w:marRight w:val="0"/>
          <w:marTop w:val="0"/>
          <w:marBottom w:val="0"/>
          <w:divBdr>
            <w:top w:val="none" w:sz="0" w:space="0" w:color="auto"/>
            <w:left w:val="none" w:sz="0" w:space="0" w:color="auto"/>
            <w:bottom w:val="none" w:sz="0" w:space="0" w:color="auto"/>
            <w:right w:val="none" w:sz="0" w:space="0" w:color="auto"/>
          </w:divBdr>
        </w:div>
      </w:divsChild>
    </w:div>
    <w:div w:id="948389331">
      <w:bodyDiv w:val="1"/>
      <w:marLeft w:val="0"/>
      <w:marRight w:val="0"/>
      <w:marTop w:val="0"/>
      <w:marBottom w:val="0"/>
      <w:divBdr>
        <w:top w:val="none" w:sz="0" w:space="0" w:color="auto"/>
        <w:left w:val="none" w:sz="0" w:space="0" w:color="auto"/>
        <w:bottom w:val="none" w:sz="0" w:space="0" w:color="auto"/>
        <w:right w:val="none" w:sz="0" w:space="0" w:color="auto"/>
      </w:divBdr>
      <w:divsChild>
        <w:div w:id="1382174093">
          <w:marLeft w:val="0"/>
          <w:marRight w:val="0"/>
          <w:marTop w:val="0"/>
          <w:marBottom w:val="0"/>
          <w:divBdr>
            <w:top w:val="none" w:sz="0" w:space="0" w:color="auto"/>
            <w:left w:val="none" w:sz="0" w:space="0" w:color="auto"/>
            <w:bottom w:val="none" w:sz="0" w:space="0" w:color="auto"/>
            <w:right w:val="none" w:sz="0" w:space="0" w:color="auto"/>
          </w:divBdr>
          <w:divsChild>
            <w:div w:id="1370060590">
              <w:marLeft w:val="0"/>
              <w:marRight w:val="0"/>
              <w:marTop w:val="0"/>
              <w:marBottom w:val="0"/>
              <w:divBdr>
                <w:top w:val="none" w:sz="0" w:space="0" w:color="auto"/>
                <w:left w:val="none" w:sz="0" w:space="0" w:color="auto"/>
                <w:bottom w:val="none" w:sz="0" w:space="0" w:color="auto"/>
                <w:right w:val="none" w:sz="0" w:space="0" w:color="auto"/>
              </w:divBdr>
              <w:divsChild>
                <w:div w:id="1126585145">
                  <w:marLeft w:val="0"/>
                  <w:marRight w:val="0"/>
                  <w:marTop w:val="0"/>
                  <w:marBottom w:val="0"/>
                  <w:divBdr>
                    <w:top w:val="none" w:sz="0" w:space="0" w:color="auto"/>
                    <w:left w:val="none" w:sz="0" w:space="0" w:color="auto"/>
                    <w:bottom w:val="none" w:sz="0" w:space="0" w:color="auto"/>
                    <w:right w:val="none" w:sz="0" w:space="0" w:color="auto"/>
                  </w:divBdr>
                  <w:divsChild>
                    <w:div w:id="3154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828306">
      <w:bodyDiv w:val="1"/>
      <w:marLeft w:val="0"/>
      <w:marRight w:val="0"/>
      <w:marTop w:val="0"/>
      <w:marBottom w:val="0"/>
      <w:divBdr>
        <w:top w:val="none" w:sz="0" w:space="0" w:color="auto"/>
        <w:left w:val="none" w:sz="0" w:space="0" w:color="auto"/>
        <w:bottom w:val="none" w:sz="0" w:space="0" w:color="auto"/>
        <w:right w:val="none" w:sz="0" w:space="0" w:color="auto"/>
      </w:divBdr>
      <w:divsChild>
        <w:div w:id="933902094">
          <w:marLeft w:val="0"/>
          <w:marRight w:val="0"/>
          <w:marTop w:val="0"/>
          <w:marBottom w:val="0"/>
          <w:divBdr>
            <w:top w:val="none" w:sz="0" w:space="0" w:color="auto"/>
            <w:left w:val="none" w:sz="0" w:space="0" w:color="auto"/>
            <w:bottom w:val="none" w:sz="0" w:space="0" w:color="auto"/>
            <w:right w:val="none" w:sz="0" w:space="0" w:color="auto"/>
          </w:divBdr>
          <w:divsChild>
            <w:div w:id="1402408585">
              <w:marLeft w:val="0"/>
              <w:marRight w:val="0"/>
              <w:marTop w:val="0"/>
              <w:marBottom w:val="0"/>
              <w:divBdr>
                <w:top w:val="none" w:sz="0" w:space="0" w:color="auto"/>
                <w:left w:val="none" w:sz="0" w:space="0" w:color="auto"/>
                <w:bottom w:val="none" w:sz="0" w:space="0" w:color="auto"/>
                <w:right w:val="none" w:sz="0" w:space="0" w:color="auto"/>
              </w:divBdr>
              <w:divsChild>
                <w:div w:id="798498140">
                  <w:marLeft w:val="0"/>
                  <w:marRight w:val="0"/>
                  <w:marTop w:val="0"/>
                  <w:marBottom w:val="0"/>
                  <w:divBdr>
                    <w:top w:val="none" w:sz="0" w:space="0" w:color="auto"/>
                    <w:left w:val="none" w:sz="0" w:space="0" w:color="auto"/>
                    <w:bottom w:val="none" w:sz="0" w:space="0" w:color="auto"/>
                    <w:right w:val="none" w:sz="0" w:space="0" w:color="auto"/>
                  </w:divBdr>
                  <w:divsChild>
                    <w:div w:id="76253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693935">
      <w:bodyDiv w:val="1"/>
      <w:marLeft w:val="0"/>
      <w:marRight w:val="0"/>
      <w:marTop w:val="0"/>
      <w:marBottom w:val="0"/>
      <w:divBdr>
        <w:top w:val="none" w:sz="0" w:space="0" w:color="auto"/>
        <w:left w:val="none" w:sz="0" w:space="0" w:color="auto"/>
        <w:bottom w:val="none" w:sz="0" w:space="0" w:color="auto"/>
        <w:right w:val="none" w:sz="0" w:space="0" w:color="auto"/>
      </w:divBdr>
      <w:divsChild>
        <w:div w:id="806050297">
          <w:marLeft w:val="0"/>
          <w:marRight w:val="0"/>
          <w:marTop w:val="0"/>
          <w:marBottom w:val="0"/>
          <w:divBdr>
            <w:top w:val="none" w:sz="0" w:space="0" w:color="auto"/>
            <w:left w:val="none" w:sz="0" w:space="0" w:color="auto"/>
            <w:bottom w:val="none" w:sz="0" w:space="0" w:color="auto"/>
            <w:right w:val="none" w:sz="0" w:space="0" w:color="auto"/>
          </w:divBdr>
        </w:div>
        <w:div w:id="1136415165">
          <w:marLeft w:val="0"/>
          <w:marRight w:val="0"/>
          <w:marTop w:val="0"/>
          <w:marBottom w:val="0"/>
          <w:divBdr>
            <w:top w:val="none" w:sz="0" w:space="0" w:color="auto"/>
            <w:left w:val="none" w:sz="0" w:space="0" w:color="auto"/>
            <w:bottom w:val="none" w:sz="0" w:space="0" w:color="auto"/>
            <w:right w:val="none" w:sz="0" w:space="0" w:color="auto"/>
          </w:divBdr>
        </w:div>
      </w:divsChild>
    </w:div>
    <w:div w:id="1788427811">
      <w:bodyDiv w:val="1"/>
      <w:marLeft w:val="0"/>
      <w:marRight w:val="0"/>
      <w:marTop w:val="0"/>
      <w:marBottom w:val="0"/>
      <w:divBdr>
        <w:top w:val="none" w:sz="0" w:space="0" w:color="auto"/>
        <w:left w:val="none" w:sz="0" w:space="0" w:color="auto"/>
        <w:bottom w:val="none" w:sz="0" w:space="0" w:color="auto"/>
        <w:right w:val="none" w:sz="0" w:space="0" w:color="auto"/>
      </w:divBdr>
      <w:divsChild>
        <w:div w:id="912543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ore.darden.virginia.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bsp.harvard.ed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grawhillcreate.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ecchatbabson.org" TargetMode="External"/><Relationship Id="rId4" Type="http://schemas.openxmlformats.org/officeDocument/2006/relationships/webSettings" Target="webSettings.xml"/><Relationship Id="rId9" Type="http://schemas.openxmlformats.org/officeDocument/2006/relationships/hyperlink" Target="https://www.iveycas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Cases to Accompany Analysis for Financial Management, 7e</vt:lpstr>
    </vt:vector>
  </TitlesOfParts>
  <Company>The McGraw-Hill Companies</Company>
  <LinksUpToDate>false</LinksUpToDate>
  <CharactersWithSpaces>6177</CharactersWithSpaces>
  <SharedDoc>false</SharedDoc>
  <HLinks>
    <vt:vector size="18" baseType="variant">
      <vt:variant>
        <vt:i4>5242971</vt:i4>
      </vt:variant>
      <vt:variant>
        <vt:i4>6</vt:i4>
      </vt:variant>
      <vt:variant>
        <vt:i4>0</vt:i4>
      </vt:variant>
      <vt:variant>
        <vt:i4>5</vt:i4>
      </vt:variant>
      <vt:variant>
        <vt:lpwstr>http://www.ecchatbabson.org/</vt:lpwstr>
      </vt:variant>
      <vt:variant>
        <vt:lpwstr/>
      </vt:variant>
      <vt:variant>
        <vt:i4>5373965</vt:i4>
      </vt:variant>
      <vt:variant>
        <vt:i4>3</vt:i4>
      </vt:variant>
      <vt:variant>
        <vt:i4>0</vt:i4>
      </vt:variant>
      <vt:variant>
        <vt:i4>5</vt:i4>
      </vt:variant>
      <vt:variant>
        <vt:lpwstr>http://www.ivey.uwo.ca/cases</vt:lpwstr>
      </vt:variant>
      <vt:variant>
        <vt:lpwstr/>
      </vt:variant>
      <vt:variant>
        <vt:i4>3342453</vt:i4>
      </vt:variant>
      <vt:variant>
        <vt:i4>0</vt:i4>
      </vt:variant>
      <vt:variant>
        <vt:i4>0</vt:i4>
      </vt:variant>
      <vt:variant>
        <vt:i4>5</vt:i4>
      </vt:variant>
      <vt:variant>
        <vt:lpwstr>https://store.darden.virginia.edu/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Cases to Accompany Analysis for Financial Management, 7e</dc:title>
  <dc:creator>Rocky</dc:creator>
  <cp:lastModifiedBy>simoi</cp:lastModifiedBy>
  <cp:revision>3</cp:revision>
  <cp:lastPrinted>2014-12-19T17:19:00Z</cp:lastPrinted>
  <dcterms:created xsi:type="dcterms:W3CDTF">2015-01-07T16:24:00Z</dcterms:created>
  <dcterms:modified xsi:type="dcterms:W3CDTF">2018-11-05T10:55:00Z</dcterms:modified>
</cp:coreProperties>
</file>