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5CF07" w14:textId="77777777" w:rsidR="00692C63" w:rsidRDefault="00692C63" w:rsidP="00C00F87">
      <w:pPr>
        <w:pStyle w:val="Title"/>
        <w:ind w:left="0"/>
        <w:outlineLvl w:val="0"/>
      </w:pPr>
      <w:r>
        <w:t>CHAPTER 2</w:t>
      </w:r>
    </w:p>
    <w:p w14:paraId="28741E2E" w14:textId="77777777" w:rsidR="00692C63" w:rsidRDefault="00692C63" w:rsidP="00C00F87">
      <w:pPr>
        <w:tabs>
          <w:tab w:val="center" w:pos="4680"/>
        </w:tabs>
        <w:jc w:val="center"/>
        <w:outlineLvl w:val="0"/>
        <w:rPr>
          <w:rFonts w:ascii="Times New Roman" w:hAnsi="Times New Roman" w:cs="Times New Roman"/>
          <w:sz w:val="32"/>
          <w:szCs w:val="32"/>
        </w:rPr>
      </w:pPr>
      <w:r>
        <w:rPr>
          <w:rFonts w:ascii="Times New Roman" w:hAnsi="Times New Roman" w:cs="Times New Roman"/>
          <w:b/>
          <w:bCs/>
          <w:sz w:val="32"/>
          <w:szCs w:val="32"/>
        </w:rPr>
        <w:t>THE FINANCIAL STATEMENT AUDITING ENVIRONMENT</w:t>
      </w:r>
    </w:p>
    <w:p w14:paraId="09B68E00"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ind w:left="-720"/>
        <w:jc w:val="both"/>
        <w:rPr>
          <w:rFonts w:ascii="Times New Roman" w:hAnsi="Times New Roman" w:cs="Times New Roman"/>
          <w:sz w:val="32"/>
          <w:szCs w:val="32"/>
        </w:rPr>
      </w:pPr>
    </w:p>
    <w:p w14:paraId="3B724DD2" w14:textId="77777777" w:rsidR="00692C63" w:rsidRDefault="00692C63" w:rsidP="00C00F87">
      <w:pPr>
        <w:tabs>
          <w:tab w:val="left" w:pos="-1152"/>
          <w:tab w:val="left" w:pos="0"/>
          <w:tab w:val="left" w:pos="630"/>
          <w:tab w:val="left" w:pos="1440"/>
          <w:tab w:val="left" w:pos="2160"/>
          <w:tab w:val="left" w:pos="2880"/>
          <w:tab w:val="left" w:pos="3600"/>
          <w:tab w:val="left" w:pos="4230"/>
          <w:tab w:val="left" w:pos="5040"/>
        </w:tabs>
        <w:jc w:val="both"/>
        <w:outlineLvl w:val="0"/>
        <w:rPr>
          <w:rFonts w:ascii="Times New Roman" w:hAnsi="Times New Roman" w:cs="Times New Roman"/>
          <w:b/>
          <w:bCs/>
          <w:sz w:val="28"/>
          <w:szCs w:val="28"/>
        </w:rPr>
      </w:pPr>
      <w:r>
        <w:rPr>
          <w:rFonts w:ascii="Times New Roman" w:hAnsi="Times New Roman" w:cs="Times New Roman"/>
          <w:b/>
          <w:bCs/>
          <w:sz w:val="28"/>
          <w:szCs w:val="28"/>
        </w:rPr>
        <w:t>Answers to Review Questions</w:t>
      </w:r>
    </w:p>
    <w:p w14:paraId="2B20577E"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ind w:left="-720"/>
        <w:jc w:val="both"/>
        <w:rPr>
          <w:rFonts w:ascii="Times New Roman" w:hAnsi="Times New Roman" w:cs="Times New Roman"/>
          <w:b/>
          <w:bCs/>
          <w:sz w:val="28"/>
          <w:szCs w:val="28"/>
        </w:rPr>
      </w:pPr>
    </w:p>
    <w:p w14:paraId="360D0DE8" w14:textId="77777777" w:rsidR="00BE0AF7" w:rsidRDefault="00692C63" w:rsidP="00BE0AF7">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b/>
          <w:bCs/>
        </w:rPr>
        <w:t xml:space="preserve">2-1  </w:t>
      </w:r>
      <w:r>
        <w:rPr>
          <w:rFonts w:ascii="Times New Roman" w:hAnsi="Times New Roman" w:cs="Times New Roman"/>
        </w:rPr>
        <w:tab/>
        <w:t xml:space="preserve">Auditors can be classified under four types: </w:t>
      </w:r>
    </w:p>
    <w:p w14:paraId="39E9A418" w14:textId="2DDB46A3" w:rsidR="00BE0AF7" w:rsidRDefault="00BE0AF7" w:rsidP="00BE0AF7">
      <w:pPr>
        <w:tabs>
          <w:tab w:val="left" w:pos="-1152"/>
          <w:tab w:val="left" w:pos="-720"/>
          <w:tab w:val="left" w:pos="0"/>
          <w:tab w:val="left" w:pos="630"/>
          <w:tab w:val="left" w:pos="1440"/>
          <w:tab w:val="left" w:pos="2160"/>
          <w:tab w:val="left" w:pos="2880"/>
          <w:tab w:val="left" w:pos="3600"/>
          <w:tab w:val="left" w:pos="4230"/>
          <w:tab w:val="left" w:pos="5040"/>
        </w:tabs>
        <w:ind w:left="634"/>
        <w:jc w:val="both"/>
        <w:rPr>
          <w:rFonts w:ascii="Times New Roman" w:hAnsi="Times New Roman" w:cs="Times New Roman"/>
        </w:rPr>
      </w:pPr>
      <w:bookmarkStart w:id="0" w:name="_GoBack"/>
      <w:bookmarkEnd w:id="0"/>
      <w:r>
        <w:rPr>
          <w:rFonts w:ascii="Times New Roman" w:hAnsi="Times New Roman" w:cs="Times New Roman"/>
        </w:rPr>
        <w:t xml:space="preserve">(1) External auditors—Auditors who are referred to as “external” or “independent” because they are not employees of the entity being audited. </w:t>
      </w:r>
      <w:proofErr w:type="gramStart"/>
      <w:r>
        <w:rPr>
          <w:rFonts w:ascii="Times New Roman" w:hAnsi="Times New Roman" w:cs="Times New Roman"/>
        </w:rPr>
        <w:t>Audit financial statements for publicly traded and private companies, partnerships, municipalities, individuals, and other types of entities.</w:t>
      </w:r>
      <w:proofErr w:type="gramEnd"/>
      <w:r>
        <w:rPr>
          <w:rFonts w:ascii="Times New Roman" w:hAnsi="Times New Roman" w:cs="Times New Roman"/>
        </w:rPr>
        <w:t xml:space="preserve"> May also conduct compliance, operational, and forensic audits for such entities</w:t>
      </w:r>
    </w:p>
    <w:p w14:paraId="53490429" w14:textId="77777777" w:rsidR="00BE0AF7" w:rsidRDefault="00BE0AF7" w:rsidP="00BE0AF7">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(2) Internal auditors—Auditors who are employees of individual companies, government agencies, and other entities. Often conduct financial, internal control, compliance, operational, and forensic audits within their organizations. In some cases they may assist the external auditors with the annual financial statement audit. Internal auditors also often are involved in assurance and consulting engagements for their entities.</w:t>
      </w:r>
    </w:p>
    <w:p w14:paraId="333171C3" w14:textId="77777777" w:rsidR="00BE0AF7" w:rsidRDefault="00BE0AF7" w:rsidP="00BE0AF7">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 xml:space="preserve">(3) Government auditors—Auditors employed by federal, state, and local agencies. Government auditors are usually considered to be a type of internal auditor. Conduct audits of activities, financial transactions, and accounts of the federal government. They also assist Congress by performing special audits, surveys, and investigations. The majority of the audits are compliance and operational audits. </w:t>
      </w:r>
      <w:proofErr w:type="gramStart"/>
      <w:r>
        <w:rPr>
          <w:rFonts w:ascii="Times New Roman" w:hAnsi="Times New Roman" w:cs="Times New Roman"/>
        </w:rPr>
        <w:t>May also investigate for fraud in government agencies and other organizations subject to federal laws.</w:t>
      </w:r>
      <w:proofErr w:type="gramEnd"/>
    </w:p>
    <w:p w14:paraId="12C94D53" w14:textId="0AE609A7" w:rsidR="00692C63" w:rsidRDefault="00BE0AF7" w:rsidP="00BE0AF7">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(4) Forensic auditors—Auditors employed by corporations, government agencies, public accounting firms, and consulting and investigative services firms. They are specially trained in detecting, investigating, and deterring fraud and white-collar crime.</w:t>
      </w:r>
    </w:p>
    <w:p w14:paraId="4FA826BE" w14:textId="77777777" w:rsidR="00692C63" w:rsidRDefault="00692C63" w:rsidP="00800607">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ab/>
      </w:r>
    </w:p>
    <w:p w14:paraId="00E32CB5" w14:textId="77777777" w:rsidR="00692C63" w:rsidRDefault="00692C63" w:rsidP="00800607">
      <w:pPr>
        <w:tabs>
          <w:tab w:val="left" w:pos="-1152"/>
          <w:tab w:val="left" w:pos="0"/>
          <w:tab w:val="left" w:pos="630"/>
          <w:tab w:val="left" w:pos="72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b/>
          <w:bCs/>
        </w:rPr>
        <w:t xml:space="preserve">2-2  </w:t>
      </w:r>
      <w:r>
        <w:rPr>
          <w:rFonts w:ascii="Times New Roman" w:hAnsi="Times New Roman" w:cs="Times New Roman"/>
          <w:b/>
          <w:bCs/>
        </w:rPr>
        <w:tab/>
      </w:r>
      <w:r>
        <w:rPr>
          <w:rFonts w:ascii="Times New Roman" w:hAnsi="Times New Roman" w:cs="Times New Roman"/>
        </w:rPr>
        <w:t xml:space="preserve">Examples of </w:t>
      </w:r>
      <w:r w:rsidRPr="007B1052">
        <w:rPr>
          <w:rFonts w:ascii="Times New Roman" w:hAnsi="Times New Roman" w:cs="Times New Roman"/>
          <w:i/>
          <w:iCs/>
        </w:rPr>
        <w:t>compliance</w:t>
      </w:r>
      <w:r>
        <w:rPr>
          <w:rFonts w:ascii="Times New Roman" w:hAnsi="Times New Roman" w:cs="Times New Roman"/>
        </w:rPr>
        <w:t xml:space="preserve"> audits include (1) internal auditors determining whether corporate rules and policies are being followed by departments within the organization, (2) an examination of tax returns of individuals and companies by the Internal Revenue Service for compliance with the tax laws, and (3) an audit under the Single Audit Act of 1984 to determine whether an entity receiving federal assistance is in compliance with applicable laws and regulations.</w:t>
      </w:r>
    </w:p>
    <w:p w14:paraId="2636BB87" w14:textId="77777777" w:rsidR="00692C63" w:rsidRDefault="00692C63" w:rsidP="001D6D85">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p>
    <w:p w14:paraId="1CC4DE1F" w14:textId="77777777" w:rsidR="00692C63" w:rsidRDefault="00692C63" w:rsidP="00800607">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 xml:space="preserve">Examples of </w:t>
      </w:r>
      <w:r w:rsidRPr="007B1052">
        <w:rPr>
          <w:rFonts w:ascii="Times New Roman" w:hAnsi="Times New Roman" w:cs="Times New Roman"/>
          <w:i/>
          <w:iCs/>
        </w:rPr>
        <w:t>operational</w:t>
      </w:r>
      <w:r>
        <w:rPr>
          <w:rFonts w:ascii="Times New Roman" w:hAnsi="Times New Roman" w:cs="Times New Roman"/>
        </w:rPr>
        <w:t xml:space="preserve"> audits include (1) an audit by the GAO of the Food and Drug Administration to determine the efficiency and effectiveness of procedures for introducing new drugs to the market, (2) internal auditors examining the effectiveness and efficiency of funds being spent on the entity’s computer resources, and (3) a university hiring an external auditor to examine the effectiveness and efficiency of student advisory services.</w:t>
      </w:r>
    </w:p>
    <w:p w14:paraId="478A1374"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rPr>
          <w:rFonts w:ascii="Times New Roman" w:hAnsi="Times New Roman" w:cs="Times New Roman"/>
        </w:rPr>
      </w:pPr>
    </w:p>
    <w:p w14:paraId="17193694"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rPr>
        <w:tab/>
        <w:t xml:space="preserve">Examples of </w:t>
      </w:r>
      <w:r w:rsidRPr="007B1052">
        <w:rPr>
          <w:rFonts w:ascii="Times New Roman" w:hAnsi="Times New Roman" w:cs="Times New Roman"/>
          <w:i/>
          <w:iCs/>
        </w:rPr>
        <w:t>forensic</w:t>
      </w:r>
      <w:r>
        <w:rPr>
          <w:rFonts w:ascii="Times New Roman" w:hAnsi="Times New Roman" w:cs="Times New Roman"/>
        </w:rPr>
        <w:t xml:space="preserve"> audits include (1) an examination by an external auditor of cash disbursements for payments to unauthorized vendors, (2) assistance by an auditor to a law enforcement agency in tracing laundered monies by organized criminals, and (3) an independent auditor helping identify hidden assets as part of a divorce settlement.</w:t>
      </w:r>
    </w:p>
    <w:p w14:paraId="3D4F7713"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p>
    <w:p w14:paraId="2C97ED4B"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rPr>
        <w:tab/>
        <w:t xml:space="preserve">Student answers will likely be less detailed but should capture the general idea of each </w:t>
      </w:r>
      <w:r>
        <w:rPr>
          <w:rFonts w:ascii="Times New Roman" w:hAnsi="Times New Roman" w:cs="Times New Roman"/>
        </w:rPr>
        <w:lastRenderedPageBreak/>
        <w:t>type of audit.</w:t>
      </w:r>
    </w:p>
    <w:p w14:paraId="5B772478" w14:textId="77777777" w:rsidR="00692C63" w:rsidRDefault="00692C63" w:rsidP="00102BC5">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04BF01B7" w14:textId="77777777" w:rsidR="00692C63" w:rsidRDefault="00692C63" w:rsidP="001D6D85">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Pr>
          <w:rFonts w:ascii="Times New Roman" w:hAnsi="Times New Roman" w:cs="Times New Roman"/>
          <w:b/>
          <w:bCs/>
        </w:rPr>
        <w:t xml:space="preserve">2-3  </w:t>
      </w:r>
      <w:r>
        <w:rPr>
          <w:rFonts w:ascii="Times New Roman" w:hAnsi="Times New Roman" w:cs="Times New Roman"/>
          <w:b/>
          <w:bCs/>
        </w:rPr>
        <w:tab/>
      </w:r>
      <w:r>
        <w:rPr>
          <w:rFonts w:ascii="Times New Roman" w:hAnsi="Times New Roman" w:cs="Times New Roman"/>
        </w:rPr>
        <w:t xml:space="preserve">During the late 1990s and early 2000s, accounting firms aggressively sought opportunities to expand their business in </w:t>
      </w:r>
      <w:proofErr w:type="spellStart"/>
      <w:r>
        <w:rPr>
          <w:rFonts w:ascii="Times New Roman" w:hAnsi="Times New Roman" w:cs="Times New Roman"/>
        </w:rPr>
        <w:t>nonaudit</w:t>
      </w:r>
      <w:proofErr w:type="spellEnd"/>
      <w:r>
        <w:rPr>
          <w:rFonts w:ascii="Times New Roman" w:hAnsi="Times New Roman" w:cs="Times New Roman"/>
        </w:rPr>
        <w:t xml:space="preserve"> services such as consulting. This expansion from their core audit practice, combined with allegations of auditors refusing to challenge management’s actions, resulted in conflict between regulators and the accounting profession. Subsequent financial fiascos such as those at Enron, WorldCom, Tyco, and many others caused investors to doubt the fundamental integrity of the financial reporting system. Under pressure to restore the public’s confidence, Congress passed the Sarbanes-Oxley Act and created the PCAOB in 2002.</w:t>
      </w:r>
    </w:p>
    <w:p w14:paraId="2EB16F19" w14:textId="77777777" w:rsidR="00692C63" w:rsidRDefault="00692C63" w:rsidP="00102BC5">
      <w:pPr>
        <w:tabs>
          <w:tab w:val="left" w:pos="0"/>
        </w:tabs>
        <w:ind w:left="634" w:hanging="634"/>
        <w:rPr>
          <w:rFonts w:ascii="Times New Roman" w:hAnsi="Times New Roman" w:cs="Times New Roman"/>
          <w:b/>
          <w:bCs/>
        </w:rPr>
      </w:pPr>
    </w:p>
    <w:p w14:paraId="67FFCC99" w14:textId="77777777" w:rsidR="00692C63" w:rsidRDefault="00692C63" w:rsidP="00800607">
      <w:pPr>
        <w:tabs>
          <w:tab w:val="left" w:pos="-1152"/>
          <w:tab w:val="left" w:pos="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rPr>
      </w:pPr>
      <w:r w:rsidRPr="00800607">
        <w:rPr>
          <w:rFonts w:ascii="Times New Roman" w:hAnsi="Times New Roman" w:cs="Times New Roman"/>
          <w:b/>
          <w:bCs/>
        </w:rPr>
        <w:t>2-4</w:t>
      </w: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rPr>
        <w:t xml:space="preserve">The accounting profession’s expansion into new areas, combined with changes in the overall business environment, resulted in new regulations and guidelines. The scandals of the late 1990s and early 2000s brought into question the profession’s ability to self-regulate, resulting in new legislation. While these changes have caused pain and turmoil, they highlight the essential importance of auditing in our economic system. Ultimately, the “back to basics” emphasis, along with auditing firms’ renewed focus on thorough and effective financial statement audits, will likely prove healthy for the U.S. financial </w:t>
      </w:r>
    </w:p>
    <w:p w14:paraId="5B590477" w14:textId="77777777" w:rsidR="00692C63" w:rsidRDefault="00692C63" w:rsidP="00A92DA2">
      <w:pPr>
        <w:tabs>
          <w:tab w:val="left" w:pos="-1152"/>
          <w:tab w:val="left" w:pos="0"/>
          <w:tab w:val="left" w:pos="630"/>
          <w:tab w:val="left" w:pos="1440"/>
          <w:tab w:val="left" w:pos="2160"/>
          <w:tab w:val="left" w:pos="2880"/>
          <w:tab w:val="left" w:pos="3600"/>
          <w:tab w:val="left" w:pos="4230"/>
          <w:tab w:val="left" w:pos="5040"/>
        </w:tabs>
        <w:ind w:left="634" w:hanging="4"/>
        <w:jc w:val="both"/>
        <w:rPr>
          <w:rFonts w:ascii="Times New Roman" w:hAnsi="Times New Roman" w:cs="Times New Roman"/>
          <w:b/>
          <w:bCs/>
        </w:rPr>
      </w:pPr>
      <w:r>
        <w:rPr>
          <w:rFonts w:ascii="Times New Roman" w:hAnsi="Times New Roman" w:cs="Times New Roman"/>
        </w:rPr>
        <w:br w:type="page"/>
      </w:r>
      <w:proofErr w:type="gramStart"/>
      <w:r>
        <w:rPr>
          <w:rFonts w:ascii="Times New Roman" w:hAnsi="Times New Roman" w:cs="Times New Roman"/>
        </w:rPr>
        <w:lastRenderedPageBreak/>
        <w:t>reporting</w:t>
      </w:r>
      <w:proofErr w:type="gramEnd"/>
      <w:r>
        <w:rPr>
          <w:rFonts w:ascii="Times New Roman" w:hAnsi="Times New Roman" w:cs="Times New Roman"/>
        </w:rPr>
        <w:t xml:space="preserve"> system and for the profession. Further, somewhat ironically, the SOX-mandated audit of internal control over financial reporting has brought significant new revenues to accounting firms.</w:t>
      </w:r>
    </w:p>
    <w:p w14:paraId="010D1EE1" w14:textId="77777777" w:rsidR="00692C63" w:rsidRDefault="00692C63" w:rsidP="001D6D85">
      <w:pPr>
        <w:ind w:left="634" w:hanging="634"/>
        <w:rPr>
          <w:rFonts w:ascii="Times New Roman" w:hAnsi="Times New Roman" w:cs="Times New Roman"/>
          <w:b/>
          <w:bCs/>
        </w:rPr>
      </w:pPr>
    </w:p>
    <w:p w14:paraId="6F664273"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 xml:space="preserve">2-5  </w:t>
      </w:r>
      <w:r>
        <w:rPr>
          <w:rFonts w:ascii="Times New Roman" w:hAnsi="Times New Roman" w:cs="Times New Roman"/>
          <w:b/>
          <w:bCs/>
        </w:rPr>
        <w:tab/>
      </w:r>
      <w:r>
        <w:rPr>
          <w:rFonts w:ascii="Times" w:hAnsi="Times" w:cs="Times"/>
        </w:rPr>
        <w:t xml:space="preserve">Management is responsible to prepare financial statements that fairly present the company’s financial condition and operations in accordance with established accounting standards. Note that the auditor’s opinion explicitly states that the financial statements are the responsibility of management. The auditor is responsible to issue an opinion in regards to the financial statements prepared by management. In order to issue this opinion, the auditor must plan and perform the audit in accordance with established standards to obtain reasonable assurance that the financial statements are free of material misstatement, whether caused by error or fraud. However, it is important to note that an auditor’s unqualified opinion does not mean that errors or fraud do not exist but rather that there is reasonable assurance that they do not exist in material amounts. </w:t>
      </w:r>
    </w:p>
    <w:p w14:paraId="41103622"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25F97B36"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 xml:space="preserve">2-6  </w:t>
      </w:r>
      <w:r>
        <w:rPr>
          <w:rFonts w:ascii="Times New Roman" w:hAnsi="Times New Roman" w:cs="Times New Roman"/>
          <w:b/>
          <w:bCs/>
        </w:rPr>
        <w:tab/>
      </w:r>
      <w:r>
        <w:rPr>
          <w:rFonts w:ascii="Times New Roman" w:hAnsi="Times New Roman" w:cs="Times New Roman"/>
        </w:rPr>
        <w:t>The essential components of the high-level model of business offered in the chapter are: corporate governance, objectives, strategies, processes, controls, transactions, and financial statements. Corporate governance is carried out by management and the board of directors in order to ensure that business objectives are carried out and that company assets are safeguarded. To achieve its objectives, management must formulate strategies and implement various processes which are in turn carried out through business transactions. The entity’s information and internal control systems must be designed to ensure that these transactions are properly executed, captured, and processed in order to produce accurate financial statements. It is important that the auditor obtain a firm understanding of these components in order to understand relevant risks and to plan the nature, timing, and extent of the audit so that it is efficient and effective.</w:t>
      </w:r>
    </w:p>
    <w:p w14:paraId="6EF89DAE"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52C61EF6" w14:textId="77777777" w:rsidR="00692C63" w:rsidRDefault="00692C63" w:rsidP="001D6D85">
      <w:pPr>
        <w:ind w:left="634" w:hanging="634"/>
        <w:rPr>
          <w:rFonts w:ascii="Times New Roman" w:hAnsi="Times New Roman" w:cs="Times New Roman"/>
          <w:b/>
          <w:bCs/>
        </w:rPr>
      </w:pPr>
      <w:r>
        <w:rPr>
          <w:rFonts w:ascii="Times New Roman" w:hAnsi="Times New Roman" w:cs="Times New Roman"/>
          <w:b/>
          <w:bCs/>
        </w:rPr>
        <w:t xml:space="preserve">2-7  </w:t>
      </w:r>
      <w:r>
        <w:rPr>
          <w:rFonts w:ascii="Times New Roman" w:hAnsi="Times New Roman" w:cs="Times New Roman"/>
          <w:b/>
          <w:bCs/>
        </w:rPr>
        <w:tab/>
      </w:r>
      <w:r>
        <w:rPr>
          <w:rFonts w:ascii="Times New Roman" w:hAnsi="Times New Roman" w:cs="Times New Roman"/>
          <w:lang w:eastAsia="zh-CN"/>
        </w:rPr>
        <w:t>The information system must maintain a record of all businesses transactions. It should be capable of producing accurate financial reports to summarize the effects of the entity’s transactions. Among other things, internal control is required to ensure that a proper environment is established and that transactions are appropriately conducted and recorded by the information system and company employees. Effective internal control provides safeguards to ensure the (1) reliability of financial reporting, (2) compliance with laws and regulations, and (3) the effectiveness and efficiency of operations. Auditing standards require that the auditor obtain an understanding of the client’s environment, including its internal control, in planning the nature, timing, and extent of testing.</w:t>
      </w:r>
    </w:p>
    <w:p w14:paraId="159E9BDC" w14:textId="77777777" w:rsidR="00692C63" w:rsidRDefault="00692C63" w:rsidP="00102BC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sz w:val="28"/>
          <w:szCs w:val="28"/>
        </w:rPr>
      </w:pPr>
      <w:r>
        <w:rPr>
          <w:rFonts w:ascii="Times New Roman" w:hAnsi="Times New Roman" w:cs="Times New Roman"/>
          <w:b/>
          <w:bCs/>
        </w:rPr>
        <w:tab/>
      </w:r>
    </w:p>
    <w:p w14:paraId="00CE0E42" w14:textId="77777777" w:rsidR="00692C63" w:rsidRDefault="00692C63" w:rsidP="001D6D85">
      <w:pPr>
        <w:tabs>
          <w:tab w:val="left" w:pos="-1152"/>
          <w:tab w:val="left" w:pos="-720"/>
          <w:tab w:val="left" w:pos="630"/>
          <w:tab w:val="left" w:pos="72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 xml:space="preserve">2-8  </w:t>
      </w:r>
      <w:r>
        <w:rPr>
          <w:rFonts w:ascii="Times New Roman" w:hAnsi="Times New Roman" w:cs="Times New Roman"/>
          <w:b/>
          <w:bCs/>
        </w:rPr>
        <w:tab/>
      </w:r>
      <w:r>
        <w:rPr>
          <w:rFonts w:ascii="Times New Roman" w:hAnsi="Times New Roman" w:cs="Times New Roman"/>
        </w:rPr>
        <w:t>The AICPA issues the following standards:</w:t>
      </w:r>
    </w:p>
    <w:p w14:paraId="7C05AA74" w14:textId="77777777" w:rsidR="00692C63" w:rsidRDefault="00692C63" w:rsidP="001D6D85">
      <w:pPr>
        <w:tabs>
          <w:tab w:val="left" w:pos="-1152"/>
          <w:tab w:val="left" w:pos="-720"/>
          <w:tab w:val="left" w:pos="630"/>
          <w:tab w:val="left" w:pos="1440"/>
          <w:tab w:val="left" w:pos="2160"/>
          <w:tab w:val="left" w:pos="2880"/>
          <w:tab w:val="left" w:pos="3600"/>
          <w:tab w:val="left" w:pos="4230"/>
          <w:tab w:val="left" w:pos="5040"/>
        </w:tabs>
        <w:jc w:val="both"/>
        <w:rPr>
          <w:rFonts w:ascii="Times New Roman" w:hAnsi="Times New Roman" w:cs="Times New Roman"/>
          <w:b/>
          <w:bCs/>
        </w:rPr>
      </w:pPr>
    </w:p>
    <w:p w14:paraId="006911FE"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Auditing Standards</w:t>
      </w:r>
    </w:p>
    <w:p w14:paraId="59E3E0DD"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Standards for Attestation Engagements</w:t>
      </w:r>
    </w:p>
    <w:p w14:paraId="163662D8"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Standards for Accounting and Review Services</w:t>
      </w:r>
    </w:p>
    <w:p w14:paraId="3F7AB131"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Quality Control Standards</w:t>
      </w:r>
    </w:p>
    <w:p w14:paraId="60EC6B88"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Standards for Performing and Reporting on Peer Reviews</w:t>
      </w:r>
    </w:p>
    <w:p w14:paraId="68E62C3A"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b/>
          <w:bCs/>
        </w:rPr>
      </w:pPr>
      <w:r>
        <w:rPr>
          <w:rFonts w:ascii="Times New Roman" w:hAnsi="Times New Roman" w:cs="Times New Roman"/>
        </w:rPr>
        <w:t>Statements on Standards for Consulting Services</w:t>
      </w:r>
    </w:p>
    <w:p w14:paraId="613B9585" w14:textId="77777777" w:rsidR="00692C63" w:rsidRDefault="00692C63" w:rsidP="001D6D85">
      <w:pPr>
        <w:numPr>
          <w:ilvl w:val="0"/>
          <w:numId w:val="7"/>
        </w:numPr>
        <w:tabs>
          <w:tab w:val="left" w:pos="-1152"/>
          <w:tab w:val="left" w:pos="-720"/>
          <w:tab w:val="left" w:pos="630"/>
          <w:tab w:val="left" w:pos="1080"/>
          <w:tab w:val="left" w:pos="2160"/>
          <w:tab w:val="left" w:pos="2880"/>
          <w:tab w:val="left" w:pos="3600"/>
          <w:tab w:val="left" w:pos="4230"/>
          <w:tab w:val="left" w:pos="5040"/>
        </w:tabs>
        <w:ind w:left="720" w:firstLine="0"/>
        <w:jc w:val="both"/>
        <w:rPr>
          <w:rFonts w:ascii="Times New Roman" w:hAnsi="Times New Roman" w:cs="Times New Roman"/>
        </w:rPr>
      </w:pPr>
      <w:r>
        <w:rPr>
          <w:rFonts w:ascii="Times New Roman" w:hAnsi="Times New Roman" w:cs="Times New Roman"/>
        </w:rPr>
        <w:t>Statements on Standards for Tax Services</w:t>
      </w:r>
    </w:p>
    <w:p w14:paraId="54A5277E" w14:textId="3FFFD732" w:rsidR="00692C63" w:rsidRDefault="00692C63" w:rsidP="00CC5CCF">
      <w:pPr>
        <w:tabs>
          <w:tab w:val="left" w:pos="-1152"/>
          <w:tab w:val="left" w:pos="-720"/>
          <w:tab w:val="left" w:pos="1080"/>
          <w:tab w:val="left" w:pos="2160"/>
          <w:tab w:val="left" w:pos="2880"/>
          <w:tab w:val="left" w:pos="3600"/>
          <w:tab w:val="left" w:pos="4230"/>
          <w:tab w:val="left" w:pos="5040"/>
        </w:tabs>
        <w:ind w:left="630" w:hanging="630"/>
        <w:jc w:val="both"/>
        <w:rPr>
          <w:rFonts w:ascii="Times New Roman" w:hAnsi="Times New Roman" w:cs="Times New Roman"/>
          <w:b/>
          <w:bCs/>
        </w:rPr>
      </w:pPr>
      <w:r>
        <w:rPr>
          <w:rFonts w:ascii="Times New Roman" w:hAnsi="Times New Roman" w:cs="Times New Roman"/>
          <w:b/>
          <w:bCs/>
        </w:rPr>
        <w:lastRenderedPageBreak/>
        <w:t xml:space="preserve">2-9  </w:t>
      </w:r>
      <w:r>
        <w:rPr>
          <w:rFonts w:ascii="Times New Roman" w:hAnsi="Times New Roman" w:cs="Times New Roman"/>
          <w:b/>
          <w:bCs/>
        </w:rPr>
        <w:tab/>
      </w:r>
      <w:r>
        <w:rPr>
          <w:rFonts w:ascii="Times" w:hAnsi="Times" w:cs="Times"/>
        </w:rPr>
        <w:t xml:space="preserve">The PCAOB is a quasi-governmental organization overseen by the SEC. It was formed to provide governmental regulation of the standards used in conducting public company audits because of a perceived failure of the profession to adequately regulate itself. </w:t>
      </w:r>
    </w:p>
    <w:p w14:paraId="5EE8FDB0" w14:textId="77777777" w:rsidR="00692C63" w:rsidRDefault="00692C63" w:rsidP="00102BC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p>
    <w:p w14:paraId="2B593EE0" w14:textId="77777777" w:rsidR="00692C63" w:rsidRDefault="00692C63" w:rsidP="00102BC5">
      <w:pPr>
        <w:tabs>
          <w:tab w:val="left" w:pos="-1152"/>
          <w:tab w:val="left" w:pos="-720"/>
          <w:tab w:val="left" w:pos="630"/>
          <w:tab w:val="left" w:pos="72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2-10</w:t>
      </w:r>
      <w:r>
        <w:rPr>
          <w:rFonts w:ascii="Times New Roman" w:hAnsi="Times New Roman" w:cs="Times New Roman"/>
          <w:b/>
          <w:bCs/>
        </w:rPr>
        <w:tab/>
      </w:r>
      <w:r>
        <w:rPr>
          <w:rFonts w:ascii="Times" w:hAnsi="Times" w:cs="Times"/>
        </w:rPr>
        <w:t>The SEC has congressional authority from the original Securities Acts of 1933 and 1934 to establish accounting and auditing standards for publicly traded companies; however, in the past the SEC has largely delegated this authority to other bodies, including the FASB and the AICPA’s Auditing Standards Board. The Sarbanes-Oxley Act of 2002 gave the SEC the mandate to actively regulate the public accounting profession by establishing and overseeing the PCAOB and its standard-setting process relating to the audits of public companies. The SEC has authority to implement and oversee standards relating to all aspects of the audits of public companies, including standards relating to auditor independence (such as the requirement for audit firms to rotate audit partners off audit engagements every five years).</w:t>
      </w:r>
    </w:p>
    <w:p w14:paraId="19CDED78" w14:textId="77777777" w:rsidR="00692C63" w:rsidRDefault="00692C63">
      <w:pPr>
        <w:tabs>
          <w:tab w:val="left" w:pos="-1152"/>
          <w:tab w:val="left" w:pos="-720"/>
          <w:tab w:val="left" w:pos="630"/>
          <w:tab w:val="left" w:pos="720"/>
          <w:tab w:val="left" w:pos="1440"/>
          <w:tab w:val="left" w:pos="2160"/>
          <w:tab w:val="left" w:pos="2880"/>
          <w:tab w:val="left" w:pos="3600"/>
          <w:tab w:val="left" w:pos="4230"/>
          <w:tab w:val="left" w:pos="5040"/>
        </w:tabs>
        <w:jc w:val="both"/>
        <w:rPr>
          <w:rFonts w:ascii="Times New Roman" w:hAnsi="Times New Roman" w:cs="Times New Roman"/>
          <w:b/>
          <w:bCs/>
        </w:rPr>
      </w:pPr>
    </w:p>
    <w:p w14:paraId="0C1BE31F" w14:textId="77777777" w:rsidR="00692C63" w:rsidRDefault="00692C63" w:rsidP="001D6D85">
      <w:pPr>
        <w:tabs>
          <w:tab w:val="left" w:pos="-1152"/>
          <w:tab w:val="left" w:pos="0"/>
          <w:tab w:val="left" w:pos="720"/>
          <w:tab w:val="left" w:pos="2160"/>
          <w:tab w:val="left" w:pos="2880"/>
          <w:tab w:val="left" w:pos="3600"/>
          <w:tab w:val="left" w:pos="4230"/>
          <w:tab w:val="left" w:pos="5040"/>
        </w:tabs>
        <w:ind w:left="634" w:hanging="634"/>
        <w:jc w:val="both"/>
        <w:rPr>
          <w:rFonts w:ascii="Times New Roman" w:hAnsi="Times New Roman" w:cs="Times New Roman"/>
          <w:b/>
          <w:bCs/>
          <w:sz w:val="28"/>
          <w:szCs w:val="28"/>
        </w:rPr>
      </w:pPr>
      <w:r>
        <w:rPr>
          <w:rFonts w:ascii="Times New Roman" w:hAnsi="Times New Roman" w:cs="Times New Roman"/>
          <w:b/>
          <w:bCs/>
        </w:rPr>
        <w:t>2-11</w:t>
      </w:r>
      <w:r>
        <w:rPr>
          <w:rFonts w:ascii="Times New Roman" w:hAnsi="Times New Roman" w:cs="Times New Roman"/>
          <w:b/>
          <w:bCs/>
        </w:rPr>
        <w:tab/>
      </w:r>
      <w:r>
        <w:rPr>
          <w:rFonts w:ascii="Times" w:hAnsi="Times" w:cs="Times"/>
        </w:rPr>
        <w:t>The d</w:t>
      </w:r>
      <w:r>
        <w:rPr>
          <w:rFonts w:ascii="Times New Roman" w:hAnsi="Times New Roman" w:cs="Times New Roman"/>
        </w:rPr>
        <w:t xml:space="preserve">ocuments most frequently encountered by auditors under the Securities Exchange Act of 1934 are forms </w:t>
      </w:r>
      <w:r>
        <w:rPr>
          <w:rFonts w:ascii="Times New Roman" w:hAnsi="Times New Roman" w:cs="Times New Roman"/>
          <w:i/>
          <w:iCs/>
        </w:rPr>
        <w:t>10-K</w:t>
      </w:r>
      <w:r>
        <w:rPr>
          <w:rFonts w:ascii="Times New Roman" w:hAnsi="Times New Roman" w:cs="Times New Roman"/>
        </w:rPr>
        <w:t xml:space="preserve">, </w:t>
      </w:r>
      <w:r>
        <w:rPr>
          <w:rFonts w:ascii="Times New Roman" w:hAnsi="Times New Roman" w:cs="Times New Roman"/>
          <w:i/>
          <w:iCs/>
        </w:rPr>
        <w:t>10-Q</w:t>
      </w:r>
      <w:r>
        <w:rPr>
          <w:rFonts w:ascii="Times New Roman" w:hAnsi="Times New Roman" w:cs="Times New Roman"/>
        </w:rPr>
        <w:t xml:space="preserve">, and </w:t>
      </w:r>
      <w:r>
        <w:rPr>
          <w:rFonts w:ascii="Times New Roman" w:hAnsi="Times New Roman" w:cs="Times New Roman"/>
          <w:i/>
          <w:iCs/>
        </w:rPr>
        <w:t>8-K</w:t>
      </w:r>
      <w:r>
        <w:rPr>
          <w:rFonts w:ascii="Times New Roman" w:hAnsi="Times New Roman" w:cs="Times New Roman"/>
        </w:rPr>
        <w:t xml:space="preserve">. Forms </w:t>
      </w:r>
      <w:r>
        <w:rPr>
          <w:rFonts w:ascii="Times New Roman" w:hAnsi="Times New Roman" w:cs="Times New Roman"/>
          <w:i/>
          <w:iCs/>
        </w:rPr>
        <w:t>10-K</w:t>
      </w:r>
      <w:r>
        <w:rPr>
          <w:rFonts w:ascii="Times New Roman" w:hAnsi="Times New Roman" w:cs="Times New Roman"/>
        </w:rPr>
        <w:t xml:space="preserve"> and </w:t>
      </w:r>
      <w:r>
        <w:rPr>
          <w:rFonts w:ascii="Times New Roman" w:hAnsi="Times New Roman" w:cs="Times New Roman"/>
          <w:i/>
          <w:iCs/>
        </w:rPr>
        <w:t>10-Q</w:t>
      </w:r>
      <w:r>
        <w:rPr>
          <w:rFonts w:ascii="Times New Roman" w:hAnsi="Times New Roman" w:cs="Times New Roman"/>
        </w:rPr>
        <w:t xml:space="preserve"> are, respectively, annual and quarterly reports, which include the audited financial statements periodically filed with the SEC by a publicly traded entity. An </w:t>
      </w:r>
      <w:r>
        <w:rPr>
          <w:rFonts w:ascii="Times New Roman" w:hAnsi="Times New Roman" w:cs="Times New Roman"/>
          <w:i/>
          <w:iCs/>
        </w:rPr>
        <w:t>8-K</w:t>
      </w:r>
      <w:r>
        <w:rPr>
          <w:rFonts w:ascii="Times New Roman" w:hAnsi="Times New Roman" w:cs="Times New Roman"/>
        </w:rPr>
        <w:t xml:space="preserve"> is filed whenever a significant event occurs which may be of interest to investors, such as a change of independent auditors.</w:t>
      </w:r>
    </w:p>
    <w:p w14:paraId="24E4DD87" w14:textId="77777777" w:rsidR="00692C63" w:rsidRDefault="00692C63">
      <w:pPr>
        <w:tabs>
          <w:tab w:val="left" w:pos="-1152"/>
          <w:tab w:val="left" w:pos="-720"/>
          <w:tab w:val="left" w:pos="630"/>
          <w:tab w:val="left" w:pos="1080"/>
          <w:tab w:val="left" w:pos="2160"/>
          <w:tab w:val="left" w:pos="2880"/>
          <w:tab w:val="left" w:pos="3600"/>
          <w:tab w:val="left" w:pos="4230"/>
          <w:tab w:val="left" w:pos="5040"/>
        </w:tabs>
        <w:jc w:val="both"/>
        <w:rPr>
          <w:rFonts w:ascii="Times" w:hAnsi="Times" w:cs="Times"/>
        </w:rPr>
      </w:pPr>
    </w:p>
    <w:p w14:paraId="7B133F88" w14:textId="77777777" w:rsidR="00692C63" w:rsidRDefault="00692C63" w:rsidP="006674CB">
      <w:pPr>
        <w:widowControl/>
        <w:tabs>
          <w:tab w:val="left" w:pos="600"/>
        </w:tabs>
        <w:autoSpaceDE w:val="0"/>
        <w:autoSpaceDN w:val="0"/>
        <w:adjustRightInd w:val="0"/>
        <w:jc w:val="both"/>
        <w:rPr>
          <w:rFonts w:ascii="Times" w:hAnsi="Times" w:cs="Times"/>
        </w:rPr>
      </w:pPr>
      <w:r>
        <w:rPr>
          <w:rFonts w:ascii="Times New Roman" w:hAnsi="Times New Roman" w:cs="Times New Roman"/>
          <w:b/>
          <w:bCs/>
        </w:rPr>
        <w:t>2-12</w:t>
      </w:r>
      <w:r>
        <w:rPr>
          <w:rFonts w:ascii="Times New Roman" w:hAnsi="Times New Roman" w:cs="Times New Roman"/>
          <w:b/>
          <w:bCs/>
        </w:rPr>
        <w:tab/>
      </w:r>
      <w:r>
        <w:rPr>
          <w:rFonts w:ascii="Times" w:hAnsi="Times" w:cs="Times"/>
        </w:rPr>
        <w:t xml:space="preserve">The four categories of Principles </w:t>
      </w:r>
      <w:r w:rsidRPr="00846360">
        <w:rPr>
          <w:rFonts w:ascii="Times" w:hAnsi="Times" w:cs="Times"/>
        </w:rPr>
        <w:t>Underlying an Audit Conducted in</w:t>
      </w:r>
      <w:r>
        <w:rPr>
          <w:rFonts w:ascii="Times" w:hAnsi="Times" w:cs="Times"/>
        </w:rPr>
        <w:t xml:space="preserve"> </w:t>
      </w:r>
      <w:r w:rsidRPr="00846360">
        <w:rPr>
          <w:rFonts w:ascii="Times" w:hAnsi="Times" w:cs="Times"/>
        </w:rPr>
        <w:t xml:space="preserve">Accordance with </w:t>
      </w:r>
      <w:r>
        <w:rPr>
          <w:rFonts w:ascii="Times" w:hAnsi="Times" w:cs="Times"/>
        </w:rPr>
        <w:tab/>
      </w:r>
      <w:r w:rsidRPr="00846360">
        <w:rPr>
          <w:rFonts w:ascii="Times" w:hAnsi="Times" w:cs="Times"/>
        </w:rPr>
        <w:t>GAAS</w:t>
      </w:r>
      <w:r>
        <w:rPr>
          <w:rFonts w:ascii="Times" w:hAnsi="Times" w:cs="Times"/>
        </w:rPr>
        <w:t xml:space="preserve"> are </w:t>
      </w:r>
      <w:r w:rsidRPr="00CC5CCF">
        <w:rPr>
          <w:rFonts w:ascii="Times" w:hAnsi="Times" w:cs="Times"/>
          <w:i/>
        </w:rPr>
        <w:t>the purpose and premise of an audit</w:t>
      </w:r>
      <w:r w:rsidRPr="00846360">
        <w:rPr>
          <w:rFonts w:ascii="Times" w:hAnsi="Times" w:cs="Times"/>
        </w:rPr>
        <w:t xml:space="preserve">, </w:t>
      </w:r>
      <w:r w:rsidRPr="00CC5CCF">
        <w:rPr>
          <w:rFonts w:ascii="Times" w:hAnsi="Times" w:cs="Times"/>
          <w:i/>
        </w:rPr>
        <w:t>personal responsibilities of the auditor</w:t>
      </w:r>
      <w:r w:rsidRPr="00846360">
        <w:rPr>
          <w:rFonts w:ascii="Times" w:hAnsi="Times" w:cs="Times"/>
        </w:rPr>
        <w:t xml:space="preserve">, </w:t>
      </w:r>
      <w:r>
        <w:rPr>
          <w:rFonts w:ascii="Times" w:hAnsi="Times" w:cs="Times"/>
        </w:rPr>
        <w:tab/>
      </w:r>
      <w:r w:rsidRPr="00CC5CCF">
        <w:rPr>
          <w:rFonts w:ascii="Times" w:hAnsi="Times" w:cs="Times"/>
          <w:i/>
        </w:rPr>
        <w:t>auditor actions in performing the audit</w:t>
      </w:r>
      <w:r w:rsidRPr="00846360">
        <w:rPr>
          <w:rFonts w:ascii="Times" w:hAnsi="Times" w:cs="Times"/>
        </w:rPr>
        <w:t xml:space="preserve">, and </w:t>
      </w:r>
      <w:r w:rsidRPr="00CC5CCF">
        <w:rPr>
          <w:rFonts w:ascii="Times" w:hAnsi="Times" w:cs="Times"/>
          <w:i/>
        </w:rPr>
        <w:t>reporting</w:t>
      </w:r>
      <w:r>
        <w:rPr>
          <w:rFonts w:ascii="Times" w:hAnsi="Times" w:cs="Times"/>
        </w:rPr>
        <w:t xml:space="preserve">. </w:t>
      </w:r>
      <w:r w:rsidRPr="006067B9">
        <w:rPr>
          <w:rFonts w:ascii="Times" w:hAnsi="Times" w:cs="Times"/>
        </w:rPr>
        <w:t xml:space="preserve">The Principles Underlying an </w:t>
      </w:r>
      <w:r>
        <w:rPr>
          <w:rFonts w:ascii="Times" w:hAnsi="Times" w:cs="Times"/>
        </w:rPr>
        <w:tab/>
      </w:r>
      <w:r w:rsidRPr="006067B9">
        <w:rPr>
          <w:rFonts w:ascii="Times" w:hAnsi="Times" w:cs="Times"/>
        </w:rPr>
        <w:t xml:space="preserve">Audit include all of the key concepts conveyed in the 10 GAAS, but do so in a more </w:t>
      </w:r>
      <w:r>
        <w:rPr>
          <w:rFonts w:ascii="Times" w:hAnsi="Times" w:cs="Times"/>
        </w:rPr>
        <w:tab/>
      </w:r>
      <w:r w:rsidRPr="006067B9">
        <w:rPr>
          <w:rFonts w:ascii="Times" w:hAnsi="Times" w:cs="Times"/>
        </w:rPr>
        <w:t xml:space="preserve">organized and coherent manner. They also address other key concepts that are not </w:t>
      </w:r>
      <w:r>
        <w:rPr>
          <w:rFonts w:ascii="Times" w:hAnsi="Times" w:cs="Times"/>
        </w:rPr>
        <w:tab/>
      </w:r>
      <w:r w:rsidRPr="006067B9">
        <w:rPr>
          <w:rFonts w:ascii="Times" w:hAnsi="Times" w:cs="Times"/>
        </w:rPr>
        <w:t xml:space="preserve">addressed in the 10 GAAS, such as explicitly identifying the fundamental purpose of an </w:t>
      </w:r>
      <w:r>
        <w:rPr>
          <w:rFonts w:ascii="Times" w:hAnsi="Times" w:cs="Times"/>
        </w:rPr>
        <w:tab/>
      </w:r>
      <w:r w:rsidRPr="006067B9">
        <w:rPr>
          <w:rFonts w:ascii="Times" w:hAnsi="Times" w:cs="Times"/>
        </w:rPr>
        <w:t>audit and management’s responsibilities.</w:t>
      </w:r>
    </w:p>
    <w:p w14:paraId="2C794D27" w14:textId="77777777" w:rsidR="00692C63" w:rsidRDefault="00692C63" w:rsidP="00102BC5">
      <w:pPr>
        <w:tabs>
          <w:tab w:val="left" w:pos="-1152"/>
          <w:tab w:val="left" w:pos="-72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sz w:val="28"/>
          <w:szCs w:val="28"/>
        </w:rPr>
      </w:pPr>
    </w:p>
    <w:p w14:paraId="449197AD" w14:textId="77777777" w:rsidR="00692C63" w:rsidRDefault="00692C63" w:rsidP="001D6D8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 xml:space="preserve">2-13  </w:t>
      </w:r>
      <w:r>
        <w:rPr>
          <w:rFonts w:ascii="Times New Roman" w:hAnsi="Times New Roman" w:cs="Times New Roman"/>
          <w:b/>
          <w:bCs/>
        </w:rPr>
        <w:tab/>
      </w:r>
      <w:r>
        <w:rPr>
          <w:rFonts w:ascii="Times New Roman" w:hAnsi="Times New Roman" w:cs="Times New Roman"/>
        </w:rPr>
        <w:t xml:space="preserve">GAAS is composed of three categories of standards: </w:t>
      </w:r>
      <w:r>
        <w:rPr>
          <w:rFonts w:ascii="Times New Roman" w:hAnsi="Times New Roman" w:cs="Times New Roman"/>
          <w:i/>
          <w:iCs/>
        </w:rPr>
        <w:t>general standards</w:t>
      </w:r>
      <w:r>
        <w:rPr>
          <w:rFonts w:ascii="Times New Roman" w:hAnsi="Times New Roman" w:cs="Times New Roman"/>
        </w:rPr>
        <w:t xml:space="preserve">, </w:t>
      </w:r>
      <w:r>
        <w:rPr>
          <w:rFonts w:ascii="Times New Roman" w:hAnsi="Times New Roman" w:cs="Times New Roman"/>
          <w:i/>
          <w:iCs/>
        </w:rPr>
        <w:t>standards of field work</w:t>
      </w:r>
      <w:r>
        <w:rPr>
          <w:rFonts w:ascii="Times New Roman" w:hAnsi="Times New Roman" w:cs="Times New Roman"/>
        </w:rPr>
        <w:t xml:space="preserve">, and </w:t>
      </w:r>
      <w:r>
        <w:rPr>
          <w:rFonts w:ascii="Times New Roman" w:hAnsi="Times New Roman" w:cs="Times New Roman"/>
          <w:i/>
          <w:iCs/>
        </w:rPr>
        <w:t>standards of reporting</w:t>
      </w:r>
      <w:r>
        <w:rPr>
          <w:rFonts w:ascii="Times New Roman" w:hAnsi="Times New Roman" w:cs="Times New Roman"/>
        </w:rPr>
        <w:t>. The ten GAAS and the SAS are minimum standards of performance because circumstances of individual engagements may require the auditor to perform audit work beyond that specified in GAAS and the SAS in order to appropriately issue an opinion that a set of financial statements is fairly presented. As a result, the auditor needs to use professional judgment in following all standards.</w:t>
      </w:r>
    </w:p>
    <w:p w14:paraId="20749EC4" w14:textId="77777777" w:rsidR="00692C63" w:rsidRDefault="00692C63" w:rsidP="00102BC5">
      <w:pPr>
        <w:tabs>
          <w:tab w:val="left" w:pos="-1152"/>
          <w:tab w:val="left" w:pos="0"/>
          <w:tab w:val="left" w:pos="720"/>
          <w:tab w:val="left" w:pos="2160"/>
          <w:tab w:val="left" w:pos="2880"/>
          <w:tab w:val="left" w:pos="3600"/>
          <w:tab w:val="left" w:pos="4230"/>
          <w:tab w:val="left" w:pos="5040"/>
        </w:tabs>
        <w:ind w:left="634" w:hanging="634"/>
        <w:jc w:val="both"/>
        <w:rPr>
          <w:rFonts w:ascii="Times" w:hAnsi="Times" w:cs="Times"/>
        </w:rPr>
      </w:pPr>
    </w:p>
    <w:p w14:paraId="34FB93A7" w14:textId="77777777" w:rsidR="00692C63" w:rsidRDefault="00692C63" w:rsidP="001D6D85">
      <w:pPr>
        <w:tabs>
          <w:tab w:val="left" w:pos="-1152"/>
          <w:tab w:val="left" w:pos="-720"/>
          <w:tab w:val="left" w:pos="-90"/>
          <w:tab w:val="left" w:pos="630"/>
          <w:tab w:val="left" w:pos="1440"/>
          <w:tab w:val="left" w:pos="2160"/>
          <w:tab w:val="left" w:pos="2880"/>
          <w:tab w:val="left" w:pos="3600"/>
          <w:tab w:val="left" w:pos="4230"/>
          <w:tab w:val="left" w:pos="5040"/>
        </w:tabs>
        <w:ind w:left="634" w:hanging="634"/>
        <w:jc w:val="both"/>
        <w:rPr>
          <w:rFonts w:ascii="Times New Roman" w:hAnsi="Times New Roman" w:cs="Times New Roman"/>
          <w:b/>
          <w:bCs/>
        </w:rPr>
      </w:pPr>
      <w:r>
        <w:rPr>
          <w:rFonts w:ascii="Times New Roman" w:hAnsi="Times New Roman" w:cs="Times New Roman"/>
          <w:b/>
          <w:bCs/>
        </w:rPr>
        <w:t xml:space="preserve">2-14 </w:t>
      </w:r>
      <w:r>
        <w:rPr>
          <w:rFonts w:ascii="Times New Roman" w:hAnsi="Times New Roman" w:cs="Times New Roman"/>
          <w:b/>
          <w:bCs/>
        </w:rPr>
        <w:tab/>
      </w:r>
      <w:r>
        <w:rPr>
          <w:rFonts w:ascii="Times New Roman" w:hAnsi="Times New Roman" w:cs="Times New Roman"/>
        </w:rPr>
        <w:t>Independence is a fundamental principle for auditors. If an auditor is not independent of the client, users may lose confidence in the auditor’s ability to report objectively and truthfully on the financial statements, and the auditor’s work loses its value. From an agency perspective, if the principal (owner) knows that the auditor is not independent, the owner will not trust the auditor’s work. Thus, the agent will not hire the auditor because the auditor’s report will not be effective in reducing information risk from the perspective of the owner.</w:t>
      </w:r>
    </w:p>
    <w:p w14:paraId="1A35AC22" w14:textId="54EF6EA8" w:rsidR="00692C63" w:rsidRDefault="00692C63" w:rsidP="00DA3D57">
      <w:pPr>
        <w:tabs>
          <w:tab w:val="left" w:pos="-1152"/>
          <w:tab w:val="left" w:pos="0"/>
          <w:tab w:val="left" w:pos="720"/>
          <w:tab w:val="left" w:pos="2160"/>
          <w:tab w:val="left" w:pos="2880"/>
          <w:tab w:val="left" w:pos="3600"/>
          <w:tab w:val="left" w:pos="4230"/>
          <w:tab w:val="left" w:pos="5040"/>
        </w:tabs>
        <w:ind w:left="634" w:hanging="634"/>
        <w:jc w:val="both"/>
        <w:rPr>
          <w:rFonts w:ascii="Times New Roman" w:hAnsi="Times New Roman" w:cs="Times New Roman"/>
          <w:b/>
          <w:bCs/>
          <w:sz w:val="28"/>
          <w:szCs w:val="28"/>
        </w:rPr>
      </w:pPr>
      <w:r>
        <w:rPr>
          <w:rFonts w:ascii="Times New Roman" w:hAnsi="Times New Roman" w:cs="Times New Roman"/>
          <w:b/>
          <w:bCs/>
          <w:sz w:val="28"/>
          <w:szCs w:val="28"/>
        </w:rPr>
        <w:br w:type="page"/>
      </w:r>
    </w:p>
    <w:p w14:paraId="18194FFF" w14:textId="77777777" w:rsidR="00692C63" w:rsidRDefault="00692C63" w:rsidP="00C00F87">
      <w:pPr>
        <w:tabs>
          <w:tab w:val="left" w:pos="-1152"/>
          <w:tab w:val="left" w:pos="-720"/>
          <w:tab w:val="left" w:pos="0"/>
          <w:tab w:val="left" w:pos="720"/>
          <w:tab w:val="left" w:pos="1440"/>
          <w:tab w:val="left" w:pos="2160"/>
          <w:tab w:val="left" w:pos="2880"/>
          <w:tab w:val="left" w:pos="3600"/>
          <w:tab w:val="left" w:pos="4230"/>
          <w:tab w:val="left" w:pos="5040"/>
        </w:tabs>
        <w:jc w:val="both"/>
        <w:outlineLvl w:val="0"/>
        <w:rPr>
          <w:rFonts w:ascii="Times New Roman" w:hAnsi="Times New Roman" w:cs="Times New Roman"/>
          <w:sz w:val="28"/>
          <w:szCs w:val="28"/>
        </w:rPr>
      </w:pPr>
      <w:r>
        <w:rPr>
          <w:rFonts w:ascii="Times New Roman" w:hAnsi="Times New Roman" w:cs="Times New Roman"/>
          <w:b/>
          <w:bCs/>
          <w:sz w:val="28"/>
          <w:szCs w:val="28"/>
        </w:rPr>
        <w:lastRenderedPageBreak/>
        <w:t>Answers to Multiple-Choice Questions</w:t>
      </w:r>
    </w:p>
    <w:p w14:paraId="1E1EB398"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sz w:val="28"/>
          <w:szCs w:val="28"/>
        </w:rPr>
      </w:pPr>
    </w:p>
    <w:tbl>
      <w:tblPr>
        <w:tblW w:w="0" w:type="auto"/>
        <w:tblInd w:w="-106" w:type="dxa"/>
        <w:tblLayout w:type="fixed"/>
        <w:tblLook w:val="0000" w:firstRow="0" w:lastRow="0" w:firstColumn="0" w:lastColumn="0" w:noHBand="0" w:noVBand="0"/>
      </w:tblPr>
      <w:tblGrid>
        <w:gridCol w:w="828"/>
        <w:gridCol w:w="720"/>
        <w:gridCol w:w="1440"/>
        <w:gridCol w:w="720"/>
        <w:gridCol w:w="720"/>
      </w:tblGrid>
      <w:tr w:rsidR="00692C63" w14:paraId="74DA1E69" w14:textId="77777777">
        <w:tc>
          <w:tcPr>
            <w:tcW w:w="828" w:type="dxa"/>
          </w:tcPr>
          <w:p w14:paraId="1ADC8C69"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2-15</w:t>
            </w:r>
          </w:p>
        </w:tc>
        <w:tc>
          <w:tcPr>
            <w:tcW w:w="720" w:type="dxa"/>
          </w:tcPr>
          <w:p w14:paraId="1A0368D8"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b</w:t>
            </w:r>
          </w:p>
        </w:tc>
        <w:tc>
          <w:tcPr>
            <w:tcW w:w="1440" w:type="dxa"/>
          </w:tcPr>
          <w:p w14:paraId="0FD9F200"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3725A113"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2-20</w:t>
            </w:r>
          </w:p>
        </w:tc>
        <w:tc>
          <w:tcPr>
            <w:tcW w:w="720" w:type="dxa"/>
          </w:tcPr>
          <w:p w14:paraId="39A11CC9"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r>
      <w:tr w:rsidR="00692C63" w14:paraId="73B324A6" w14:textId="77777777">
        <w:tc>
          <w:tcPr>
            <w:tcW w:w="828" w:type="dxa"/>
          </w:tcPr>
          <w:p w14:paraId="6ECDA8B7"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2-16</w:t>
            </w:r>
          </w:p>
        </w:tc>
        <w:tc>
          <w:tcPr>
            <w:tcW w:w="720" w:type="dxa"/>
          </w:tcPr>
          <w:p w14:paraId="62CE5702"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c>
          <w:tcPr>
            <w:tcW w:w="1440" w:type="dxa"/>
          </w:tcPr>
          <w:p w14:paraId="20ECE289"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3ABB7072"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2-21</w:t>
            </w:r>
          </w:p>
        </w:tc>
        <w:tc>
          <w:tcPr>
            <w:tcW w:w="720" w:type="dxa"/>
          </w:tcPr>
          <w:p w14:paraId="43D5949D"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r>
      <w:tr w:rsidR="00692C63" w14:paraId="440A3907" w14:textId="77777777">
        <w:tc>
          <w:tcPr>
            <w:tcW w:w="828" w:type="dxa"/>
          </w:tcPr>
          <w:p w14:paraId="3A91D76F"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2-17</w:t>
            </w:r>
          </w:p>
        </w:tc>
        <w:tc>
          <w:tcPr>
            <w:tcW w:w="720" w:type="dxa"/>
          </w:tcPr>
          <w:p w14:paraId="0802A328"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a</w:t>
            </w:r>
          </w:p>
        </w:tc>
        <w:tc>
          <w:tcPr>
            <w:tcW w:w="1440" w:type="dxa"/>
          </w:tcPr>
          <w:p w14:paraId="6839E33C"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0FCF6D5C"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2-22</w:t>
            </w:r>
          </w:p>
        </w:tc>
        <w:tc>
          <w:tcPr>
            <w:tcW w:w="720" w:type="dxa"/>
          </w:tcPr>
          <w:p w14:paraId="23A31FDD"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c</w:t>
            </w:r>
          </w:p>
        </w:tc>
      </w:tr>
      <w:tr w:rsidR="00692C63" w14:paraId="6237CA0B" w14:textId="77777777">
        <w:tc>
          <w:tcPr>
            <w:tcW w:w="828" w:type="dxa"/>
          </w:tcPr>
          <w:p w14:paraId="573A8FEB"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2-18</w:t>
            </w:r>
          </w:p>
        </w:tc>
        <w:tc>
          <w:tcPr>
            <w:tcW w:w="720" w:type="dxa"/>
          </w:tcPr>
          <w:p w14:paraId="7CB0040F"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d</w:t>
            </w:r>
          </w:p>
        </w:tc>
        <w:tc>
          <w:tcPr>
            <w:tcW w:w="1440" w:type="dxa"/>
          </w:tcPr>
          <w:p w14:paraId="07989D8D"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04E0E57F"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2-23</w:t>
            </w:r>
          </w:p>
        </w:tc>
        <w:tc>
          <w:tcPr>
            <w:tcW w:w="720" w:type="dxa"/>
          </w:tcPr>
          <w:p w14:paraId="42D0E040"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c</w:t>
            </w:r>
          </w:p>
        </w:tc>
      </w:tr>
      <w:tr w:rsidR="00692C63" w14:paraId="607D94F9" w14:textId="77777777">
        <w:tc>
          <w:tcPr>
            <w:tcW w:w="828" w:type="dxa"/>
          </w:tcPr>
          <w:p w14:paraId="114EFD30"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r>
              <w:rPr>
                <w:rFonts w:ascii="Times New Roman" w:hAnsi="Times New Roman" w:cs="Times New Roman"/>
                <w:b/>
                <w:bCs/>
              </w:rPr>
              <w:t>2-19</w:t>
            </w:r>
          </w:p>
        </w:tc>
        <w:tc>
          <w:tcPr>
            <w:tcW w:w="720" w:type="dxa"/>
          </w:tcPr>
          <w:p w14:paraId="1E53D136" w14:textId="77777777" w:rsidR="00692C63" w:rsidRDefault="00692C63" w:rsidP="00356D0D">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r>
              <w:rPr>
                <w:rFonts w:ascii="Times New Roman" w:hAnsi="Times New Roman" w:cs="Times New Roman"/>
              </w:rPr>
              <w:t>c</w:t>
            </w:r>
          </w:p>
        </w:tc>
        <w:tc>
          <w:tcPr>
            <w:tcW w:w="1440" w:type="dxa"/>
          </w:tcPr>
          <w:p w14:paraId="108DD5FE" w14:textId="77777777" w:rsidR="00692C63" w:rsidRDefault="00692C6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rPr>
            </w:pPr>
          </w:p>
        </w:tc>
        <w:tc>
          <w:tcPr>
            <w:tcW w:w="720" w:type="dxa"/>
          </w:tcPr>
          <w:p w14:paraId="2C572ECB"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both"/>
              <w:rPr>
                <w:rFonts w:ascii="Times New Roman" w:hAnsi="Times New Roman" w:cs="Times New Roman"/>
                <w:b/>
                <w:bCs/>
              </w:rPr>
            </w:pPr>
          </w:p>
        </w:tc>
        <w:tc>
          <w:tcPr>
            <w:tcW w:w="720" w:type="dxa"/>
          </w:tcPr>
          <w:p w14:paraId="27AADA18" w14:textId="77777777" w:rsidR="00692C63" w:rsidRDefault="00692C63" w:rsidP="00341733">
            <w:pPr>
              <w:tabs>
                <w:tab w:val="left" w:pos="-1152"/>
                <w:tab w:val="left" w:pos="-720"/>
                <w:tab w:val="left" w:pos="0"/>
                <w:tab w:val="left" w:pos="630"/>
                <w:tab w:val="left" w:pos="1440"/>
                <w:tab w:val="left" w:pos="2160"/>
                <w:tab w:val="left" w:pos="2880"/>
                <w:tab w:val="left" w:pos="3600"/>
                <w:tab w:val="left" w:pos="4230"/>
                <w:tab w:val="left" w:pos="5040"/>
              </w:tabs>
              <w:jc w:val="center"/>
              <w:rPr>
                <w:rFonts w:ascii="Times New Roman" w:hAnsi="Times New Roman" w:cs="Times New Roman"/>
              </w:rPr>
            </w:pPr>
          </w:p>
        </w:tc>
      </w:tr>
    </w:tbl>
    <w:p w14:paraId="4CC8EE85" w14:textId="77777777" w:rsidR="00692C63" w:rsidRDefault="00692C63">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b/>
          <w:bCs/>
          <w:sz w:val="28"/>
          <w:szCs w:val="28"/>
        </w:rPr>
      </w:pPr>
    </w:p>
    <w:p w14:paraId="53734AE4" w14:textId="77777777" w:rsidR="00692C63" w:rsidRDefault="00692C63" w:rsidP="00C00F87">
      <w:pPr>
        <w:tabs>
          <w:tab w:val="left" w:pos="-1152"/>
          <w:tab w:val="left" w:pos="-720"/>
          <w:tab w:val="left" w:pos="-90"/>
          <w:tab w:val="left" w:pos="720"/>
          <w:tab w:val="left" w:pos="1440"/>
          <w:tab w:val="left" w:pos="2160"/>
          <w:tab w:val="left" w:pos="2880"/>
          <w:tab w:val="left" w:pos="3600"/>
          <w:tab w:val="left" w:pos="4230"/>
          <w:tab w:val="left" w:pos="5040"/>
        </w:tabs>
        <w:jc w:val="both"/>
        <w:outlineLvl w:val="0"/>
        <w:rPr>
          <w:rFonts w:ascii="Times New Roman" w:hAnsi="Times New Roman" w:cs="Times New Roman"/>
          <w:sz w:val="28"/>
          <w:szCs w:val="28"/>
        </w:rPr>
      </w:pPr>
      <w:r>
        <w:rPr>
          <w:rFonts w:ascii="Times New Roman" w:hAnsi="Times New Roman" w:cs="Times New Roman"/>
          <w:b/>
          <w:bCs/>
          <w:sz w:val="28"/>
          <w:szCs w:val="28"/>
        </w:rPr>
        <w:t>Solutions to Problems</w:t>
      </w:r>
    </w:p>
    <w:p w14:paraId="090D0039" w14:textId="77777777" w:rsidR="00692C63" w:rsidRDefault="00692C63">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52CE33B1" w14:textId="77777777" w:rsidR="00692C63" w:rsidRDefault="00692C63" w:rsidP="00B3716B">
      <w:pPr>
        <w:tabs>
          <w:tab w:val="left" w:pos="-1152"/>
          <w:tab w:val="left" w:pos="-720"/>
          <w:tab w:val="left" w:pos="0"/>
          <w:tab w:val="left" w:pos="540"/>
          <w:tab w:val="left" w:pos="720"/>
          <w:tab w:val="left" w:pos="900"/>
          <w:tab w:val="left" w:pos="1080"/>
          <w:tab w:val="left" w:pos="1350"/>
          <w:tab w:val="left" w:pos="3600"/>
          <w:tab w:val="left" w:pos="4230"/>
          <w:tab w:val="left" w:pos="5040"/>
        </w:tabs>
        <w:jc w:val="both"/>
        <w:rPr>
          <w:rFonts w:ascii="Times New Roman" w:hAnsi="Times New Roman" w:cs="Times New Roman"/>
        </w:rPr>
      </w:pPr>
      <w:r>
        <w:rPr>
          <w:rFonts w:ascii="Times New Roman" w:hAnsi="Times New Roman" w:cs="Times New Roman"/>
          <w:b/>
          <w:bCs/>
        </w:rPr>
        <w:t>2-24</w:t>
      </w:r>
    </w:p>
    <w:tbl>
      <w:tblPr>
        <w:tblW w:w="0" w:type="auto"/>
        <w:tblInd w:w="-118" w:type="dxa"/>
        <w:tblLayout w:type="fixed"/>
        <w:tblCellMar>
          <w:left w:w="120" w:type="dxa"/>
          <w:right w:w="120" w:type="dxa"/>
        </w:tblCellMar>
        <w:tblLook w:val="0000" w:firstRow="0" w:lastRow="0" w:firstColumn="0" w:lastColumn="0" w:noHBand="0" w:noVBand="0"/>
      </w:tblPr>
      <w:tblGrid>
        <w:gridCol w:w="2250"/>
        <w:gridCol w:w="3150"/>
        <w:gridCol w:w="3240"/>
      </w:tblGrid>
      <w:tr w:rsidR="00692C63" w14:paraId="5BF93707" w14:textId="77777777">
        <w:tc>
          <w:tcPr>
            <w:tcW w:w="2250" w:type="dxa"/>
            <w:tcBorders>
              <w:bottom w:val="double" w:sz="2" w:space="0" w:color="000000"/>
              <w:right w:val="single" w:sz="4" w:space="0" w:color="000000"/>
            </w:tcBorders>
          </w:tcPr>
          <w:p w14:paraId="4BA1F4DA" w14:textId="77777777" w:rsidR="00692C63" w:rsidRDefault="00692C63" w:rsidP="00EA02C6">
            <w:pPr>
              <w:spacing w:line="120" w:lineRule="exact"/>
              <w:rPr>
                <w:rFonts w:ascii="Times New Roman" w:hAnsi="Times New Roman" w:cs="Times New Roman"/>
              </w:rPr>
            </w:pPr>
          </w:p>
          <w:p w14:paraId="1F3B2A16" w14:textId="77777777" w:rsidR="00692C63" w:rsidRDefault="00692C63" w:rsidP="00EA02C6">
            <w:pPr>
              <w:tabs>
                <w:tab w:val="center" w:pos="1005"/>
                <w:tab w:val="left" w:pos="1080"/>
                <w:tab w:val="left" w:pos="1350"/>
                <w:tab w:val="left" w:pos="3600"/>
                <w:tab w:val="left" w:pos="4230"/>
                <w:tab w:val="left" w:pos="5040"/>
              </w:tabs>
              <w:spacing w:after="58"/>
              <w:rPr>
                <w:rFonts w:ascii="Times New Roman" w:hAnsi="Times New Roman" w:cs="Times New Roman"/>
                <w:b/>
                <w:bCs/>
              </w:rPr>
            </w:pPr>
            <w:r>
              <w:rPr>
                <w:rFonts w:ascii="Times New Roman" w:hAnsi="Times New Roman" w:cs="Times New Roman"/>
                <w:b/>
                <w:bCs/>
              </w:rPr>
              <w:tab/>
              <w:t>Item Number</w:t>
            </w:r>
          </w:p>
        </w:tc>
        <w:tc>
          <w:tcPr>
            <w:tcW w:w="3150" w:type="dxa"/>
            <w:tcBorders>
              <w:left w:val="single" w:sz="4" w:space="0" w:color="000000"/>
              <w:bottom w:val="double" w:sz="2" w:space="0" w:color="000000"/>
              <w:right w:val="single" w:sz="4" w:space="0" w:color="000000"/>
            </w:tcBorders>
          </w:tcPr>
          <w:p w14:paraId="3BCA4E22" w14:textId="77777777" w:rsidR="00692C63" w:rsidRDefault="00692C63" w:rsidP="00EA02C6">
            <w:pPr>
              <w:spacing w:line="120" w:lineRule="exact"/>
              <w:rPr>
                <w:rFonts w:ascii="Times New Roman" w:hAnsi="Times New Roman" w:cs="Times New Roman"/>
                <w:b/>
                <w:bCs/>
              </w:rPr>
            </w:pPr>
          </w:p>
          <w:p w14:paraId="5B243468"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rPr>
                <w:rFonts w:ascii="Times New Roman" w:hAnsi="Times New Roman" w:cs="Times New Roman"/>
                <w:b/>
                <w:bCs/>
              </w:rPr>
            </w:pPr>
            <w:r>
              <w:rPr>
                <w:rFonts w:ascii="Times New Roman" w:hAnsi="Times New Roman" w:cs="Times New Roman"/>
                <w:b/>
                <w:bCs/>
              </w:rPr>
              <w:t>Type of Audit</w:t>
            </w:r>
          </w:p>
        </w:tc>
        <w:tc>
          <w:tcPr>
            <w:tcW w:w="3240" w:type="dxa"/>
            <w:tcBorders>
              <w:left w:val="single" w:sz="4" w:space="0" w:color="000000"/>
              <w:bottom w:val="double" w:sz="2" w:space="0" w:color="000000"/>
            </w:tcBorders>
          </w:tcPr>
          <w:p w14:paraId="16FB739E" w14:textId="77777777" w:rsidR="00692C63" w:rsidRDefault="00692C63" w:rsidP="00EA02C6">
            <w:pPr>
              <w:spacing w:line="120" w:lineRule="exact"/>
              <w:rPr>
                <w:rFonts w:ascii="Times New Roman" w:hAnsi="Times New Roman" w:cs="Times New Roman"/>
                <w:b/>
                <w:bCs/>
              </w:rPr>
            </w:pPr>
          </w:p>
          <w:p w14:paraId="478F3536"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rPr>
                <w:rFonts w:ascii="Times New Roman" w:hAnsi="Times New Roman" w:cs="Times New Roman"/>
              </w:rPr>
            </w:pPr>
            <w:r>
              <w:rPr>
                <w:rFonts w:ascii="Times New Roman" w:hAnsi="Times New Roman" w:cs="Times New Roman"/>
                <w:b/>
                <w:bCs/>
              </w:rPr>
              <w:t>Type of Auditor</w:t>
            </w:r>
          </w:p>
        </w:tc>
      </w:tr>
      <w:tr w:rsidR="00692C63" w14:paraId="1AB3CE91" w14:textId="77777777">
        <w:tc>
          <w:tcPr>
            <w:tcW w:w="2250" w:type="dxa"/>
            <w:tcBorders>
              <w:right w:val="single" w:sz="6" w:space="0" w:color="000000"/>
            </w:tcBorders>
          </w:tcPr>
          <w:p w14:paraId="02C0DC4A" w14:textId="77777777" w:rsidR="00692C63" w:rsidRDefault="00692C63" w:rsidP="00EA02C6">
            <w:pPr>
              <w:spacing w:line="240" w:lineRule="exact"/>
              <w:rPr>
                <w:rFonts w:ascii="Times New Roman" w:hAnsi="Times New Roman" w:cs="Times New Roman"/>
              </w:rPr>
            </w:pPr>
          </w:p>
          <w:p w14:paraId="3BCFC711"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a.</w:t>
            </w:r>
          </w:p>
        </w:tc>
        <w:tc>
          <w:tcPr>
            <w:tcW w:w="3150" w:type="dxa"/>
            <w:tcBorders>
              <w:left w:val="single" w:sz="6" w:space="0" w:color="000000"/>
              <w:right w:val="single" w:sz="6" w:space="0" w:color="000000"/>
            </w:tcBorders>
          </w:tcPr>
          <w:p w14:paraId="2D14BC42" w14:textId="77777777" w:rsidR="00692C63" w:rsidRDefault="00692C63" w:rsidP="00EA02C6">
            <w:pPr>
              <w:spacing w:line="240" w:lineRule="exact"/>
              <w:rPr>
                <w:rFonts w:ascii="Times New Roman" w:hAnsi="Times New Roman" w:cs="Times New Roman"/>
              </w:rPr>
            </w:pPr>
          </w:p>
          <w:p w14:paraId="0F86FBBB"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Operational</w:t>
            </w:r>
          </w:p>
        </w:tc>
        <w:tc>
          <w:tcPr>
            <w:tcW w:w="3240" w:type="dxa"/>
            <w:tcBorders>
              <w:left w:val="single" w:sz="6" w:space="0" w:color="000000"/>
            </w:tcBorders>
          </w:tcPr>
          <w:p w14:paraId="487400E9" w14:textId="77777777" w:rsidR="00692C63" w:rsidRDefault="00692C63" w:rsidP="00EA02C6">
            <w:pPr>
              <w:spacing w:line="240" w:lineRule="exact"/>
              <w:rPr>
                <w:rFonts w:ascii="Times New Roman" w:hAnsi="Times New Roman" w:cs="Times New Roman"/>
              </w:rPr>
            </w:pPr>
          </w:p>
          <w:p w14:paraId="2553CB87"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w:t>
            </w:r>
          </w:p>
        </w:tc>
      </w:tr>
      <w:tr w:rsidR="00692C63" w14:paraId="6B485658" w14:textId="77777777">
        <w:tc>
          <w:tcPr>
            <w:tcW w:w="2250" w:type="dxa"/>
            <w:tcBorders>
              <w:right w:val="single" w:sz="6" w:space="0" w:color="000000"/>
            </w:tcBorders>
          </w:tcPr>
          <w:p w14:paraId="7F083FF4" w14:textId="77777777" w:rsidR="00692C63" w:rsidRDefault="00692C63" w:rsidP="00EA02C6">
            <w:pPr>
              <w:spacing w:line="240" w:lineRule="exact"/>
              <w:rPr>
                <w:rFonts w:ascii="Times New Roman" w:hAnsi="Times New Roman" w:cs="Times New Roman"/>
              </w:rPr>
            </w:pPr>
          </w:p>
          <w:p w14:paraId="7A8A6514"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b.</w:t>
            </w:r>
          </w:p>
        </w:tc>
        <w:tc>
          <w:tcPr>
            <w:tcW w:w="3150" w:type="dxa"/>
            <w:tcBorders>
              <w:left w:val="single" w:sz="6" w:space="0" w:color="000000"/>
              <w:right w:val="single" w:sz="6" w:space="0" w:color="000000"/>
            </w:tcBorders>
          </w:tcPr>
          <w:p w14:paraId="2A54B0C5" w14:textId="77777777" w:rsidR="00692C63" w:rsidRDefault="00692C63" w:rsidP="00EA02C6">
            <w:pPr>
              <w:spacing w:line="240" w:lineRule="exact"/>
              <w:rPr>
                <w:rFonts w:ascii="Times New Roman" w:hAnsi="Times New Roman" w:cs="Times New Roman"/>
              </w:rPr>
            </w:pPr>
          </w:p>
          <w:p w14:paraId="0E0E3CD4"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 xml:space="preserve">Financial statement </w:t>
            </w:r>
          </w:p>
        </w:tc>
        <w:tc>
          <w:tcPr>
            <w:tcW w:w="3240" w:type="dxa"/>
            <w:tcBorders>
              <w:left w:val="single" w:sz="6" w:space="0" w:color="000000"/>
            </w:tcBorders>
          </w:tcPr>
          <w:p w14:paraId="53403A86" w14:textId="77777777" w:rsidR="00692C63" w:rsidRDefault="00692C63" w:rsidP="00EA02C6">
            <w:pPr>
              <w:spacing w:line="240" w:lineRule="exact"/>
              <w:rPr>
                <w:rFonts w:ascii="Times New Roman" w:hAnsi="Times New Roman" w:cs="Times New Roman"/>
              </w:rPr>
            </w:pPr>
          </w:p>
          <w:p w14:paraId="621218A5"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External</w:t>
            </w:r>
          </w:p>
        </w:tc>
      </w:tr>
      <w:tr w:rsidR="00692C63" w14:paraId="02499DF5" w14:textId="77777777">
        <w:trPr>
          <w:trHeight w:val="396"/>
        </w:trPr>
        <w:tc>
          <w:tcPr>
            <w:tcW w:w="2250" w:type="dxa"/>
            <w:tcBorders>
              <w:right w:val="single" w:sz="6" w:space="0" w:color="000000"/>
            </w:tcBorders>
          </w:tcPr>
          <w:p w14:paraId="51255718" w14:textId="77777777" w:rsidR="00692C63" w:rsidRDefault="00692C63" w:rsidP="00EA02C6">
            <w:pPr>
              <w:spacing w:line="240" w:lineRule="exact"/>
              <w:rPr>
                <w:rFonts w:ascii="Times New Roman" w:hAnsi="Times New Roman" w:cs="Times New Roman"/>
              </w:rPr>
            </w:pPr>
          </w:p>
          <w:p w14:paraId="208B0791"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c.</w:t>
            </w:r>
          </w:p>
        </w:tc>
        <w:tc>
          <w:tcPr>
            <w:tcW w:w="3150" w:type="dxa"/>
            <w:tcBorders>
              <w:left w:val="single" w:sz="6" w:space="0" w:color="000000"/>
              <w:right w:val="single" w:sz="6" w:space="0" w:color="000000"/>
            </w:tcBorders>
          </w:tcPr>
          <w:p w14:paraId="10AE02F8" w14:textId="77777777" w:rsidR="00692C63" w:rsidRDefault="00692C63" w:rsidP="00EA02C6">
            <w:pPr>
              <w:spacing w:line="240" w:lineRule="exact"/>
              <w:rPr>
                <w:rFonts w:ascii="Times New Roman" w:hAnsi="Times New Roman" w:cs="Times New Roman"/>
              </w:rPr>
            </w:pPr>
          </w:p>
          <w:p w14:paraId="7EB4ADE5"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Compliance or operational or possibly internal control</w:t>
            </w:r>
          </w:p>
        </w:tc>
        <w:tc>
          <w:tcPr>
            <w:tcW w:w="3240" w:type="dxa"/>
            <w:tcBorders>
              <w:left w:val="single" w:sz="6" w:space="0" w:color="000000"/>
            </w:tcBorders>
          </w:tcPr>
          <w:p w14:paraId="7480272B" w14:textId="77777777" w:rsidR="00692C63" w:rsidRDefault="00692C63" w:rsidP="00EA02C6">
            <w:pPr>
              <w:spacing w:line="240" w:lineRule="exact"/>
              <w:rPr>
                <w:rFonts w:ascii="Times New Roman" w:hAnsi="Times New Roman" w:cs="Times New Roman"/>
              </w:rPr>
            </w:pPr>
          </w:p>
          <w:p w14:paraId="736B9BEC"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Internal or external</w:t>
            </w:r>
          </w:p>
        </w:tc>
      </w:tr>
      <w:tr w:rsidR="00692C63" w14:paraId="12259557" w14:textId="77777777">
        <w:trPr>
          <w:trHeight w:val="396"/>
        </w:trPr>
        <w:tc>
          <w:tcPr>
            <w:tcW w:w="2250" w:type="dxa"/>
            <w:tcBorders>
              <w:right w:val="single" w:sz="6" w:space="0" w:color="000000"/>
            </w:tcBorders>
          </w:tcPr>
          <w:p w14:paraId="5D3D5ECC"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before="160" w:after="58" w:line="240" w:lineRule="exact"/>
              <w:jc w:val="center"/>
              <w:rPr>
                <w:rFonts w:ascii="Times New Roman" w:hAnsi="Times New Roman" w:cs="Times New Roman"/>
              </w:rPr>
            </w:pPr>
            <w:r>
              <w:rPr>
                <w:rFonts w:ascii="Times New Roman" w:hAnsi="Times New Roman" w:cs="Times New Roman"/>
              </w:rPr>
              <w:t>d.</w:t>
            </w:r>
          </w:p>
        </w:tc>
        <w:tc>
          <w:tcPr>
            <w:tcW w:w="3150" w:type="dxa"/>
            <w:tcBorders>
              <w:left w:val="single" w:sz="6" w:space="0" w:color="000000"/>
              <w:right w:val="single" w:sz="6" w:space="0" w:color="000000"/>
            </w:tcBorders>
          </w:tcPr>
          <w:p w14:paraId="166AAB0E"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before="160" w:after="58" w:line="240" w:lineRule="exact"/>
              <w:rPr>
                <w:rFonts w:ascii="Times New Roman" w:hAnsi="Times New Roman" w:cs="Times New Roman"/>
              </w:rPr>
            </w:pPr>
            <w:r>
              <w:rPr>
                <w:rFonts w:ascii="Times New Roman" w:hAnsi="Times New Roman" w:cs="Times New Roman"/>
              </w:rPr>
              <w:t>Forensic</w:t>
            </w:r>
            <w:r w:rsidR="001C37CC">
              <w:rPr>
                <w:rFonts w:ascii="Times New Roman" w:hAnsi="Times New Roman" w:cs="Times New Roman"/>
              </w:rPr>
              <w:t>/Financial</w:t>
            </w:r>
          </w:p>
        </w:tc>
        <w:tc>
          <w:tcPr>
            <w:tcW w:w="3240" w:type="dxa"/>
            <w:tcBorders>
              <w:left w:val="single" w:sz="6" w:space="0" w:color="000000"/>
            </w:tcBorders>
          </w:tcPr>
          <w:p w14:paraId="1530F4A2"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before="160" w:after="58" w:line="240" w:lineRule="exact"/>
              <w:rPr>
                <w:rFonts w:ascii="Times New Roman" w:hAnsi="Times New Roman" w:cs="Times New Roman"/>
              </w:rPr>
            </w:pPr>
            <w:r>
              <w:rPr>
                <w:rFonts w:ascii="Times New Roman" w:hAnsi="Times New Roman" w:cs="Times New Roman"/>
              </w:rPr>
              <w:t>Internal, external, or forensic</w:t>
            </w:r>
          </w:p>
        </w:tc>
      </w:tr>
      <w:tr w:rsidR="00692C63" w14:paraId="4FCF716A" w14:textId="77777777">
        <w:tc>
          <w:tcPr>
            <w:tcW w:w="2250" w:type="dxa"/>
            <w:tcBorders>
              <w:right w:val="single" w:sz="6" w:space="0" w:color="000000"/>
            </w:tcBorders>
          </w:tcPr>
          <w:p w14:paraId="46DEDDB5" w14:textId="77777777" w:rsidR="00692C63" w:rsidRDefault="00692C63" w:rsidP="00EA02C6">
            <w:pPr>
              <w:spacing w:line="240" w:lineRule="exact"/>
              <w:rPr>
                <w:rFonts w:ascii="Times New Roman" w:hAnsi="Times New Roman" w:cs="Times New Roman"/>
              </w:rPr>
            </w:pPr>
            <w:r>
              <w:br w:type="page"/>
            </w:r>
          </w:p>
          <w:p w14:paraId="6EEC3DF2"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e.</w:t>
            </w:r>
          </w:p>
        </w:tc>
        <w:tc>
          <w:tcPr>
            <w:tcW w:w="3150" w:type="dxa"/>
            <w:tcBorders>
              <w:left w:val="single" w:sz="6" w:space="0" w:color="000000"/>
              <w:right w:val="single" w:sz="6" w:space="0" w:color="000000"/>
            </w:tcBorders>
          </w:tcPr>
          <w:p w14:paraId="78115AE8" w14:textId="77777777" w:rsidR="00692C63" w:rsidRDefault="00692C63" w:rsidP="00EA02C6">
            <w:pPr>
              <w:spacing w:line="240" w:lineRule="exact"/>
              <w:rPr>
                <w:rFonts w:ascii="Times New Roman" w:hAnsi="Times New Roman" w:cs="Times New Roman"/>
              </w:rPr>
            </w:pPr>
          </w:p>
          <w:p w14:paraId="4CD968FF"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Operational</w:t>
            </w:r>
          </w:p>
        </w:tc>
        <w:tc>
          <w:tcPr>
            <w:tcW w:w="3240" w:type="dxa"/>
            <w:tcBorders>
              <w:left w:val="single" w:sz="6" w:space="0" w:color="000000"/>
            </w:tcBorders>
          </w:tcPr>
          <w:p w14:paraId="4B9DDC12" w14:textId="77777777" w:rsidR="00692C63" w:rsidRDefault="00692C63" w:rsidP="00EA02C6">
            <w:pPr>
              <w:spacing w:line="240" w:lineRule="exact"/>
              <w:rPr>
                <w:rFonts w:ascii="Times New Roman" w:hAnsi="Times New Roman" w:cs="Times New Roman"/>
              </w:rPr>
            </w:pPr>
          </w:p>
          <w:p w14:paraId="02108BCA"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 external, or internal</w:t>
            </w:r>
          </w:p>
        </w:tc>
      </w:tr>
      <w:tr w:rsidR="00692C63" w14:paraId="31500B58" w14:textId="77777777">
        <w:tc>
          <w:tcPr>
            <w:tcW w:w="2250" w:type="dxa"/>
            <w:tcBorders>
              <w:right w:val="single" w:sz="6" w:space="0" w:color="000000"/>
            </w:tcBorders>
          </w:tcPr>
          <w:p w14:paraId="643ECFB7" w14:textId="77777777" w:rsidR="00692C63" w:rsidRDefault="00692C63" w:rsidP="00EA02C6">
            <w:pPr>
              <w:spacing w:line="240" w:lineRule="exact"/>
              <w:rPr>
                <w:rFonts w:ascii="Times New Roman" w:hAnsi="Times New Roman" w:cs="Times New Roman"/>
              </w:rPr>
            </w:pPr>
          </w:p>
          <w:p w14:paraId="58B39903"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f.</w:t>
            </w:r>
          </w:p>
        </w:tc>
        <w:tc>
          <w:tcPr>
            <w:tcW w:w="3150" w:type="dxa"/>
            <w:tcBorders>
              <w:left w:val="single" w:sz="6" w:space="0" w:color="000000"/>
              <w:right w:val="single" w:sz="6" w:space="0" w:color="000000"/>
            </w:tcBorders>
          </w:tcPr>
          <w:p w14:paraId="7D01F9C1" w14:textId="77777777" w:rsidR="00692C63" w:rsidRDefault="00692C63" w:rsidP="00EA02C6">
            <w:pPr>
              <w:spacing w:line="240" w:lineRule="exact"/>
              <w:rPr>
                <w:rFonts w:ascii="Times New Roman" w:hAnsi="Times New Roman" w:cs="Times New Roman"/>
              </w:rPr>
            </w:pPr>
          </w:p>
          <w:p w14:paraId="4FD75002"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Operational</w:t>
            </w:r>
          </w:p>
        </w:tc>
        <w:tc>
          <w:tcPr>
            <w:tcW w:w="3240" w:type="dxa"/>
            <w:tcBorders>
              <w:left w:val="single" w:sz="6" w:space="0" w:color="000000"/>
            </w:tcBorders>
          </w:tcPr>
          <w:p w14:paraId="12252FFA" w14:textId="77777777" w:rsidR="00692C63" w:rsidRDefault="00692C63" w:rsidP="00EA02C6">
            <w:pPr>
              <w:spacing w:line="240" w:lineRule="exact"/>
              <w:rPr>
                <w:rFonts w:ascii="Times New Roman" w:hAnsi="Times New Roman" w:cs="Times New Roman"/>
              </w:rPr>
            </w:pPr>
          </w:p>
          <w:p w14:paraId="37AE35BB"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Internal or external</w:t>
            </w:r>
          </w:p>
        </w:tc>
      </w:tr>
      <w:tr w:rsidR="00692C63" w14:paraId="608F3FF0" w14:textId="77777777">
        <w:tc>
          <w:tcPr>
            <w:tcW w:w="2250" w:type="dxa"/>
            <w:tcBorders>
              <w:right w:val="single" w:sz="6" w:space="0" w:color="000000"/>
            </w:tcBorders>
          </w:tcPr>
          <w:p w14:paraId="66D00296" w14:textId="77777777" w:rsidR="00692C63" w:rsidRDefault="00692C63" w:rsidP="00EA02C6">
            <w:pPr>
              <w:spacing w:line="240" w:lineRule="exact"/>
              <w:rPr>
                <w:rFonts w:ascii="Times New Roman" w:hAnsi="Times New Roman" w:cs="Times New Roman"/>
              </w:rPr>
            </w:pPr>
          </w:p>
          <w:p w14:paraId="5500299B"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g.</w:t>
            </w:r>
          </w:p>
        </w:tc>
        <w:tc>
          <w:tcPr>
            <w:tcW w:w="3150" w:type="dxa"/>
            <w:tcBorders>
              <w:left w:val="single" w:sz="6" w:space="0" w:color="000000"/>
              <w:right w:val="single" w:sz="6" w:space="0" w:color="000000"/>
            </w:tcBorders>
          </w:tcPr>
          <w:p w14:paraId="0248F57B" w14:textId="77777777" w:rsidR="00692C63" w:rsidRDefault="00692C63" w:rsidP="00EA02C6">
            <w:pPr>
              <w:spacing w:line="240" w:lineRule="exact"/>
              <w:rPr>
                <w:rFonts w:ascii="Times New Roman" w:hAnsi="Times New Roman" w:cs="Times New Roman"/>
              </w:rPr>
            </w:pPr>
          </w:p>
          <w:p w14:paraId="43FE1ED0"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Compliance</w:t>
            </w:r>
          </w:p>
        </w:tc>
        <w:tc>
          <w:tcPr>
            <w:tcW w:w="3240" w:type="dxa"/>
            <w:tcBorders>
              <w:left w:val="single" w:sz="6" w:space="0" w:color="000000"/>
            </w:tcBorders>
          </w:tcPr>
          <w:p w14:paraId="06F0F513" w14:textId="77777777" w:rsidR="00692C63" w:rsidRDefault="00692C63" w:rsidP="00EA02C6">
            <w:pPr>
              <w:spacing w:line="240" w:lineRule="exact"/>
              <w:rPr>
                <w:rFonts w:ascii="Times New Roman" w:hAnsi="Times New Roman" w:cs="Times New Roman"/>
              </w:rPr>
            </w:pPr>
          </w:p>
          <w:p w14:paraId="64F68668"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w:t>
            </w:r>
          </w:p>
        </w:tc>
      </w:tr>
      <w:tr w:rsidR="00692C63" w14:paraId="06FDE29A" w14:textId="77777777">
        <w:tc>
          <w:tcPr>
            <w:tcW w:w="2250" w:type="dxa"/>
            <w:tcBorders>
              <w:right w:val="single" w:sz="6" w:space="0" w:color="000000"/>
            </w:tcBorders>
          </w:tcPr>
          <w:p w14:paraId="7294B333" w14:textId="77777777" w:rsidR="00692C63" w:rsidRDefault="00692C63" w:rsidP="00EA02C6">
            <w:pPr>
              <w:spacing w:line="240" w:lineRule="exact"/>
              <w:rPr>
                <w:rFonts w:ascii="Times New Roman" w:hAnsi="Times New Roman" w:cs="Times New Roman"/>
              </w:rPr>
            </w:pPr>
          </w:p>
          <w:p w14:paraId="4DABA3A3"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jc w:val="center"/>
              <w:rPr>
                <w:rFonts w:ascii="Times New Roman" w:hAnsi="Times New Roman" w:cs="Times New Roman"/>
              </w:rPr>
            </w:pPr>
            <w:r>
              <w:rPr>
                <w:rFonts w:ascii="Times New Roman" w:hAnsi="Times New Roman" w:cs="Times New Roman"/>
              </w:rPr>
              <w:t>h.</w:t>
            </w:r>
          </w:p>
        </w:tc>
        <w:tc>
          <w:tcPr>
            <w:tcW w:w="3150" w:type="dxa"/>
            <w:tcBorders>
              <w:left w:val="single" w:sz="6" w:space="0" w:color="000000"/>
              <w:right w:val="single" w:sz="6" w:space="0" w:color="000000"/>
            </w:tcBorders>
          </w:tcPr>
          <w:p w14:paraId="4CB184A6" w14:textId="77777777" w:rsidR="00692C63" w:rsidRDefault="00692C63" w:rsidP="00EA02C6">
            <w:pPr>
              <w:spacing w:line="240" w:lineRule="exact"/>
              <w:rPr>
                <w:rFonts w:ascii="Times New Roman" w:hAnsi="Times New Roman" w:cs="Times New Roman"/>
              </w:rPr>
            </w:pPr>
          </w:p>
          <w:p w14:paraId="513AA560"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Compliance or forensic</w:t>
            </w:r>
          </w:p>
        </w:tc>
        <w:tc>
          <w:tcPr>
            <w:tcW w:w="3240" w:type="dxa"/>
            <w:tcBorders>
              <w:left w:val="single" w:sz="6" w:space="0" w:color="000000"/>
            </w:tcBorders>
          </w:tcPr>
          <w:p w14:paraId="51E7423E" w14:textId="77777777" w:rsidR="00692C63" w:rsidRDefault="00692C63" w:rsidP="00EA02C6">
            <w:pPr>
              <w:spacing w:line="240" w:lineRule="exact"/>
              <w:rPr>
                <w:rFonts w:ascii="Times New Roman" w:hAnsi="Times New Roman" w:cs="Times New Roman"/>
              </w:rPr>
            </w:pPr>
          </w:p>
          <w:p w14:paraId="2FE533B8" w14:textId="77777777" w:rsidR="00692C63" w:rsidRDefault="00692C63" w:rsidP="00EA02C6">
            <w:pPr>
              <w:tabs>
                <w:tab w:val="left" w:pos="-1152"/>
                <w:tab w:val="left" w:pos="-720"/>
                <w:tab w:val="left" w:pos="0"/>
                <w:tab w:val="left" w:pos="540"/>
                <w:tab w:val="left" w:pos="720"/>
                <w:tab w:val="left" w:pos="900"/>
                <w:tab w:val="left" w:pos="1080"/>
                <w:tab w:val="left" w:pos="1350"/>
                <w:tab w:val="left" w:pos="3600"/>
                <w:tab w:val="left" w:pos="4230"/>
                <w:tab w:val="left" w:pos="5040"/>
              </w:tabs>
              <w:spacing w:after="58" w:line="240" w:lineRule="exact"/>
              <w:rPr>
                <w:rFonts w:ascii="Times New Roman" w:hAnsi="Times New Roman" w:cs="Times New Roman"/>
              </w:rPr>
            </w:pPr>
            <w:r>
              <w:rPr>
                <w:rFonts w:ascii="Times New Roman" w:hAnsi="Times New Roman" w:cs="Times New Roman"/>
              </w:rPr>
              <w:t>Government, external, or forensic</w:t>
            </w:r>
          </w:p>
        </w:tc>
      </w:tr>
    </w:tbl>
    <w:p w14:paraId="54EAEFBB" w14:textId="77777777" w:rsidR="00692C63" w:rsidRDefault="00692C63">
      <w:pPr>
        <w:tabs>
          <w:tab w:val="left" w:pos="-1152"/>
          <w:tab w:val="left" w:pos="-720"/>
          <w:tab w:val="left" w:pos="-90"/>
          <w:tab w:val="left" w:pos="720"/>
          <w:tab w:val="left" w:pos="1440"/>
          <w:tab w:val="left" w:pos="2160"/>
          <w:tab w:val="left" w:pos="2880"/>
          <w:tab w:val="left" w:pos="3600"/>
          <w:tab w:val="left" w:pos="4230"/>
          <w:tab w:val="left" w:pos="5040"/>
        </w:tabs>
        <w:jc w:val="both"/>
        <w:rPr>
          <w:rFonts w:ascii="Times New Roman" w:hAnsi="Times New Roman" w:cs="Times New Roman"/>
          <w:sz w:val="28"/>
          <w:szCs w:val="28"/>
        </w:rPr>
      </w:pPr>
    </w:p>
    <w:p w14:paraId="53FBC534" w14:textId="77777777" w:rsidR="00692C63" w:rsidRDefault="00692C63">
      <w:pPr>
        <w:tabs>
          <w:tab w:val="left" w:pos="-1152"/>
          <w:tab w:val="left" w:pos="-720"/>
          <w:tab w:val="left" w:pos="-90"/>
          <w:tab w:val="left" w:pos="720"/>
          <w:tab w:val="left" w:pos="900"/>
          <w:tab w:val="left" w:pos="1080"/>
          <w:tab w:val="left" w:pos="1350"/>
          <w:tab w:val="left" w:pos="3600"/>
          <w:tab w:val="left" w:pos="4230"/>
          <w:tab w:val="left" w:pos="5040"/>
        </w:tabs>
        <w:jc w:val="both"/>
        <w:rPr>
          <w:rFonts w:ascii="Times New Roman" w:hAnsi="Times New Roman" w:cs="Times New Roman"/>
        </w:rPr>
      </w:pPr>
      <w:r>
        <w:rPr>
          <w:rFonts w:ascii="Times New Roman" w:hAnsi="Times New Roman" w:cs="Times New Roman"/>
          <w:b/>
          <w:bCs/>
        </w:rPr>
        <w:t>2-25</w:t>
      </w:r>
      <w:r>
        <w:rPr>
          <w:rFonts w:ascii="Times New Roman" w:hAnsi="Times New Roman" w:cs="Times New Roman"/>
        </w:rPr>
        <w:tab/>
        <w:t>a.</w:t>
      </w:r>
    </w:p>
    <w:tbl>
      <w:tblPr>
        <w:tblW w:w="0" w:type="auto"/>
        <w:tblInd w:w="-151" w:type="dxa"/>
        <w:tblLayout w:type="fixed"/>
        <w:tblCellMar>
          <w:left w:w="153" w:type="dxa"/>
          <w:right w:w="153" w:type="dxa"/>
        </w:tblCellMar>
        <w:tblLook w:val="0000" w:firstRow="0" w:lastRow="0" w:firstColumn="0" w:lastColumn="0" w:noHBand="0" w:noVBand="0"/>
      </w:tblPr>
      <w:tblGrid>
        <w:gridCol w:w="4320"/>
        <w:gridCol w:w="4230"/>
        <w:gridCol w:w="90"/>
      </w:tblGrid>
      <w:tr w:rsidR="00692C63" w14:paraId="3DC8932F" w14:textId="77777777">
        <w:trPr>
          <w:gridAfter w:val="1"/>
          <w:wAfter w:w="90" w:type="dxa"/>
        </w:trPr>
        <w:tc>
          <w:tcPr>
            <w:tcW w:w="4320" w:type="dxa"/>
            <w:tcBorders>
              <w:bottom w:val="double" w:sz="2" w:space="0" w:color="000000"/>
              <w:right w:val="single" w:sz="4" w:space="0" w:color="000000"/>
            </w:tcBorders>
          </w:tcPr>
          <w:p w14:paraId="7CC947C9" w14:textId="77777777" w:rsidR="00692C63" w:rsidRDefault="00692C63">
            <w:pPr>
              <w:tabs>
                <w:tab w:val="left" w:pos="-90"/>
              </w:tabs>
              <w:spacing w:line="201" w:lineRule="exact"/>
              <w:rPr>
                <w:rFonts w:ascii="Times New Roman" w:hAnsi="Times New Roman" w:cs="Times New Roman"/>
              </w:rPr>
            </w:pPr>
          </w:p>
          <w:p w14:paraId="50D3D970" w14:textId="77777777" w:rsidR="00692C63" w:rsidRDefault="00692C63">
            <w:pPr>
              <w:tabs>
                <w:tab w:val="left" w:pos="-1152"/>
                <w:tab w:val="left" w:pos="-720"/>
                <w:tab w:val="left" w:pos="-90"/>
                <w:tab w:val="left" w:pos="540"/>
                <w:tab w:val="left" w:pos="720"/>
                <w:tab w:val="left" w:pos="900"/>
                <w:tab w:val="left" w:pos="1080"/>
                <w:tab w:val="left" w:pos="1350"/>
                <w:tab w:val="left" w:pos="3600"/>
                <w:tab w:val="left" w:pos="4230"/>
                <w:tab w:val="left" w:pos="5040"/>
              </w:tabs>
              <w:spacing w:after="58"/>
              <w:jc w:val="center"/>
              <w:rPr>
                <w:rFonts w:ascii="Times New Roman" w:hAnsi="Times New Roman" w:cs="Times New Roman"/>
              </w:rPr>
            </w:pPr>
            <w:r>
              <w:rPr>
                <w:rFonts w:ascii="Times New Roman" w:hAnsi="Times New Roman" w:cs="Times New Roman"/>
                <w:b/>
                <w:bCs/>
              </w:rPr>
              <w:t>Brief Description of Generally Accepted Auditing Standards</w:t>
            </w:r>
          </w:p>
        </w:tc>
        <w:tc>
          <w:tcPr>
            <w:tcW w:w="4230" w:type="dxa"/>
            <w:tcBorders>
              <w:left w:val="single" w:sz="4" w:space="0" w:color="000000"/>
              <w:bottom w:val="double" w:sz="2" w:space="0" w:color="000000"/>
            </w:tcBorders>
          </w:tcPr>
          <w:p w14:paraId="6A497B6C" w14:textId="77777777" w:rsidR="00692C63" w:rsidRDefault="00692C63">
            <w:pPr>
              <w:tabs>
                <w:tab w:val="left" w:pos="-90"/>
              </w:tabs>
              <w:spacing w:line="201" w:lineRule="exact"/>
              <w:rPr>
                <w:rFonts w:ascii="Times New Roman" w:hAnsi="Times New Roman" w:cs="Times New Roman"/>
              </w:rPr>
            </w:pPr>
          </w:p>
          <w:p w14:paraId="2010C0FE" w14:textId="77777777" w:rsidR="00692C63" w:rsidRDefault="00692C63">
            <w:pPr>
              <w:tabs>
                <w:tab w:val="left" w:pos="-1152"/>
                <w:tab w:val="left" w:pos="-720"/>
                <w:tab w:val="left" w:pos="-90"/>
                <w:tab w:val="left" w:pos="540"/>
                <w:tab w:val="left" w:pos="720"/>
                <w:tab w:val="left" w:pos="900"/>
                <w:tab w:val="left" w:pos="1080"/>
                <w:tab w:val="left" w:pos="1350"/>
                <w:tab w:val="left" w:pos="3600"/>
                <w:tab w:val="left" w:pos="4230"/>
                <w:tab w:val="left" w:pos="5040"/>
              </w:tabs>
              <w:spacing w:after="58"/>
              <w:jc w:val="center"/>
              <w:rPr>
                <w:rFonts w:ascii="Times New Roman" w:hAnsi="Times New Roman" w:cs="Times New Roman"/>
              </w:rPr>
            </w:pPr>
            <w:r>
              <w:rPr>
                <w:rFonts w:ascii="Times New Roman" w:hAnsi="Times New Roman" w:cs="Times New Roman"/>
                <w:b/>
                <w:bCs/>
              </w:rPr>
              <w:t>Sally Jones' Actions Resulting in Failure to Comply with Generally Accepted Auditing Standards</w:t>
            </w:r>
          </w:p>
        </w:tc>
      </w:tr>
      <w:tr w:rsidR="00692C63" w14:paraId="5D494E20" w14:textId="77777777">
        <w:trPr>
          <w:gridAfter w:val="1"/>
          <w:wAfter w:w="90" w:type="dxa"/>
        </w:trPr>
        <w:tc>
          <w:tcPr>
            <w:tcW w:w="4320" w:type="dxa"/>
            <w:tcBorders>
              <w:bottom w:val="single" w:sz="6" w:space="0" w:color="FFFFFF"/>
              <w:right w:val="single" w:sz="6" w:space="0" w:color="FFFFFF"/>
            </w:tcBorders>
          </w:tcPr>
          <w:p w14:paraId="52C353C8" w14:textId="77777777" w:rsidR="00692C63" w:rsidRDefault="00692C63">
            <w:pPr>
              <w:tabs>
                <w:tab w:val="left" w:pos="-90"/>
              </w:tabs>
              <w:spacing w:line="163" w:lineRule="exact"/>
              <w:jc w:val="both"/>
              <w:rPr>
                <w:rFonts w:ascii="Times New Roman" w:hAnsi="Times New Roman" w:cs="Times New Roman"/>
              </w:rPr>
            </w:pPr>
          </w:p>
          <w:p w14:paraId="2A71F41A" w14:textId="77777777" w:rsidR="00692C63" w:rsidRDefault="00692C63">
            <w:pPr>
              <w:tabs>
                <w:tab w:val="left" w:pos="-1152"/>
                <w:tab w:val="left" w:pos="-720"/>
                <w:tab w:val="left" w:pos="-90"/>
                <w:tab w:val="left" w:pos="540"/>
                <w:tab w:val="left" w:pos="720"/>
                <w:tab w:val="left" w:pos="900"/>
                <w:tab w:val="left" w:pos="1080"/>
                <w:tab w:val="left" w:pos="1350"/>
                <w:tab w:val="left" w:pos="3600"/>
                <w:tab w:val="left" w:pos="4230"/>
                <w:tab w:val="left" w:pos="5040"/>
              </w:tabs>
              <w:jc w:val="both"/>
              <w:rPr>
                <w:rFonts w:ascii="Times New Roman" w:hAnsi="Times New Roman" w:cs="Times New Roman"/>
              </w:rPr>
            </w:pPr>
            <w:r>
              <w:rPr>
                <w:rFonts w:ascii="Times New Roman" w:hAnsi="Times New Roman" w:cs="Times New Roman"/>
                <w:b/>
                <w:bCs/>
                <w:u w:val="single"/>
              </w:rPr>
              <w:t>General Standards</w:t>
            </w:r>
            <w:r>
              <w:rPr>
                <w:rFonts w:ascii="Times New Roman" w:hAnsi="Times New Roman" w:cs="Times New Roman"/>
                <w:b/>
                <w:bCs/>
              </w:rPr>
              <w:t>:</w:t>
            </w:r>
          </w:p>
          <w:p w14:paraId="70AE581E" w14:textId="77777777" w:rsidR="00692C63" w:rsidRDefault="00692C63">
            <w:pPr>
              <w:tabs>
                <w:tab w:val="left" w:pos="-1152"/>
                <w:tab w:val="left" w:pos="-720"/>
                <w:tab w:val="left" w:pos="-90"/>
                <w:tab w:val="left" w:pos="540"/>
                <w:tab w:val="left" w:pos="720"/>
                <w:tab w:val="left" w:pos="900"/>
                <w:tab w:val="left" w:pos="1080"/>
                <w:tab w:val="left" w:pos="1350"/>
                <w:tab w:val="left" w:pos="3600"/>
                <w:tab w:val="left" w:pos="4230"/>
                <w:tab w:val="left" w:pos="5040"/>
              </w:tabs>
              <w:jc w:val="both"/>
              <w:rPr>
                <w:rFonts w:ascii="Times New Roman" w:hAnsi="Times New Roman" w:cs="Times New Roman"/>
              </w:rPr>
            </w:pPr>
          </w:p>
          <w:p w14:paraId="6B776C75" w14:textId="77777777" w:rsidR="00692C63" w:rsidRDefault="00692C63">
            <w:pPr>
              <w:widowControl/>
              <w:numPr>
                <w:ilvl w:val="0"/>
                <w:numId w:val="15"/>
              </w:numPr>
              <w:tabs>
                <w:tab w:val="clear" w:pos="1440"/>
              </w:tabs>
              <w:spacing w:after="120"/>
              <w:ind w:left="387" w:hanging="360"/>
              <w:jc w:val="both"/>
              <w:rPr>
                <w:rFonts w:ascii="Times New Roman" w:hAnsi="Times New Roman" w:cs="Times New Roman"/>
              </w:rPr>
            </w:pPr>
            <w:r>
              <w:rPr>
                <w:rFonts w:ascii="Times New Roman" w:hAnsi="Times New Roman" w:cs="Times New Roman"/>
              </w:rPr>
              <w:t xml:space="preserve">The </w:t>
            </w:r>
            <w:r w:rsidRPr="00330FC3">
              <w:rPr>
                <w:rFonts w:ascii="Times New Roman" w:hAnsi="Times New Roman" w:cs="Times New Roman"/>
              </w:rPr>
              <w:t>auditor must have adequate technical training and proficiency to perform the audit.</w:t>
            </w:r>
          </w:p>
          <w:p w14:paraId="5F88C48E" w14:textId="77777777" w:rsidR="00692C63" w:rsidRDefault="00692C63">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87" w:hanging="387"/>
              <w:jc w:val="both"/>
              <w:rPr>
                <w:rFonts w:ascii="Times New Roman" w:hAnsi="Times New Roman" w:cs="Times New Roman"/>
              </w:rPr>
            </w:pPr>
          </w:p>
        </w:tc>
        <w:tc>
          <w:tcPr>
            <w:tcW w:w="4230" w:type="dxa"/>
            <w:tcBorders>
              <w:left w:val="single" w:sz="6" w:space="0" w:color="000000"/>
              <w:bottom w:val="single" w:sz="6" w:space="0" w:color="FFFFFF"/>
            </w:tcBorders>
          </w:tcPr>
          <w:p w14:paraId="1CE965C3" w14:textId="77777777" w:rsidR="00692C63" w:rsidRDefault="00692C63">
            <w:pPr>
              <w:tabs>
                <w:tab w:val="left" w:pos="-90"/>
              </w:tabs>
              <w:spacing w:line="163" w:lineRule="exact"/>
              <w:jc w:val="both"/>
              <w:rPr>
                <w:rFonts w:ascii="Times New Roman" w:hAnsi="Times New Roman" w:cs="Times New Roman"/>
              </w:rPr>
            </w:pPr>
          </w:p>
          <w:p w14:paraId="40F1AC14" w14:textId="77777777" w:rsidR="00692C63" w:rsidRDefault="00692C63">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126344A0" w14:textId="77777777" w:rsidR="00692C63" w:rsidRDefault="00692C63">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054C5AF0" w14:textId="77777777" w:rsidR="00692C63" w:rsidRDefault="00692C63">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It was inappropriate for Jones to hire the two students to conduct the audit. The examination must be conducted by persons with proper education and experience in the field of auditing. Although a junior </w:t>
            </w:r>
            <w:r>
              <w:rPr>
                <w:rFonts w:ascii="Times New Roman" w:hAnsi="Times New Roman" w:cs="Times New Roman"/>
              </w:rPr>
              <w:lastRenderedPageBreak/>
              <w:t>assistant has not completed his formal education, he may help in the conduct of the examination as long as there is proper supervision and review.</w:t>
            </w:r>
          </w:p>
        </w:tc>
      </w:tr>
      <w:tr w:rsidR="00692C63" w14:paraId="6260E289" w14:textId="77777777">
        <w:trPr>
          <w:gridAfter w:val="1"/>
          <w:wAfter w:w="90" w:type="dxa"/>
        </w:trPr>
        <w:tc>
          <w:tcPr>
            <w:tcW w:w="4320" w:type="dxa"/>
            <w:tcBorders>
              <w:top w:val="single" w:sz="6" w:space="0" w:color="000000"/>
              <w:bottom w:val="single" w:sz="4" w:space="0" w:color="auto"/>
              <w:right w:val="single" w:sz="6" w:space="0" w:color="FFFFFF"/>
            </w:tcBorders>
          </w:tcPr>
          <w:p w14:paraId="60471084" w14:textId="77777777" w:rsidR="00692C63" w:rsidRDefault="00692C63">
            <w:pPr>
              <w:tabs>
                <w:tab w:val="left" w:pos="-90"/>
              </w:tabs>
              <w:spacing w:line="163" w:lineRule="exact"/>
              <w:jc w:val="both"/>
              <w:rPr>
                <w:rFonts w:ascii="Times New Roman" w:hAnsi="Times New Roman" w:cs="Times New Roman"/>
              </w:rPr>
            </w:pPr>
          </w:p>
          <w:p w14:paraId="21519190" w14:textId="77777777" w:rsidR="00692C63" w:rsidRDefault="00692C63" w:rsidP="00330FC3">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87" w:hanging="387"/>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The auditor must maintain independence in mental attitude in all matters relating to the audit.</w:t>
            </w:r>
          </w:p>
        </w:tc>
        <w:tc>
          <w:tcPr>
            <w:tcW w:w="4230" w:type="dxa"/>
            <w:tcBorders>
              <w:top w:val="single" w:sz="6" w:space="0" w:color="000000"/>
              <w:left w:val="single" w:sz="6" w:space="0" w:color="000000"/>
              <w:bottom w:val="single" w:sz="4" w:space="0" w:color="auto"/>
            </w:tcBorders>
          </w:tcPr>
          <w:p w14:paraId="514A1395" w14:textId="77777777" w:rsidR="00692C63" w:rsidRDefault="00692C63">
            <w:pPr>
              <w:tabs>
                <w:tab w:val="left" w:pos="-90"/>
              </w:tabs>
              <w:spacing w:line="163" w:lineRule="exact"/>
              <w:jc w:val="both"/>
              <w:rPr>
                <w:rFonts w:ascii="Times New Roman" w:hAnsi="Times New Roman" w:cs="Times New Roman"/>
              </w:rPr>
            </w:pPr>
          </w:p>
          <w:p w14:paraId="21DE25E7" w14:textId="77777777" w:rsidR="00692C63" w:rsidRDefault="00692C63">
            <w:pPr>
              <w:tabs>
                <w:tab w:val="left" w:pos="-1839"/>
                <w:tab w:val="left" w:pos="-1407"/>
                <w:tab w:val="left" w:pos="-687"/>
                <w:tab w:val="left" w:pos="-147"/>
                <w:tab w:val="left" w:pos="-90"/>
                <w:tab w:val="left" w:pos="387"/>
                <w:tab w:val="left" w:pos="662"/>
                <w:tab w:val="left" w:pos="2912"/>
                <w:tab w:val="left" w:pos="3542"/>
                <w:tab w:val="left" w:pos="4352"/>
                <w:tab w:val="left" w:pos="4592"/>
                <w:tab w:val="left" w:pos="5072"/>
                <w:tab w:val="left" w:pos="5792"/>
                <w:tab w:val="left" w:pos="6512"/>
                <w:tab w:val="left" w:pos="7232"/>
                <w:tab w:val="left" w:pos="7952"/>
                <w:tab w:val="left" w:pos="8672"/>
              </w:tabs>
              <w:ind w:left="387" w:hanging="387"/>
              <w:jc w:val="both"/>
              <w:outlineLvl w:val="0"/>
              <w:rPr>
                <w:rFonts w:ascii="Times New Roman" w:hAnsi="Times New Roman" w:cs="Times New Roman"/>
              </w:rPr>
            </w:pPr>
            <w:r>
              <w:rPr>
                <w:rFonts w:ascii="Times New Roman" w:hAnsi="Times New Roman" w:cs="Times New Roman"/>
              </w:rPr>
              <w:t>2.</w:t>
            </w:r>
            <w:r>
              <w:rPr>
                <w:rFonts w:ascii="Times New Roman" w:hAnsi="Times New Roman" w:cs="Times New Roman"/>
              </w:rPr>
              <w:tab/>
              <w:t>To satisfy the second general standard, Jones must be without bias with respect to the client under audit. Jones has an obligation for fairness to the owners, management, and creditors who may rely on the report. Because of the financial interest in whether the bank loan is granted to Boucher, Jones is not independent in either fact or appearance with respect to the assignment undertaken.</w:t>
            </w:r>
          </w:p>
        </w:tc>
      </w:tr>
      <w:tr w:rsidR="00692C63" w14:paraId="18B63760" w14:textId="77777777">
        <w:trPr>
          <w:gridAfter w:val="1"/>
          <w:wAfter w:w="90" w:type="dxa"/>
        </w:trPr>
        <w:tc>
          <w:tcPr>
            <w:tcW w:w="4320" w:type="dxa"/>
            <w:tcBorders>
              <w:top w:val="single" w:sz="6" w:space="0" w:color="000000"/>
              <w:bottom w:val="single" w:sz="6" w:space="0" w:color="FFFFFF"/>
              <w:right w:val="single" w:sz="6" w:space="0" w:color="FFFFFF"/>
            </w:tcBorders>
          </w:tcPr>
          <w:p w14:paraId="39DF96E2" w14:textId="77777777" w:rsidR="00692C63" w:rsidRDefault="00692C63">
            <w:pPr>
              <w:tabs>
                <w:tab w:val="left" w:pos="-90"/>
              </w:tabs>
              <w:spacing w:line="163" w:lineRule="exact"/>
              <w:jc w:val="both"/>
              <w:rPr>
                <w:rFonts w:ascii="Times New Roman" w:hAnsi="Times New Roman" w:cs="Times New Roman"/>
              </w:rPr>
            </w:pPr>
            <w:r>
              <w:br w:type="page"/>
            </w:r>
          </w:p>
          <w:p w14:paraId="51AC3245" w14:textId="77777777" w:rsidR="00692C63" w:rsidRDefault="00692C63">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87" w:hanging="387"/>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The auditor must exercise due professional care in the performance of the audit and the preparation of the report.</w:t>
            </w:r>
          </w:p>
        </w:tc>
        <w:tc>
          <w:tcPr>
            <w:tcW w:w="4230" w:type="dxa"/>
            <w:tcBorders>
              <w:top w:val="single" w:sz="6" w:space="0" w:color="000000"/>
              <w:left w:val="single" w:sz="6" w:space="0" w:color="000000"/>
              <w:bottom w:val="single" w:sz="6" w:space="0" w:color="FFFFFF"/>
            </w:tcBorders>
          </w:tcPr>
          <w:p w14:paraId="5611568F" w14:textId="77777777" w:rsidR="00692C63" w:rsidRDefault="00692C63">
            <w:pPr>
              <w:tabs>
                <w:tab w:val="left" w:pos="-90"/>
              </w:tabs>
              <w:spacing w:line="163" w:lineRule="exact"/>
              <w:jc w:val="both"/>
              <w:rPr>
                <w:rFonts w:ascii="Times New Roman" w:hAnsi="Times New Roman" w:cs="Times New Roman"/>
              </w:rPr>
            </w:pPr>
          </w:p>
          <w:p w14:paraId="72328F74" w14:textId="77777777" w:rsidR="00692C63" w:rsidRDefault="00692C63" w:rsidP="00356D0D">
            <w:pPr>
              <w:tabs>
                <w:tab w:val="left" w:pos="-1839"/>
                <w:tab w:val="left" w:pos="-1407"/>
                <w:tab w:val="left" w:pos="-687"/>
                <w:tab w:val="left" w:pos="-147"/>
                <w:tab w:val="left" w:pos="-90"/>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This standard requires Jones to plan and perform the audit with due care, which imposes on Jones and everyone in her firm a responsibility to observe the standards of field work and reporting. Exercise of due care requires critical review at every level of supervision of the work done and the judgments exercised by those assisting in the examination. Jones did not review the work or the judgments of the assistants and clearly failed to adhere to this standard.</w:t>
            </w:r>
          </w:p>
        </w:tc>
      </w:tr>
      <w:tr w:rsidR="00692C63" w14:paraId="14721970" w14:textId="77777777">
        <w:trPr>
          <w:gridAfter w:val="1"/>
          <w:wAfter w:w="90" w:type="dxa"/>
        </w:trPr>
        <w:tc>
          <w:tcPr>
            <w:tcW w:w="4320" w:type="dxa"/>
            <w:tcBorders>
              <w:top w:val="single" w:sz="6" w:space="0" w:color="000000"/>
              <w:bottom w:val="single" w:sz="6" w:space="0" w:color="FFFFFF"/>
              <w:right w:val="single" w:sz="6" w:space="0" w:color="FFFFFF"/>
            </w:tcBorders>
          </w:tcPr>
          <w:p w14:paraId="21771673" w14:textId="77777777" w:rsidR="00692C63" w:rsidRDefault="00692C63">
            <w:pPr>
              <w:spacing w:line="163" w:lineRule="exact"/>
              <w:jc w:val="both"/>
              <w:rPr>
                <w:rFonts w:ascii="Times New Roman" w:hAnsi="Times New Roman" w:cs="Times New Roman"/>
              </w:rPr>
            </w:pPr>
          </w:p>
          <w:p w14:paraId="70A4F292"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r>
              <w:rPr>
                <w:rFonts w:ascii="Times New Roman" w:hAnsi="Times New Roman" w:cs="Times New Roman"/>
                <w:b/>
                <w:bCs/>
                <w:u w:val="single"/>
              </w:rPr>
              <w:t>Standards of Field Work</w:t>
            </w:r>
            <w:r>
              <w:rPr>
                <w:rFonts w:ascii="Times New Roman" w:hAnsi="Times New Roman" w:cs="Times New Roman"/>
                <w:b/>
                <w:bCs/>
              </w:rPr>
              <w:t>:</w:t>
            </w:r>
          </w:p>
          <w:p w14:paraId="02FABF1B"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68823038" w14:textId="77777777" w:rsidR="00692C63" w:rsidRDefault="00692C63">
            <w:pPr>
              <w:ind w:left="387" w:hanging="387"/>
            </w:pPr>
            <w:r>
              <w:rPr>
                <w:rFonts w:ascii="Times New Roman" w:hAnsi="Times New Roman" w:cs="Times New Roman"/>
              </w:rPr>
              <w:t>1.</w:t>
            </w:r>
            <w:r>
              <w:rPr>
                <w:rFonts w:ascii="Times New Roman" w:hAnsi="Times New Roman" w:cs="Times New Roman"/>
              </w:rPr>
              <w:tab/>
              <w:t>The auditor must adequately plan the work and must properly supervise any assistants.</w:t>
            </w:r>
          </w:p>
        </w:tc>
        <w:tc>
          <w:tcPr>
            <w:tcW w:w="4230" w:type="dxa"/>
            <w:tcBorders>
              <w:top w:val="single" w:sz="6" w:space="0" w:color="000000"/>
              <w:left w:val="single" w:sz="6" w:space="0" w:color="000000"/>
              <w:bottom w:val="single" w:sz="6" w:space="0" w:color="FFFFFF"/>
              <w:right w:val="single" w:sz="6" w:space="0" w:color="FFFFFF"/>
            </w:tcBorders>
          </w:tcPr>
          <w:p w14:paraId="6580C423" w14:textId="77777777" w:rsidR="00692C63" w:rsidRDefault="00692C63">
            <w:pPr>
              <w:spacing w:line="163" w:lineRule="exact"/>
              <w:jc w:val="both"/>
              <w:rPr>
                <w:rFonts w:ascii="Times New Roman" w:hAnsi="Times New Roman" w:cs="Times New Roman"/>
              </w:rPr>
            </w:pPr>
          </w:p>
          <w:p w14:paraId="17F163DC"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2290AD0A"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0075068A"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This standard recognizes that early appointment of the auditor has advantages for the auditor and the client. Jones accepted the engagement without considering the availability of competent staff. In addition, Jones failed to supervise the assistants. The work performed was not adequately planned.</w:t>
            </w:r>
          </w:p>
          <w:p w14:paraId="4FB3F6B1"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p>
          <w:p w14:paraId="234B225D"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p>
        </w:tc>
      </w:tr>
      <w:tr w:rsidR="00692C63" w14:paraId="6BE34EBE" w14:textId="77777777">
        <w:trPr>
          <w:gridAfter w:val="1"/>
          <w:wAfter w:w="90" w:type="dxa"/>
        </w:trPr>
        <w:tc>
          <w:tcPr>
            <w:tcW w:w="4320" w:type="dxa"/>
            <w:tcBorders>
              <w:top w:val="single" w:sz="6" w:space="0" w:color="000000"/>
              <w:bottom w:val="single" w:sz="6" w:space="0" w:color="FFFFFF"/>
              <w:right w:val="single" w:sz="6" w:space="0" w:color="FFFFFF"/>
            </w:tcBorders>
          </w:tcPr>
          <w:p w14:paraId="78469462" w14:textId="77777777" w:rsidR="00692C63" w:rsidRDefault="00692C63">
            <w:pPr>
              <w:spacing w:line="163" w:lineRule="exact"/>
              <w:jc w:val="both"/>
              <w:rPr>
                <w:rFonts w:ascii="Times New Roman" w:hAnsi="Times New Roman" w:cs="Times New Roman"/>
              </w:rPr>
            </w:pPr>
          </w:p>
          <w:p w14:paraId="46B7645E" w14:textId="77777777" w:rsidR="00692C63" w:rsidRDefault="00692C63" w:rsidP="00330FC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87" w:hanging="387"/>
              <w:jc w:val="both"/>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t>The auditor must obtain a sufficient understanding of the entity and its environment, including its internal control, to assess the risk of material misstatement of the financial statements whether due to error or fraud, and to design the nature, timing, and extent of further audit procedures.</w:t>
            </w:r>
          </w:p>
        </w:tc>
        <w:tc>
          <w:tcPr>
            <w:tcW w:w="4230" w:type="dxa"/>
            <w:tcBorders>
              <w:top w:val="single" w:sz="6" w:space="0" w:color="000000"/>
              <w:left w:val="single" w:sz="6" w:space="0" w:color="000000"/>
              <w:bottom w:val="single" w:sz="6" w:space="0" w:color="FFFFFF"/>
              <w:right w:val="single" w:sz="6" w:space="0" w:color="FFFFFF"/>
            </w:tcBorders>
          </w:tcPr>
          <w:p w14:paraId="0492523A" w14:textId="77777777" w:rsidR="00692C63" w:rsidRDefault="00692C63">
            <w:pPr>
              <w:spacing w:line="163" w:lineRule="exact"/>
              <w:jc w:val="both"/>
              <w:rPr>
                <w:rFonts w:ascii="Times New Roman" w:hAnsi="Times New Roman" w:cs="Times New Roman"/>
              </w:rPr>
            </w:pPr>
          </w:p>
          <w:p w14:paraId="7C693A02"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t>Jones did not study the client or its environment, including internal control, nor did the assistants. There appears to have been no audit examination at all. The work performed was more an accounting service than it was an auditing service.</w:t>
            </w:r>
          </w:p>
        </w:tc>
      </w:tr>
      <w:tr w:rsidR="00692C63" w14:paraId="1FFA5320" w14:textId="77777777">
        <w:trPr>
          <w:gridAfter w:val="1"/>
          <w:wAfter w:w="90" w:type="dxa"/>
        </w:trPr>
        <w:tc>
          <w:tcPr>
            <w:tcW w:w="4320" w:type="dxa"/>
            <w:tcBorders>
              <w:top w:val="single" w:sz="6" w:space="0" w:color="000000"/>
              <w:bottom w:val="single" w:sz="4" w:space="0" w:color="auto"/>
              <w:right w:val="single" w:sz="6" w:space="0" w:color="FFFFFF"/>
            </w:tcBorders>
          </w:tcPr>
          <w:p w14:paraId="0A50BE25" w14:textId="77777777" w:rsidR="00692C63" w:rsidRDefault="00692C63">
            <w:pPr>
              <w:spacing w:line="163" w:lineRule="exact"/>
              <w:jc w:val="both"/>
              <w:rPr>
                <w:rFonts w:ascii="Times New Roman" w:hAnsi="Times New Roman" w:cs="Times New Roman"/>
              </w:rPr>
            </w:pPr>
          </w:p>
          <w:p w14:paraId="569B534D" w14:textId="77777777" w:rsidR="00692C63" w:rsidRDefault="00692C63">
            <w:pPr>
              <w:ind w:left="387" w:hanging="387"/>
            </w:pPr>
            <w:r>
              <w:rPr>
                <w:rFonts w:ascii="Times New Roman" w:hAnsi="Times New Roman" w:cs="Times New Roman"/>
              </w:rPr>
              <w:t>3.</w:t>
            </w:r>
            <w:r>
              <w:rPr>
                <w:rFonts w:ascii="Times New Roman" w:hAnsi="Times New Roman" w:cs="Times New Roman"/>
              </w:rPr>
              <w:tab/>
              <w:t>The auditor must obtain sufficient appropriate audit evidence by performing audit procedures to afford a reasonable basis for an opinion regarding the financial statements under audit.</w:t>
            </w:r>
          </w:p>
        </w:tc>
        <w:tc>
          <w:tcPr>
            <w:tcW w:w="4230" w:type="dxa"/>
            <w:tcBorders>
              <w:top w:val="single" w:sz="6" w:space="0" w:color="000000"/>
              <w:left w:val="single" w:sz="6" w:space="0" w:color="000000"/>
              <w:bottom w:val="single" w:sz="4" w:space="0" w:color="auto"/>
              <w:right w:val="single" w:sz="6" w:space="0" w:color="FFFFFF"/>
            </w:tcBorders>
          </w:tcPr>
          <w:p w14:paraId="1FD7A437" w14:textId="77777777" w:rsidR="00692C63" w:rsidRDefault="00692C63">
            <w:pPr>
              <w:spacing w:line="163" w:lineRule="exact"/>
              <w:jc w:val="both"/>
              <w:rPr>
                <w:rFonts w:ascii="Times New Roman" w:hAnsi="Times New Roman" w:cs="Times New Roman"/>
              </w:rPr>
            </w:pPr>
          </w:p>
          <w:p w14:paraId="2EC39365"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Jones acquired little evidence that would support the fairness of the financial statements. Jones merely checked the mathematical accuracy of the records and summarized the accounts. Several standard audit procedures and techniques were neglected.</w:t>
            </w:r>
          </w:p>
        </w:tc>
      </w:tr>
      <w:tr w:rsidR="00692C63" w14:paraId="13C86168" w14:textId="77777777">
        <w:trPr>
          <w:gridAfter w:val="1"/>
          <w:wAfter w:w="90" w:type="dxa"/>
        </w:trPr>
        <w:tc>
          <w:tcPr>
            <w:tcW w:w="4320" w:type="dxa"/>
            <w:tcBorders>
              <w:top w:val="single" w:sz="6" w:space="0" w:color="000000"/>
              <w:bottom w:val="single" w:sz="6" w:space="0" w:color="FFFFFF"/>
              <w:right w:val="single" w:sz="4" w:space="0" w:color="auto"/>
            </w:tcBorders>
          </w:tcPr>
          <w:p w14:paraId="6153A666" w14:textId="77777777" w:rsidR="00692C63" w:rsidRDefault="00692C63">
            <w:pPr>
              <w:spacing w:line="163" w:lineRule="exact"/>
              <w:jc w:val="both"/>
              <w:rPr>
                <w:rFonts w:ascii="Times New Roman" w:hAnsi="Times New Roman" w:cs="Times New Roman"/>
              </w:rPr>
            </w:pPr>
            <w:r>
              <w:br w:type="page"/>
            </w:r>
          </w:p>
          <w:p w14:paraId="61238499"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r>
              <w:rPr>
                <w:rFonts w:ascii="Times New Roman" w:hAnsi="Times New Roman" w:cs="Times New Roman"/>
                <w:b/>
                <w:bCs/>
                <w:u w:val="single"/>
              </w:rPr>
              <w:t>Standards of Reporting</w:t>
            </w:r>
            <w:r>
              <w:rPr>
                <w:rFonts w:ascii="Times New Roman" w:hAnsi="Times New Roman" w:cs="Times New Roman"/>
                <w:b/>
                <w:bCs/>
              </w:rPr>
              <w:t>:</w:t>
            </w:r>
          </w:p>
          <w:p w14:paraId="2AA2D0DA"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43330AEB" w14:textId="77777777" w:rsidR="00692C63" w:rsidRDefault="00692C63">
            <w:pPr>
              <w:ind w:left="387" w:hanging="387"/>
            </w:pPr>
            <w:r>
              <w:rPr>
                <w:rFonts w:ascii="Times New Roman" w:hAnsi="Times New Roman" w:cs="Times New Roman"/>
              </w:rPr>
              <w:t>1.</w:t>
            </w:r>
            <w:r>
              <w:rPr>
                <w:rFonts w:ascii="Times New Roman" w:hAnsi="Times New Roman" w:cs="Times New Roman"/>
              </w:rPr>
              <w:tab/>
              <w:t>The auditor must state in the auditor’s report whether the financial statements are presented in accordance with generally accepted accounting principles (GAAP).</w:t>
            </w:r>
          </w:p>
        </w:tc>
        <w:tc>
          <w:tcPr>
            <w:tcW w:w="4230" w:type="dxa"/>
            <w:tcBorders>
              <w:top w:val="single" w:sz="6" w:space="0" w:color="000000"/>
              <w:left w:val="nil"/>
              <w:bottom w:val="single" w:sz="6" w:space="0" w:color="FFFFFF"/>
              <w:right w:val="single" w:sz="6" w:space="0" w:color="FFFFFF"/>
            </w:tcBorders>
          </w:tcPr>
          <w:p w14:paraId="1836BD67" w14:textId="77777777" w:rsidR="00692C63" w:rsidRDefault="00692C63">
            <w:pPr>
              <w:spacing w:line="163" w:lineRule="exact"/>
              <w:jc w:val="both"/>
              <w:rPr>
                <w:rFonts w:ascii="Times New Roman" w:hAnsi="Times New Roman" w:cs="Times New Roman"/>
              </w:rPr>
            </w:pPr>
          </w:p>
          <w:p w14:paraId="070CDEB4" w14:textId="77777777" w:rsidR="00692C63" w:rsidRDefault="00692C63" w:rsidP="00356D0D">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Jones' report made no reference to generally accepted accounting principles. Because Jones did not conduct a proper examination, the report should state that no opinion can be expressed as to the fair presentation of the financial statements in accordance with GAAP.</w:t>
            </w:r>
          </w:p>
        </w:tc>
      </w:tr>
      <w:tr w:rsidR="00692C63" w14:paraId="7556D18A" w14:textId="77777777">
        <w:trPr>
          <w:trHeight w:val="1963"/>
        </w:trPr>
        <w:tc>
          <w:tcPr>
            <w:tcW w:w="4320" w:type="dxa"/>
            <w:tcBorders>
              <w:top w:val="single" w:sz="6" w:space="0" w:color="000000"/>
              <w:bottom w:val="single" w:sz="6" w:space="0" w:color="FFFFFF"/>
              <w:right w:val="single" w:sz="6" w:space="0" w:color="FFFFFF"/>
            </w:tcBorders>
          </w:tcPr>
          <w:p w14:paraId="094D873C" w14:textId="77777777" w:rsidR="00692C63" w:rsidRDefault="00692C63">
            <w:pPr>
              <w:spacing w:line="163" w:lineRule="exact"/>
              <w:jc w:val="both"/>
              <w:rPr>
                <w:rFonts w:ascii="Times New Roman" w:hAnsi="Times New Roman" w:cs="Times New Roman"/>
              </w:rPr>
            </w:pPr>
          </w:p>
          <w:p w14:paraId="7E49C1F7" w14:textId="77777777" w:rsidR="00692C63" w:rsidRPr="00690F7A" w:rsidRDefault="00692C63">
            <w:pPr>
              <w:spacing w:after="120"/>
              <w:ind w:left="387" w:hanging="387"/>
              <w:jc w:val="both"/>
            </w:pPr>
            <w:r>
              <w:rPr>
                <w:rFonts w:ascii="Times New Roman" w:hAnsi="Times New Roman" w:cs="Times New Roman"/>
              </w:rPr>
              <w:t>2.</w:t>
            </w:r>
            <w:r>
              <w:rPr>
                <w:rFonts w:ascii="Times New Roman" w:hAnsi="Times New Roman" w:cs="Times New Roman"/>
              </w:rPr>
              <w:tab/>
              <w:t>The auditor must identify in the auditor’s report those circumstances in which such principles have not been consistently observed in the current period in relation to the preceding period.</w:t>
            </w:r>
            <w:r w:rsidRPr="00690F7A">
              <w:rPr>
                <w:sz w:val="22"/>
                <w:szCs w:val="22"/>
              </w:rPr>
              <w:t xml:space="preserve"> </w:t>
            </w:r>
          </w:p>
          <w:p w14:paraId="6EA31145"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87" w:hanging="387"/>
              <w:jc w:val="both"/>
              <w:rPr>
                <w:rFonts w:ascii="Times New Roman" w:hAnsi="Times New Roman" w:cs="Times New Roman"/>
              </w:rPr>
            </w:pPr>
          </w:p>
        </w:tc>
        <w:tc>
          <w:tcPr>
            <w:tcW w:w="4320" w:type="dxa"/>
            <w:gridSpan w:val="2"/>
            <w:tcBorders>
              <w:top w:val="single" w:sz="6" w:space="0" w:color="000000"/>
              <w:left w:val="single" w:sz="6" w:space="0" w:color="000000"/>
              <w:bottom w:val="single" w:sz="6" w:space="0" w:color="FFFFFF"/>
              <w:right w:val="single" w:sz="6" w:space="0" w:color="FFFFFF"/>
            </w:tcBorders>
          </w:tcPr>
          <w:p w14:paraId="00DA7DAE" w14:textId="77777777" w:rsidR="00692C63" w:rsidRDefault="00692C63">
            <w:pPr>
              <w:spacing w:line="163" w:lineRule="exact"/>
              <w:jc w:val="both"/>
              <w:rPr>
                <w:rFonts w:ascii="Times New Roman" w:hAnsi="Times New Roman" w:cs="Times New Roman"/>
              </w:rPr>
            </w:pPr>
          </w:p>
          <w:p w14:paraId="59142831" w14:textId="77777777" w:rsidR="00692C63" w:rsidRDefault="00692C63" w:rsidP="00356D0D">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Jones' improper examination would not enable her to determine whether accounting principles have been consistently applied.</w:t>
            </w:r>
          </w:p>
        </w:tc>
      </w:tr>
      <w:tr w:rsidR="00692C63" w14:paraId="3498F8DA" w14:textId="77777777">
        <w:tc>
          <w:tcPr>
            <w:tcW w:w="4320" w:type="dxa"/>
            <w:tcBorders>
              <w:top w:val="single" w:sz="6" w:space="0" w:color="000000"/>
              <w:bottom w:val="single" w:sz="6" w:space="0" w:color="FFFFFF"/>
              <w:right w:val="single" w:sz="6" w:space="0" w:color="FFFFFF"/>
            </w:tcBorders>
          </w:tcPr>
          <w:p w14:paraId="1EB19C76" w14:textId="77777777" w:rsidR="00692C63" w:rsidRDefault="00692C63">
            <w:pPr>
              <w:spacing w:line="163" w:lineRule="exact"/>
              <w:jc w:val="both"/>
              <w:rPr>
                <w:rFonts w:ascii="Times New Roman" w:hAnsi="Times New Roman" w:cs="Times New Roman"/>
              </w:rPr>
            </w:pPr>
          </w:p>
          <w:p w14:paraId="53301508" w14:textId="77777777" w:rsidR="00692C63" w:rsidRDefault="00692C63">
            <w:pPr>
              <w:spacing w:after="120"/>
              <w:ind w:left="387" w:hanging="387"/>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When the auditor determines that informative disclosures are not reasonably adequate, the auditor must so state in the auditor’s report.</w:t>
            </w:r>
          </w:p>
          <w:p w14:paraId="1ECC2220" w14:textId="77777777" w:rsidR="00CC5CCF" w:rsidRDefault="00CC5CCF">
            <w:pPr>
              <w:spacing w:after="120"/>
              <w:ind w:left="387" w:hanging="387"/>
              <w:jc w:val="both"/>
            </w:pPr>
          </w:p>
        </w:tc>
        <w:tc>
          <w:tcPr>
            <w:tcW w:w="4320" w:type="dxa"/>
            <w:gridSpan w:val="2"/>
            <w:tcBorders>
              <w:top w:val="single" w:sz="6" w:space="0" w:color="000000"/>
              <w:left w:val="single" w:sz="6" w:space="0" w:color="000000"/>
              <w:bottom w:val="single" w:sz="6" w:space="0" w:color="FFFFFF"/>
              <w:right w:val="single" w:sz="6" w:space="0" w:color="FFFFFF"/>
            </w:tcBorders>
          </w:tcPr>
          <w:p w14:paraId="1845F580" w14:textId="77777777" w:rsidR="00692C63" w:rsidRDefault="00692C63">
            <w:pPr>
              <w:spacing w:line="163" w:lineRule="exact"/>
              <w:jc w:val="both"/>
              <w:rPr>
                <w:rFonts w:ascii="Times New Roman" w:hAnsi="Times New Roman" w:cs="Times New Roman"/>
              </w:rPr>
            </w:pPr>
          </w:p>
          <w:p w14:paraId="2FE4C1CB"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Management is responsible for adequate disclosure in the financial statements, but when the statements do not contain adequate disclosures the auditor should make such disclosures in the auditor's report. Both the statements and the auditor's report lack adequate disclosures.</w:t>
            </w:r>
          </w:p>
          <w:p w14:paraId="550DB655"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p>
          <w:p w14:paraId="4EE7FB1A"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p>
        </w:tc>
      </w:tr>
      <w:tr w:rsidR="00692C63" w14:paraId="64693FF0" w14:textId="77777777">
        <w:tc>
          <w:tcPr>
            <w:tcW w:w="4320" w:type="dxa"/>
            <w:tcBorders>
              <w:top w:val="single" w:sz="6" w:space="0" w:color="000000"/>
              <w:bottom w:val="single" w:sz="6" w:space="0" w:color="000000"/>
              <w:right w:val="single" w:sz="6" w:space="0" w:color="FFFFFF"/>
            </w:tcBorders>
          </w:tcPr>
          <w:p w14:paraId="6B8F85F4" w14:textId="77777777" w:rsidR="00692C63" w:rsidRDefault="00692C63">
            <w:pPr>
              <w:spacing w:line="163" w:lineRule="exact"/>
              <w:jc w:val="both"/>
              <w:rPr>
                <w:rFonts w:ascii="Times New Roman" w:hAnsi="Times New Roman" w:cs="Times New Roman"/>
              </w:rPr>
            </w:pPr>
          </w:p>
          <w:p w14:paraId="7C12DBC5"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ind w:left="387" w:hanging="387"/>
              <w:jc w:val="both"/>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ab/>
              <w:t>The auditor must either express an opinion regarding the financial statements, taken as a whole, or state that an opinion cannot be expressed, in the auditor’s report. When the auditor cannot express an overall opinion, the auditor should state the reasons therefore in the auditor’s report. In all cases where an auditor’s name is associated with financial statements, the auditor should clearly indicate the character of the auditor’s work, if any, and the degree of responsibility the auditor is taking, in the auditor’s report.</w:t>
            </w:r>
            <w:r w:rsidRPr="00690F7A">
              <w:rPr>
                <w:sz w:val="22"/>
                <w:szCs w:val="22"/>
              </w:rPr>
              <w:t xml:space="preserve"> </w:t>
            </w:r>
          </w:p>
        </w:tc>
        <w:tc>
          <w:tcPr>
            <w:tcW w:w="4320" w:type="dxa"/>
            <w:gridSpan w:val="2"/>
            <w:tcBorders>
              <w:top w:val="single" w:sz="6" w:space="0" w:color="000000"/>
              <w:left w:val="single" w:sz="6" w:space="0" w:color="000000"/>
              <w:bottom w:val="single" w:sz="6" w:space="0" w:color="000000"/>
              <w:right w:val="single" w:sz="6" w:space="0" w:color="FFFFFF"/>
            </w:tcBorders>
          </w:tcPr>
          <w:p w14:paraId="7A8617C3" w14:textId="77777777" w:rsidR="00692C63" w:rsidRDefault="00692C63">
            <w:pPr>
              <w:spacing w:line="163" w:lineRule="exact"/>
              <w:jc w:val="both"/>
              <w:rPr>
                <w:rFonts w:ascii="Times New Roman" w:hAnsi="Times New Roman" w:cs="Times New Roman"/>
              </w:rPr>
            </w:pPr>
          </w:p>
          <w:p w14:paraId="054A9625"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ind w:left="348" w:hanging="348"/>
              <w:jc w:val="both"/>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ab/>
              <w:t>Although Jones' report contains an expression of opinion, her opinion is not based on the results of a proper audit examination. Jones should disclaim an opinion because she failed to conduct an examination in accordance with generally accepted auditing standards.</w:t>
            </w:r>
          </w:p>
          <w:p w14:paraId="196EB820"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479A5D52"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07FAE763"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
          <w:p w14:paraId="3F8B7737"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rPr>
            </w:pPr>
          </w:p>
        </w:tc>
      </w:tr>
    </w:tbl>
    <w:p w14:paraId="34C6B48D"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4609614F" w14:textId="77777777" w:rsidR="00692C63" w:rsidRPr="00B3716B" w:rsidRDefault="00692C63" w:rsidP="00F763B5">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proofErr w:type="gramStart"/>
      <w:r w:rsidRPr="00B3716B">
        <w:rPr>
          <w:rFonts w:ascii="Times New Roman" w:hAnsi="Times New Roman" w:cs="Times New Roman"/>
        </w:rPr>
        <w:t>b</w:t>
      </w:r>
      <w:proofErr w:type="gramEnd"/>
      <w:r w:rsidRPr="00B3716B">
        <w:rPr>
          <w:rFonts w:ascii="Times New Roman" w:hAnsi="Times New Roman" w:cs="Times New Roman"/>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8"/>
        <w:gridCol w:w="4878"/>
      </w:tblGrid>
      <w:tr w:rsidR="00692C63" w14:paraId="2CFAF7E7" w14:textId="77777777">
        <w:tc>
          <w:tcPr>
            <w:tcW w:w="4698" w:type="dxa"/>
            <w:tcBorders>
              <w:top w:val="nil"/>
              <w:left w:val="nil"/>
              <w:bottom w:val="double" w:sz="4" w:space="0" w:color="auto"/>
            </w:tcBorders>
          </w:tcPr>
          <w:p w14:paraId="70E6F69A" w14:textId="77777777" w:rsidR="00692C63" w:rsidRPr="00141064" w:rsidRDefault="00692C63" w:rsidP="00BE14A8">
            <w:pPr>
              <w:tabs>
                <w:tab w:val="left" w:pos="-90"/>
              </w:tabs>
              <w:spacing w:line="201" w:lineRule="exact"/>
              <w:rPr>
                <w:rFonts w:ascii="Times New Roman" w:hAnsi="Times New Roman" w:cs="Times New Roman"/>
                <w:sz w:val="22"/>
                <w:szCs w:val="22"/>
              </w:rPr>
            </w:pPr>
          </w:p>
          <w:p w14:paraId="678F6927" w14:textId="77777777" w:rsidR="00692C63" w:rsidRPr="00141064" w:rsidRDefault="00692C63" w:rsidP="00BE14A8">
            <w:pPr>
              <w:tabs>
                <w:tab w:val="left" w:pos="-1152"/>
                <w:tab w:val="left" w:pos="-720"/>
                <w:tab w:val="left" w:pos="-90"/>
                <w:tab w:val="left" w:pos="540"/>
                <w:tab w:val="left" w:pos="720"/>
                <w:tab w:val="left" w:pos="900"/>
                <w:tab w:val="left" w:pos="1080"/>
                <w:tab w:val="left" w:pos="1350"/>
                <w:tab w:val="left" w:pos="3600"/>
                <w:tab w:val="left" w:pos="4230"/>
                <w:tab w:val="left" w:pos="5040"/>
              </w:tabs>
              <w:spacing w:after="58"/>
              <w:jc w:val="center"/>
              <w:rPr>
                <w:rFonts w:ascii="Times New Roman" w:hAnsi="Times New Roman" w:cs="Times New Roman"/>
                <w:sz w:val="22"/>
                <w:szCs w:val="22"/>
              </w:rPr>
            </w:pPr>
            <w:r w:rsidRPr="00141064">
              <w:rPr>
                <w:rFonts w:ascii="Times New Roman" w:hAnsi="Times New Roman" w:cs="Times New Roman"/>
                <w:b/>
                <w:bCs/>
                <w:sz w:val="22"/>
                <w:szCs w:val="22"/>
              </w:rPr>
              <w:t>Brief Description of Principles Underlying an Audit</w:t>
            </w:r>
          </w:p>
        </w:tc>
        <w:tc>
          <w:tcPr>
            <w:tcW w:w="4878" w:type="dxa"/>
            <w:tcBorders>
              <w:top w:val="nil"/>
              <w:bottom w:val="double" w:sz="4" w:space="0" w:color="auto"/>
              <w:right w:val="nil"/>
            </w:tcBorders>
          </w:tcPr>
          <w:p w14:paraId="03C1FD13" w14:textId="77777777" w:rsidR="00692C63" w:rsidRPr="00141064" w:rsidRDefault="00692C63" w:rsidP="00BE14A8">
            <w:pPr>
              <w:tabs>
                <w:tab w:val="left" w:pos="-90"/>
              </w:tabs>
              <w:spacing w:line="201" w:lineRule="exact"/>
              <w:rPr>
                <w:rFonts w:ascii="Times New Roman" w:hAnsi="Times New Roman" w:cs="Times New Roman"/>
                <w:sz w:val="22"/>
                <w:szCs w:val="22"/>
              </w:rPr>
            </w:pPr>
          </w:p>
          <w:p w14:paraId="441677B3" w14:textId="77777777" w:rsidR="00692C63" w:rsidRPr="00141064" w:rsidRDefault="00692C63" w:rsidP="00BE14A8">
            <w:pPr>
              <w:tabs>
                <w:tab w:val="left" w:pos="-1152"/>
                <w:tab w:val="left" w:pos="-720"/>
                <w:tab w:val="left" w:pos="-90"/>
                <w:tab w:val="left" w:pos="540"/>
                <w:tab w:val="left" w:pos="720"/>
                <w:tab w:val="left" w:pos="900"/>
                <w:tab w:val="left" w:pos="1080"/>
                <w:tab w:val="left" w:pos="1350"/>
                <w:tab w:val="left" w:pos="3600"/>
                <w:tab w:val="left" w:pos="4230"/>
                <w:tab w:val="left" w:pos="5040"/>
              </w:tabs>
              <w:spacing w:after="58"/>
              <w:jc w:val="center"/>
              <w:rPr>
                <w:rFonts w:ascii="Times New Roman" w:hAnsi="Times New Roman" w:cs="Times New Roman"/>
                <w:sz w:val="22"/>
                <w:szCs w:val="22"/>
              </w:rPr>
            </w:pPr>
            <w:r w:rsidRPr="00141064">
              <w:rPr>
                <w:rFonts w:ascii="Times New Roman" w:hAnsi="Times New Roman" w:cs="Times New Roman"/>
                <w:b/>
                <w:bCs/>
                <w:sz w:val="22"/>
                <w:szCs w:val="22"/>
              </w:rPr>
              <w:t>Sally Jones' Actions Resulting in Failure to Comply with Principles Underlying an Audit</w:t>
            </w:r>
          </w:p>
        </w:tc>
      </w:tr>
      <w:tr w:rsidR="00692C63" w14:paraId="379FBA75" w14:textId="77777777">
        <w:tc>
          <w:tcPr>
            <w:tcW w:w="4698" w:type="dxa"/>
            <w:tcBorders>
              <w:top w:val="double" w:sz="4" w:space="0" w:color="auto"/>
              <w:left w:val="nil"/>
            </w:tcBorders>
          </w:tcPr>
          <w:p w14:paraId="330525A5"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b/>
                <w:bCs/>
                <w:sz w:val="22"/>
                <w:szCs w:val="22"/>
                <w:u w:val="single"/>
              </w:rPr>
              <w:t>Purpose and Premise of an Audit</w:t>
            </w:r>
            <w:r w:rsidRPr="00141064">
              <w:rPr>
                <w:rFonts w:ascii="Times New Roman" w:hAnsi="Times New Roman" w:cs="Times New Roman"/>
                <w:b/>
                <w:bCs/>
                <w:sz w:val="22"/>
                <w:szCs w:val="22"/>
              </w:rPr>
              <w:t>:</w:t>
            </w:r>
          </w:p>
          <w:p w14:paraId="678204C7"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sz w:val="22"/>
                <w:szCs w:val="22"/>
                <w:u w:val="single"/>
              </w:rPr>
            </w:pPr>
            <w:r w:rsidRPr="00141064">
              <w:rPr>
                <w:rFonts w:ascii="Times New Roman" w:hAnsi="Times New Roman" w:cs="Times New Roman"/>
                <w:sz w:val="22"/>
                <w:szCs w:val="22"/>
              </w:rPr>
              <w:t>An audit is to provide an opinion by an auditor on whether financial statements are presented fairly, in all material respects, according to the applicable framework. Management and those charged with governance are responsible for the preparation and fair presentation of the financial statements and for the design, implementation, and maintenance of internal control over financial reporting. They are also responsible for providing the auditor with all information relevant to the preparation of the financial statements.</w:t>
            </w:r>
          </w:p>
        </w:tc>
        <w:tc>
          <w:tcPr>
            <w:tcW w:w="4878" w:type="dxa"/>
            <w:tcBorders>
              <w:top w:val="double" w:sz="4" w:space="0" w:color="auto"/>
              <w:right w:val="nil"/>
            </w:tcBorders>
          </w:tcPr>
          <w:p w14:paraId="01FE3E55"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11A9F5E9"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Jones expressed an opinion regarding the financial statements, but not on whether the financial statements are presented fairly in accordance with generally accepted accounting principles, or any other financial reporting framework. Therefore, she did not fulfill the primary purpose of the audit.</w:t>
            </w:r>
          </w:p>
          <w:p w14:paraId="404B9382"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2E66C4FC"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Jones did not ensure that management fulfilled its responsibilities for the fair presentation of the financial statements, since that requires making the appropriate disclosures in the financial statements.</w:t>
            </w:r>
          </w:p>
        </w:tc>
      </w:tr>
    </w:tbl>
    <w:p w14:paraId="05C0FC37" w14:textId="77777777" w:rsidR="00692C63" w:rsidRDefault="00692C63">
      <w:r>
        <w:br w:type="page"/>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7"/>
        <w:gridCol w:w="4877"/>
      </w:tblGrid>
      <w:tr w:rsidR="00692C63" w14:paraId="20CB39F0" w14:textId="77777777">
        <w:tc>
          <w:tcPr>
            <w:tcW w:w="4698" w:type="dxa"/>
            <w:tcBorders>
              <w:left w:val="nil"/>
            </w:tcBorders>
          </w:tcPr>
          <w:p w14:paraId="5798780F"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sz w:val="22"/>
                <w:szCs w:val="22"/>
                <w:u w:val="single"/>
              </w:rPr>
              <w:lastRenderedPageBreak/>
              <w:t xml:space="preserve"> </w:t>
            </w:r>
            <w:r w:rsidRPr="00141064">
              <w:rPr>
                <w:rFonts w:ascii="Times New Roman" w:hAnsi="Times New Roman" w:cs="Times New Roman"/>
                <w:b/>
                <w:bCs/>
                <w:sz w:val="22"/>
                <w:szCs w:val="22"/>
                <w:u w:val="single"/>
              </w:rPr>
              <w:t>Responsibilities</w:t>
            </w:r>
            <w:r w:rsidRPr="00141064">
              <w:rPr>
                <w:rFonts w:ascii="Times New Roman" w:hAnsi="Times New Roman" w:cs="Times New Roman"/>
                <w:b/>
                <w:bCs/>
                <w:sz w:val="22"/>
                <w:szCs w:val="22"/>
              </w:rPr>
              <w:t>:</w:t>
            </w:r>
          </w:p>
          <w:p w14:paraId="0F42CC7E"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Auditors are responsible for having appropriate competence and capabilities to perform the audit; complying with relevant ethical requirements; and maintaining professional skepticism and exercising professional judgment, throughout the planning and performance of the audit.</w:t>
            </w:r>
          </w:p>
        </w:tc>
        <w:tc>
          <w:tcPr>
            <w:tcW w:w="4878" w:type="dxa"/>
            <w:tcBorders>
              <w:right w:val="nil"/>
            </w:tcBorders>
          </w:tcPr>
          <w:p w14:paraId="10ABA69D"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2423884A"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 xml:space="preserve">It was inappropriate for Jones to hire the two students to conduct the audit, because they do not have appropriate competence and capabilities. </w:t>
            </w:r>
          </w:p>
          <w:p w14:paraId="02303BA7"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0F6D3510"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In order to comply with ethical requirements, Jones must be without bias with respect to the client under audit. Because of the financial interest in whether the bank loan is granted to Boucher, Jones is not independent in either fact or appearance with respect to the assignment undertaken.</w:t>
            </w:r>
          </w:p>
          <w:p w14:paraId="6B994D8D"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7341078A"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sz w:val="22"/>
                <w:szCs w:val="22"/>
              </w:rPr>
            </w:pPr>
            <w:r w:rsidRPr="00141064">
              <w:rPr>
                <w:rFonts w:ascii="Times New Roman" w:hAnsi="Times New Roman" w:cs="Times New Roman"/>
                <w:sz w:val="22"/>
                <w:szCs w:val="22"/>
              </w:rPr>
              <w:t xml:space="preserve">Neither Jones nor her two assistants exercised professional skepticism or professional judgment in performing the audit.  </w:t>
            </w:r>
          </w:p>
        </w:tc>
      </w:tr>
      <w:tr w:rsidR="00692C63" w14:paraId="2FD48D24" w14:textId="77777777">
        <w:tc>
          <w:tcPr>
            <w:tcW w:w="4698" w:type="dxa"/>
            <w:tcBorders>
              <w:left w:val="nil"/>
            </w:tcBorders>
          </w:tcPr>
          <w:p w14:paraId="2F7A68F5"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b/>
                <w:bCs/>
                <w:sz w:val="22"/>
                <w:szCs w:val="22"/>
                <w:u w:val="single"/>
              </w:rPr>
              <w:t>Performance</w:t>
            </w:r>
            <w:r w:rsidRPr="00141064">
              <w:rPr>
                <w:rFonts w:ascii="Times New Roman" w:hAnsi="Times New Roman" w:cs="Times New Roman"/>
                <w:b/>
                <w:bCs/>
                <w:sz w:val="22"/>
                <w:szCs w:val="22"/>
              </w:rPr>
              <w:t>:</w:t>
            </w:r>
          </w:p>
          <w:p w14:paraId="06193E66"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The auditor must obtain reasonable assurance about whether the financial statements as a whole are free from material misstatement, whether due to fraud or error. To do so, the auditor must plan the work and supervise any assistants; determine an appropriate materiality level; identify and assess risks of material misstatement based on an understanding of the entity and its environment, including its internal control; and obtain sufficient appropriate audit evidence about whether misstatements exist. The auditor is unable to obtain absolute assurance that the financial statements are free from material misstatements.</w:t>
            </w:r>
          </w:p>
        </w:tc>
        <w:tc>
          <w:tcPr>
            <w:tcW w:w="4878" w:type="dxa"/>
            <w:tcBorders>
              <w:right w:val="nil"/>
            </w:tcBorders>
          </w:tcPr>
          <w:p w14:paraId="117B75CC"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4862C310"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Jones failed to supervise the assistants. The work performed was not adequately planned.</w:t>
            </w:r>
          </w:p>
          <w:p w14:paraId="0FE2203F"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70FBC5C9"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Jones did not study the client or its environment, including internal control, nor did the assistants. Consequently, she could not have identified risks of material misstatements.</w:t>
            </w:r>
          </w:p>
          <w:p w14:paraId="05DF9301"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6D173EE3"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sz w:val="22"/>
                <w:szCs w:val="22"/>
              </w:rPr>
            </w:pPr>
            <w:r w:rsidRPr="00141064">
              <w:rPr>
                <w:rFonts w:ascii="Times New Roman" w:hAnsi="Times New Roman" w:cs="Times New Roman"/>
                <w:sz w:val="22"/>
                <w:szCs w:val="22"/>
              </w:rPr>
              <w:t>Jones acquired little evidence that would support the fairness of the financial statements. Jones merely checked the mathematical accuracy of the records and summarized the accounts. Several standard audit procedures and techniques were neglected.</w:t>
            </w:r>
          </w:p>
        </w:tc>
      </w:tr>
    </w:tbl>
    <w:p w14:paraId="08376F87" w14:textId="344894CB" w:rsidR="00692C63" w:rsidRDefault="00692C63"/>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7"/>
        <w:gridCol w:w="4877"/>
      </w:tblGrid>
      <w:tr w:rsidR="00692C63" w14:paraId="6622E14B" w14:textId="77777777">
        <w:tc>
          <w:tcPr>
            <w:tcW w:w="4698" w:type="dxa"/>
            <w:tcBorders>
              <w:left w:val="nil"/>
            </w:tcBorders>
          </w:tcPr>
          <w:p w14:paraId="51BE5287"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120" w:after="120"/>
              <w:jc w:val="both"/>
              <w:rPr>
                <w:rFonts w:ascii="Times New Roman" w:hAnsi="Times New Roman" w:cs="Times New Roman"/>
                <w:b/>
                <w:bCs/>
                <w:sz w:val="22"/>
                <w:szCs w:val="22"/>
                <w:u w:val="single"/>
              </w:rPr>
            </w:pPr>
            <w:r w:rsidRPr="00141064">
              <w:rPr>
                <w:rFonts w:ascii="Times New Roman" w:hAnsi="Times New Roman" w:cs="Times New Roman"/>
                <w:b/>
                <w:bCs/>
                <w:sz w:val="22"/>
                <w:szCs w:val="22"/>
                <w:u w:val="single"/>
              </w:rPr>
              <w:t>Reporting</w:t>
            </w:r>
            <w:r w:rsidRPr="00141064">
              <w:rPr>
                <w:rFonts w:ascii="Times New Roman" w:hAnsi="Times New Roman" w:cs="Times New Roman"/>
                <w:b/>
                <w:bCs/>
                <w:sz w:val="22"/>
                <w:szCs w:val="22"/>
              </w:rPr>
              <w:t>:</w:t>
            </w:r>
          </w:p>
          <w:p w14:paraId="0D70DFA2" w14:textId="77777777" w:rsidR="00692C63" w:rsidRPr="00141064" w:rsidRDefault="00692C63" w:rsidP="00BE14A8">
            <w:pPr>
              <w:widowControl/>
              <w:autoSpaceDE w:val="0"/>
              <w:autoSpaceDN w:val="0"/>
              <w:adjustRightInd w:val="0"/>
              <w:rPr>
                <w:rFonts w:ascii="Times New Roman" w:hAnsi="Times New Roman" w:cs="Times New Roman"/>
                <w:sz w:val="22"/>
                <w:szCs w:val="22"/>
              </w:rPr>
            </w:pPr>
            <w:r w:rsidRPr="00141064">
              <w:rPr>
                <w:rFonts w:ascii="Times New Roman" w:hAnsi="Times New Roman" w:cs="Times New Roman"/>
                <w:sz w:val="22"/>
                <w:szCs w:val="22"/>
              </w:rPr>
              <w:t>Based on an evaluation of the audit evidence obtained, the auditor expresses an opinion in accordance with the auditor’s findings, or states that an opinion cannot be expressed. The opinion states whether the financial statements are presented fairly, in all material respects, in accordance with the applicable financial reporting framework.</w:t>
            </w:r>
          </w:p>
        </w:tc>
        <w:tc>
          <w:tcPr>
            <w:tcW w:w="4878" w:type="dxa"/>
            <w:tcBorders>
              <w:right w:val="nil"/>
            </w:tcBorders>
          </w:tcPr>
          <w:p w14:paraId="3E40147B"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3B5E893A"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before="240"/>
              <w:jc w:val="both"/>
              <w:rPr>
                <w:rFonts w:ascii="Times New Roman" w:hAnsi="Times New Roman" w:cs="Times New Roman"/>
                <w:sz w:val="22"/>
                <w:szCs w:val="22"/>
              </w:rPr>
            </w:pPr>
            <w:r w:rsidRPr="00141064">
              <w:rPr>
                <w:rFonts w:ascii="Times New Roman" w:hAnsi="Times New Roman" w:cs="Times New Roman"/>
                <w:sz w:val="22"/>
                <w:szCs w:val="22"/>
              </w:rPr>
              <w:t>Although Jones' report contains an expression of opinion, her opinion is not based on the results of a proper audit examination. Jones should disclaim an opinion because she failed to conduct an examination in accordance with generally accepted auditing standards.</w:t>
            </w:r>
          </w:p>
          <w:p w14:paraId="34C3480B"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p>
          <w:p w14:paraId="42AF9CE5" w14:textId="77777777" w:rsidR="00692C63" w:rsidRPr="00141064" w:rsidRDefault="00692C63" w:rsidP="00BE14A8">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sz w:val="22"/>
                <w:szCs w:val="22"/>
              </w:rPr>
            </w:pPr>
            <w:r w:rsidRPr="00141064">
              <w:rPr>
                <w:rFonts w:ascii="Times New Roman" w:hAnsi="Times New Roman" w:cs="Times New Roman"/>
                <w:sz w:val="22"/>
                <w:szCs w:val="22"/>
              </w:rPr>
              <w:t xml:space="preserve">Jones' opinion made no reference to the applicable financial reporting framework. Also, since the financial statements did not contain adequate disclosures, they could not have been in accordance with any financial reporting framework.  </w:t>
            </w:r>
          </w:p>
        </w:tc>
      </w:tr>
    </w:tbl>
    <w:p w14:paraId="5F810FCE"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75483D6E"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6F699EDE"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420098DE" w14:textId="77777777" w:rsidR="00CC5CCF" w:rsidRDefault="00CC5CCF">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b/>
          <w:bCs/>
        </w:rPr>
      </w:pPr>
    </w:p>
    <w:p w14:paraId="6329EDDC" w14:textId="77777777" w:rsidR="00692C63"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rPr>
          <w:rFonts w:ascii="Times New Roman" w:hAnsi="Times New Roman" w:cs="Times New Roman"/>
        </w:rPr>
      </w:pPr>
      <w:r>
        <w:rPr>
          <w:rFonts w:ascii="Times New Roman" w:hAnsi="Times New Roman" w:cs="Times New Roman"/>
          <w:b/>
          <w:bCs/>
        </w:rPr>
        <w:lastRenderedPageBreak/>
        <w:t>2-26</w:t>
      </w:r>
    </w:p>
    <w:tbl>
      <w:tblPr>
        <w:tblW w:w="0" w:type="auto"/>
        <w:tblInd w:w="2" w:type="dxa"/>
        <w:tblLayout w:type="fixed"/>
        <w:tblCellMar>
          <w:left w:w="145" w:type="dxa"/>
          <w:right w:w="145" w:type="dxa"/>
        </w:tblCellMar>
        <w:tblLook w:val="0000" w:firstRow="0" w:lastRow="0" w:firstColumn="0" w:lastColumn="0" w:noHBand="0" w:noVBand="0"/>
      </w:tblPr>
      <w:tblGrid>
        <w:gridCol w:w="1260"/>
        <w:gridCol w:w="3330"/>
        <w:gridCol w:w="4050"/>
      </w:tblGrid>
      <w:tr w:rsidR="00692C63" w14:paraId="51A49EBB" w14:textId="77777777">
        <w:tc>
          <w:tcPr>
            <w:tcW w:w="1260" w:type="dxa"/>
            <w:tcBorders>
              <w:bottom w:val="double" w:sz="2" w:space="0" w:color="000000"/>
              <w:right w:val="single" w:sz="2" w:space="0" w:color="000000"/>
            </w:tcBorders>
          </w:tcPr>
          <w:p w14:paraId="5A96F52D" w14:textId="77777777" w:rsidR="00692C63" w:rsidRPr="00141064" w:rsidRDefault="00692C63">
            <w:pPr>
              <w:spacing w:line="201" w:lineRule="exact"/>
              <w:rPr>
                <w:rFonts w:ascii="Times New Roman" w:hAnsi="Times New Roman" w:cs="Times New Roman"/>
                <w:sz w:val="22"/>
                <w:szCs w:val="22"/>
              </w:rPr>
            </w:pPr>
          </w:p>
          <w:p w14:paraId="6C489A88"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rPr>
                <w:rFonts w:ascii="Times New Roman" w:hAnsi="Times New Roman" w:cs="Times New Roman"/>
                <w:sz w:val="22"/>
                <w:szCs w:val="22"/>
              </w:rPr>
            </w:pPr>
          </w:p>
          <w:p w14:paraId="385D55C8" w14:textId="77777777" w:rsidR="00692C63" w:rsidRPr="00141064" w:rsidRDefault="00692C63">
            <w:pPr>
              <w:tabs>
                <w:tab w:val="center" w:pos="485"/>
                <w:tab w:val="left" w:pos="662"/>
                <w:tab w:val="left" w:pos="2912"/>
                <w:tab w:val="left" w:pos="3542"/>
                <w:tab w:val="left" w:pos="4352"/>
                <w:tab w:val="left" w:pos="4592"/>
                <w:tab w:val="left" w:pos="5072"/>
                <w:tab w:val="left" w:pos="5792"/>
                <w:tab w:val="left" w:pos="6512"/>
                <w:tab w:val="left" w:pos="7232"/>
                <w:tab w:val="left" w:pos="7952"/>
                <w:tab w:val="left" w:pos="8672"/>
              </w:tabs>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Situation</w:t>
            </w:r>
          </w:p>
          <w:p w14:paraId="6FB0B597" w14:textId="77777777" w:rsidR="00692C63" w:rsidRPr="00141064" w:rsidRDefault="00692C63">
            <w:pPr>
              <w:tabs>
                <w:tab w:val="center" w:pos="485"/>
                <w:tab w:val="left" w:pos="662"/>
                <w:tab w:val="left" w:pos="2912"/>
                <w:tab w:val="left" w:pos="3542"/>
                <w:tab w:val="left" w:pos="4352"/>
                <w:tab w:val="left" w:pos="4592"/>
                <w:tab w:val="left" w:pos="5072"/>
                <w:tab w:val="left" w:pos="5792"/>
                <w:tab w:val="left" w:pos="6512"/>
                <w:tab w:val="left" w:pos="7232"/>
                <w:tab w:val="left" w:pos="7952"/>
                <w:tab w:val="left" w:pos="8672"/>
              </w:tabs>
              <w:spacing w:after="58"/>
              <w:rPr>
                <w:rFonts w:ascii="Times New Roman" w:hAnsi="Times New Roman" w:cs="Times New Roman"/>
                <w:sz w:val="22"/>
                <w:szCs w:val="22"/>
              </w:rPr>
            </w:pPr>
            <w:r w:rsidRPr="00141064">
              <w:rPr>
                <w:rFonts w:ascii="Times New Roman" w:hAnsi="Times New Roman" w:cs="Times New Roman"/>
                <w:sz w:val="22"/>
                <w:szCs w:val="22"/>
              </w:rPr>
              <w:tab/>
            </w:r>
          </w:p>
        </w:tc>
        <w:tc>
          <w:tcPr>
            <w:tcW w:w="3330" w:type="dxa"/>
            <w:tcBorders>
              <w:left w:val="single" w:sz="2" w:space="0" w:color="000000"/>
              <w:bottom w:val="double" w:sz="2" w:space="0" w:color="000000"/>
              <w:right w:val="single" w:sz="2" w:space="0" w:color="000000"/>
            </w:tcBorders>
          </w:tcPr>
          <w:p w14:paraId="69335D2F" w14:textId="77777777" w:rsidR="00692C63" w:rsidRPr="00141064" w:rsidRDefault="00692C63">
            <w:pPr>
              <w:spacing w:line="201" w:lineRule="exact"/>
              <w:rPr>
                <w:rFonts w:ascii="Times New Roman" w:hAnsi="Times New Roman" w:cs="Times New Roman"/>
                <w:sz w:val="22"/>
                <w:szCs w:val="22"/>
              </w:rPr>
            </w:pPr>
          </w:p>
          <w:p w14:paraId="728AD3AD" w14:textId="77777777" w:rsidR="00692C63" w:rsidRPr="00141064" w:rsidRDefault="00692C63">
            <w:pPr>
              <w:tabs>
                <w:tab w:val="center" w:pos="1520"/>
                <w:tab w:val="left" w:pos="2912"/>
                <w:tab w:val="left" w:pos="3542"/>
                <w:tab w:val="left" w:pos="4352"/>
                <w:tab w:val="left" w:pos="4592"/>
                <w:tab w:val="left" w:pos="5072"/>
                <w:tab w:val="left" w:pos="5792"/>
                <w:tab w:val="left" w:pos="6512"/>
                <w:tab w:val="left" w:pos="7232"/>
                <w:tab w:val="left" w:pos="7952"/>
                <w:tab w:val="left" w:pos="8672"/>
              </w:tabs>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Applicable</w:t>
            </w:r>
          </w:p>
          <w:p w14:paraId="52E77A80" w14:textId="77777777" w:rsidR="00692C63" w:rsidRPr="00141064" w:rsidRDefault="00692C63">
            <w:pPr>
              <w:tabs>
                <w:tab w:val="center" w:pos="1520"/>
                <w:tab w:val="left" w:pos="2912"/>
                <w:tab w:val="left" w:pos="3542"/>
                <w:tab w:val="left" w:pos="4352"/>
                <w:tab w:val="left" w:pos="4592"/>
                <w:tab w:val="left" w:pos="5072"/>
                <w:tab w:val="left" w:pos="5792"/>
                <w:tab w:val="left" w:pos="6512"/>
                <w:tab w:val="left" w:pos="7232"/>
                <w:tab w:val="left" w:pos="7952"/>
                <w:tab w:val="left" w:pos="8672"/>
              </w:tabs>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GAAS of</w:t>
            </w:r>
          </w:p>
          <w:p w14:paraId="155354A6" w14:textId="77777777" w:rsidR="00692C63" w:rsidRPr="00141064" w:rsidRDefault="00692C63">
            <w:pPr>
              <w:tabs>
                <w:tab w:val="center" w:pos="1520"/>
                <w:tab w:val="left" w:pos="2912"/>
                <w:tab w:val="left" w:pos="3542"/>
                <w:tab w:val="left" w:pos="4352"/>
                <w:tab w:val="left" w:pos="4592"/>
                <w:tab w:val="left" w:pos="5072"/>
                <w:tab w:val="left" w:pos="5792"/>
                <w:tab w:val="left" w:pos="6512"/>
                <w:tab w:val="left" w:pos="7232"/>
                <w:tab w:val="left" w:pos="7952"/>
                <w:tab w:val="left" w:pos="8672"/>
              </w:tabs>
              <w:spacing w:after="58"/>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Reporting</w:t>
            </w:r>
          </w:p>
        </w:tc>
        <w:tc>
          <w:tcPr>
            <w:tcW w:w="4050" w:type="dxa"/>
            <w:tcBorders>
              <w:left w:val="single" w:sz="2" w:space="0" w:color="000000"/>
              <w:bottom w:val="double" w:sz="2" w:space="0" w:color="000000"/>
            </w:tcBorders>
          </w:tcPr>
          <w:p w14:paraId="38E3171B" w14:textId="77777777" w:rsidR="00692C63" w:rsidRPr="00141064" w:rsidRDefault="00692C63">
            <w:pPr>
              <w:spacing w:line="201" w:lineRule="exact"/>
              <w:rPr>
                <w:rFonts w:ascii="Times New Roman" w:hAnsi="Times New Roman" w:cs="Times New Roman"/>
                <w:sz w:val="22"/>
                <w:szCs w:val="22"/>
              </w:rPr>
            </w:pPr>
          </w:p>
          <w:p w14:paraId="7AFA467D" w14:textId="77777777" w:rsidR="00692C63" w:rsidRPr="00141064" w:rsidRDefault="00692C63">
            <w:pPr>
              <w:tabs>
                <w:tab w:val="center" w:pos="1880"/>
                <w:tab w:val="left" w:pos="2912"/>
                <w:tab w:val="left" w:pos="3542"/>
                <w:tab w:val="left" w:pos="4352"/>
                <w:tab w:val="left" w:pos="4592"/>
                <w:tab w:val="left" w:pos="5072"/>
                <w:tab w:val="left" w:pos="5792"/>
                <w:tab w:val="left" w:pos="6512"/>
                <w:tab w:val="left" w:pos="7232"/>
                <w:tab w:val="left" w:pos="7952"/>
                <w:tab w:val="left" w:pos="8672"/>
              </w:tabs>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Discussion of Relationship</w:t>
            </w:r>
          </w:p>
          <w:p w14:paraId="6E6F27E3" w14:textId="77777777" w:rsidR="00692C63" w:rsidRPr="00141064" w:rsidRDefault="00692C63">
            <w:pPr>
              <w:tabs>
                <w:tab w:val="center" w:pos="1880"/>
                <w:tab w:val="left" w:pos="2912"/>
                <w:tab w:val="left" w:pos="3542"/>
                <w:tab w:val="left" w:pos="4352"/>
                <w:tab w:val="left" w:pos="4592"/>
                <w:tab w:val="left" w:pos="5072"/>
                <w:tab w:val="left" w:pos="5792"/>
                <w:tab w:val="left" w:pos="6512"/>
                <w:tab w:val="left" w:pos="7232"/>
                <w:tab w:val="left" w:pos="7952"/>
                <w:tab w:val="left" w:pos="8672"/>
              </w:tabs>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of Client Situation to</w:t>
            </w:r>
          </w:p>
          <w:p w14:paraId="395A20AF" w14:textId="77777777" w:rsidR="00692C63" w:rsidRPr="00141064" w:rsidRDefault="00692C63">
            <w:pPr>
              <w:tabs>
                <w:tab w:val="center" w:pos="1880"/>
                <w:tab w:val="left" w:pos="2912"/>
                <w:tab w:val="left" w:pos="3542"/>
                <w:tab w:val="left" w:pos="4352"/>
                <w:tab w:val="left" w:pos="4592"/>
                <w:tab w:val="left" w:pos="5072"/>
                <w:tab w:val="left" w:pos="5792"/>
                <w:tab w:val="left" w:pos="6512"/>
                <w:tab w:val="left" w:pos="7232"/>
                <w:tab w:val="left" w:pos="7952"/>
                <w:tab w:val="left" w:pos="8672"/>
              </w:tabs>
              <w:spacing w:after="58"/>
              <w:rPr>
                <w:rFonts w:ascii="Times New Roman" w:hAnsi="Times New Roman" w:cs="Times New Roman"/>
                <w:sz w:val="22"/>
                <w:szCs w:val="22"/>
              </w:rPr>
            </w:pPr>
            <w:r w:rsidRPr="00141064">
              <w:rPr>
                <w:rFonts w:ascii="Times New Roman" w:hAnsi="Times New Roman" w:cs="Times New Roman"/>
                <w:sz w:val="22"/>
                <w:szCs w:val="22"/>
              </w:rPr>
              <w:tab/>
            </w:r>
            <w:r w:rsidRPr="00141064">
              <w:rPr>
                <w:rFonts w:ascii="Times New Roman" w:hAnsi="Times New Roman" w:cs="Times New Roman"/>
                <w:b/>
                <w:bCs/>
                <w:sz w:val="22"/>
                <w:szCs w:val="22"/>
              </w:rPr>
              <w:t>Standard of Reporting</w:t>
            </w:r>
          </w:p>
        </w:tc>
      </w:tr>
      <w:tr w:rsidR="00692C63" w14:paraId="21EFEC11" w14:textId="77777777">
        <w:tc>
          <w:tcPr>
            <w:tcW w:w="1260" w:type="dxa"/>
            <w:tcBorders>
              <w:right w:val="single" w:sz="6" w:space="0" w:color="FFFFFF"/>
            </w:tcBorders>
          </w:tcPr>
          <w:p w14:paraId="336A5EE0" w14:textId="77777777" w:rsidR="00692C63" w:rsidRPr="00141064" w:rsidRDefault="00692C63">
            <w:pPr>
              <w:spacing w:line="144" w:lineRule="exact"/>
              <w:jc w:val="both"/>
              <w:rPr>
                <w:rFonts w:ascii="Times New Roman" w:hAnsi="Times New Roman" w:cs="Times New Roman"/>
                <w:sz w:val="22"/>
                <w:szCs w:val="22"/>
              </w:rPr>
            </w:pPr>
          </w:p>
          <w:p w14:paraId="12C68348" w14:textId="77777777" w:rsidR="00692C63" w:rsidRPr="00141064" w:rsidRDefault="00692C63">
            <w:pPr>
              <w:tabs>
                <w:tab w:val="center" w:pos="485"/>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ab/>
              <w:t>a.</w:t>
            </w:r>
          </w:p>
        </w:tc>
        <w:tc>
          <w:tcPr>
            <w:tcW w:w="3330" w:type="dxa"/>
            <w:tcBorders>
              <w:left w:val="single" w:sz="6" w:space="0" w:color="000000"/>
              <w:right w:val="single" w:sz="6" w:space="0" w:color="FFFFFF"/>
            </w:tcBorders>
          </w:tcPr>
          <w:p w14:paraId="64A714B4" w14:textId="77777777" w:rsidR="00692C63" w:rsidRPr="00141064" w:rsidRDefault="00692C63">
            <w:pPr>
              <w:spacing w:line="144" w:lineRule="exact"/>
              <w:jc w:val="both"/>
              <w:rPr>
                <w:rFonts w:ascii="Times New Roman" w:hAnsi="Times New Roman" w:cs="Times New Roman"/>
                <w:sz w:val="22"/>
                <w:szCs w:val="22"/>
              </w:rPr>
            </w:pPr>
          </w:p>
          <w:p w14:paraId="78D23C64"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The auditor must identify in the auditor’s report those circumstances in which such principles have not been consistently observed in the current period in relation to the preceding period.</w:t>
            </w:r>
            <w:r w:rsidRPr="00690F7A">
              <w:rPr>
                <w:sz w:val="22"/>
                <w:szCs w:val="22"/>
              </w:rPr>
              <w:t xml:space="preserve"> </w:t>
            </w:r>
          </w:p>
        </w:tc>
        <w:tc>
          <w:tcPr>
            <w:tcW w:w="4050" w:type="dxa"/>
            <w:tcBorders>
              <w:left w:val="single" w:sz="6" w:space="0" w:color="000000"/>
            </w:tcBorders>
          </w:tcPr>
          <w:p w14:paraId="3463C3F6" w14:textId="77777777" w:rsidR="00692C63" w:rsidRPr="00141064" w:rsidRDefault="00692C63">
            <w:pPr>
              <w:spacing w:line="144" w:lineRule="exact"/>
              <w:jc w:val="both"/>
              <w:rPr>
                <w:rFonts w:ascii="Times New Roman" w:hAnsi="Times New Roman" w:cs="Times New Roman"/>
                <w:sz w:val="22"/>
                <w:szCs w:val="22"/>
              </w:rPr>
            </w:pPr>
          </w:p>
          <w:p w14:paraId="7261831D"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A change in accounting principle affects the consistent application of the accounting principle. If the change is material, the auditor should reference the change in accounting in an explanatory paragraph to the audit report.</w:t>
            </w:r>
          </w:p>
        </w:tc>
      </w:tr>
      <w:tr w:rsidR="00692C63" w14:paraId="694391FC" w14:textId="77777777">
        <w:tc>
          <w:tcPr>
            <w:tcW w:w="1260" w:type="dxa"/>
            <w:tcBorders>
              <w:right w:val="single" w:sz="6" w:space="0" w:color="FFFFFF"/>
            </w:tcBorders>
          </w:tcPr>
          <w:p w14:paraId="0C401DD3" w14:textId="77777777" w:rsidR="00692C63" w:rsidRPr="00141064" w:rsidRDefault="00692C63">
            <w:pPr>
              <w:spacing w:line="144" w:lineRule="exact"/>
              <w:jc w:val="both"/>
              <w:rPr>
                <w:rFonts w:ascii="Times New Roman" w:hAnsi="Times New Roman" w:cs="Times New Roman"/>
                <w:sz w:val="22"/>
                <w:szCs w:val="22"/>
              </w:rPr>
            </w:pPr>
          </w:p>
          <w:p w14:paraId="12C4CC5F" w14:textId="77777777" w:rsidR="00692C63" w:rsidRPr="00141064" w:rsidRDefault="00692C63">
            <w:pPr>
              <w:tabs>
                <w:tab w:val="center" w:pos="485"/>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ab/>
              <w:t>b.</w:t>
            </w:r>
          </w:p>
        </w:tc>
        <w:tc>
          <w:tcPr>
            <w:tcW w:w="3330" w:type="dxa"/>
            <w:tcBorders>
              <w:left w:val="single" w:sz="6" w:space="0" w:color="000000"/>
              <w:right w:val="single" w:sz="6" w:space="0" w:color="FFFFFF"/>
            </w:tcBorders>
          </w:tcPr>
          <w:p w14:paraId="22E10C24" w14:textId="77777777" w:rsidR="00692C63" w:rsidRPr="00141064" w:rsidRDefault="00692C63">
            <w:pPr>
              <w:spacing w:line="144" w:lineRule="exact"/>
              <w:jc w:val="both"/>
              <w:rPr>
                <w:rFonts w:ascii="Times New Roman" w:hAnsi="Times New Roman" w:cs="Times New Roman"/>
                <w:sz w:val="22"/>
                <w:szCs w:val="22"/>
              </w:rPr>
            </w:pPr>
          </w:p>
          <w:p w14:paraId="2E9B7A53"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When the auditor determines that informative disclosures are not reasonably adequate, the auditor must so state in the auditor’s report.</w:t>
            </w:r>
          </w:p>
        </w:tc>
        <w:tc>
          <w:tcPr>
            <w:tcW w:w="4050" w:type="dxa"/>
            <w:tcBorders>
              <w:left w:val="single" w:sz="6" w:space="0" w:color="000000"/>
            </w:tcBorders>
          </w:tcPr>
          <w:p w14:paraId="1DB0934D" w14:textId="77777777" w:rsidR="00692C63" w:rsidRPr="00141064" w:rsidRDefault="00692C63">
            <w:pPr>
              <w:spacing w:line="144" w:lineRule="exact"/>
              <w:jc w:val="both"/>
              <w:rPr>
                <w:rFonts w:ascii="Times New Roman" w:hAnsi="Times New Roman" w:cs="Times New Roman"/>
                <w:sz w:val="22"/>
                <w:szCs w:val="22"/>
              </w:rPr>
            </w:pPr>
          </w:p>
          <w:p w14:paraId="1A0FBFF3"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Information essential to a fair presentation in conformity with GAAP must be disclosed in the financial statements or the related footnotes. Assuming that the terms of loan agreements, such as restrictive covenants, are material, such information should be disclosed. If the client refuses to disclose such essential information, the auditor should disclose the information and qualify the audit report.</w:t>
            </w:r>
          </w:p>
        </w:tc>
      </w:tr>
    </w:tbl>
    <w:p w14:paraId="6044600A" w14:textId="13E31B10" w:rsidR="00692C63" w:rsidRDefault="00692C63"/>
    <w:tbl>
      <w:tblPr>
        <w:tblW w:w="0" w:type="auto"/>
        <w:tblInd w:w="2" w:type="dxa"/>
        <w:tblLayout w:type="fixed"/>
        <w:tblCellMar>
          <w:left w:w="145" w:type="dxa"/>
          <w:right w:w="145" w:type="dxa"/>
        </w:tblCellMar>
        <w:tblLook w:val="0000" w:firstRow="0" w:lastRow="0" w:firstColumn="0" w:lastColumn="0" w:noHBand="0" w:noVBand="0"/>
      </w:tblPr>
      <w:tblGrid>
        <w:gridCol w:w="1260"/>
        <w:gridCol w:w="3330"/>
        <w:gridCol w:w="4050"/>
      </w:tblGrid>
      <w:tr w:rsidR="00692C63" w14:paraId="1BB3EB2D" w14:textId="77777777">
        <w:tc>
          <w:tcPr>
            <w:tcW w:w="1260" w:type="dxa"/>
            <w:tcBorders>
              <w:right w:val="single" w:sz="6" w:space="0" w:color="FFFFFF"/>
            </w:tcBorders>
          </w:tcPr>
          <w:p w14:paraId="3A254443" w14:textId="77777777" w:rsidR="00692C63" w:rsidRPr="00141064" w:rsidRDefault="00692C63">
            <w:pPr>
              <w:spacing w:line="144" w:lineRule="exact"/>
              <w:jc w:val="both"/>
              <w:rPr>
                <w:rFonts w:ascii="Times New Roman" w:hAnsi="Times New Roman" w:cs="Times New Roman"/>
                <w:sz w:val="22"/>
                <w:szCs w:val="22"/>
              </w:rPr>
            </w:pPr>
          </w:p>
          <w:p w14:paraId="42B89602" w14:textId="77777777" w:rsidR="00692C63" w:rsidRPr="00141064" w:rsidRDefault="00692C63">
            <w:pPr>
              <w:tabs>
                <w:tab w:val="center" w:pos="485"/>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ab/>
              <w:t>c.</w:t>
            </w:r>
          </w:p>
        </w:tc>
        <w:tc>
          <w:tcPr>
            <w:tcW w:w="3330" w:type="dxa"/>
            <w:tcBorders>
              <w:left w:val="single" w:sz="6" w:space="0" w:color="000000"/>
              <w:right w:val="single" w:sz="6" w:space="0" w:color="FFFFFF"/>
            </w:tcBorders>
          </w:tcPr>
          <w:p w14:paraId="3E5F9222" w14:textId="77777777" w:rsidR="00692C63" w:rsidRPr="00141064" w:rsidRDefault="00692C63">
            <w:pPr>
              <w:spacing w:line="144" w:lineRule="exact"/>
              <w:jc w:val="both"/>
              <w:rPr>
                <w:rFonts w:ascii="Times New Roman" w:hAnsi="Times New Roman" w:cs="Times New Roman"/>
                <w:sz w:val="22"/>
                <w:szCs w:val="22"/>
              </w:rPr>
            </w:pPr>
          </w:p>
          <w:p w14:paraId="73760029"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The auditor must state in the auditor’s report whether the financial statements are presented in accordance with generally accepted accounting principles (GAAP).</w:t>
            </w:r>
          </w:p>
        </w:tc>
        <w:tc>
          <w:tcPr>
            <w:tcW w:w="4050" w:type="dxa"/>
            <w:tcBorders>
              <w:left w:val="single" w:sz="6" w:space="0" w:color="000000"/>
            </w:tcBorders>
          </w:tcPr>
          <w:p w14:paraId="10F10E9F" w14:textId="77777777" w:rsidR="00692C63" w:rsidRPr="00141064" w:rsidRDefault="00692C63">
            <w:pPr>
              <w:spacing w:line="144" w:lineRule="exact"/>
              <w:jc w:val="both"/>
              <w:rPr>
                <w:rFonts w:ascii="Times New Roman" w:hAnsi="Times New Roman" w:cs="Times New Roman"/>
                <w:sz w:val="22"/>
                <w:szCs w:val="22"/>
              </w:rPr>
            </w:pPr>
          </w:p>
          <w:p w14:paraId="0ACAA8A1" w14:textId="77777777" w:rsidR="00692C63" w:rsidRPr="00141064" w:rsidRDefault="00692C63">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spacing w:after="58"/>
              <w:jc w:val="both"/>
              <w:rPr>
                <w:rFonts w:ascii="Times New Roman" w:hAnsi="Times New Roman" w:cs="Times New Roman"/>
                <w:sz w:val="22"/>
                <w:szCs w:val="22"/>
              </w:rPr>
            </w:pPr>
            <w:r w:rsidRPr="00141064">
              <w:rPr>
                <w:rFonts w:ascii="Times New Roman" w:hAnsi="Times New Roman" w:cs="Times New Roman"/>
                <w:sz w:val="22"/>
                <w:szCs w:val="22"/>
              </w:rPr>
              <w:t>The improper presentation of material amounts of minority interest in net income and retained earnings constitutes a departure from GAAP. The audit report should be qualified (or adverse) and the information should be disclosed by the auditor.</w:t>
            </w:r>
          </w:p>
        </w:tc>
      </w:tr>
    </w:tbl>
    <w:p w14:paraId="62A21896" w14:textId="77777777" w:rsidR="00692C63" w:rsidRDefault="00692C63">
      <w:pPr>
        <w:tabs>
          <w:tab w:val="left" w:pos="-1872"/>
          <w:tab w:val="left" w:pos="-1440"/>
          <w:tab w:val="left" w:pos="-720"/>
          <w:tab w:val="left" w:pos="-90"/>
          <w:tab w:val="left" w:pos="330"/>
          <w:tab w:val="left" w:pos="720"/>
          <w:tab w:val="left" w:pos="990"/>
          <w:tab w:val="left" w:pos="2160"/>
        </w:tabs>
        <w:jc w:val="both"/>
        <w:rPr>
          <w:rFonts w:ascii="Times New Roman" w:hAnsi="Times New Roman" w:cs="Times New Roman"/>
        </w:rPr>
      </w:pPr>
    </w:p>
    <w:p w14:paraId="7F960C41" w14:textId="77777777" w:rsidR="00692C63" w:rsidRDefault="00692C63" w:rsidP="00C00F87">
      <w:pPr>
        <w:tabs>
          <w:tab w:val="left" w:pos="-1872"/>
          <w:tab w:val="left" w:pos="-1440"/>
          <w:tab w:val="left" w:pos="-720"/>
          <w:tab w:val="left" w:pos="-90"/>
          <w:tab w:val="left" w:pos="330"/>
          <w:tab w:val="left" w:pos="720"/>
          <w:tab w:val="left" w:pos="990"/>
          <w:tab w:val="left" w:pos="2160"/>
        </w:tabs>
        <w:jc w:val="both"/>
        <w:outlineLvl w:val="0"/>
        <w:rPr>
          <w:rFonts w:ascii="Times New Roman" w:hAnsi="Times New Roman" w:cs="Times New Roman"/>
          <w:sz w:val="28"/>
          <w:szCs w:val="28"/>
        </w:rPr>
      </w:pPr>
      <w:r>
        <w:rPr>
          <w:rFonts w:ascii="Times New Roman" w:hAnsi="Times New Roman" w:cs="Times New Roman"/>
          <w:b/>
          <w:bCs/>
          <w:sz w:val="28"/>
          <w:szCs w:val="28"/>
        </w:rPr>
        <w:t>Solutions to Discussion Cases</w:t>
      </w:r>
    </w:p>
    <w:p w14:paraId="3A610AAE" w14:textId="77777777" w:rsidR="00692C63" w:rsidRDefault="00692C63">
      <w:pPr>
        <w:tabs>
          <w:tab w:val="left" w:pos="-1152"/>
          <w:tab w:val="left" w:pos="-720"/>
          <w:tab w:val="left" w:pos="-90"/>
          <w:tab w:val="left" w:pos="330"/>
          <w:tab w:val="left" w:pos="720"/>
          <w:tab w:val="left" w:pos="1080"/>
          <w:tab w:val="left" w:pos="1440"/>
          <w:tab w:val="left" w:pos="2880"/>
        </w:tabs>
        <w:jc w:val="both"/>
        <w:rPr>
          <w:rFonts w:ascii="Times New Roman" w:hAnsi="Times New Roman" w:cs="Times New Roman"/>
          <w:sz w:val="28"/>
          <w:szCs w:val="28"/>
        </w:rPr>
      </w:pPr>
    </w:p>
    <w:p w14:paraId="37E392CC" w14:textId="77777777" w:rsidR="00692C63" w:rsidRDefault="00692C63">
      <w:pPr>
        <w:tabs>
          <w:tab w:val="left" w:pos="-1152"/>
          <w:tab w:val="left" w:pos="-720"/>
          <w:tab w:val="left" w:pos="-90"/>
          <w:tab w:val="left" w:pos="330"/>
          <w:tab w:val="left" w:pos="1080"/>
          <w:tab w:val="left" w:pos="2880"/>
        </w:tabs>
        <w:jc w:val="both"/>
        <w:rPr>
          <w:rFonts w:ascii="Times New Roman" w:hAnsi="Times New Roman" w:cs="Times New Roman"/>
        </w:rPr>
      </w:pPr>
      <w:r>
        <w:rPr>
          <w:rFonts w:ascii="Times New Roman" w:hAnsi="Times New Roman" w:cs="Times New Roman"/>
          <w:b/>
          <w:bCs/>
        </w:rPr>
        <w:t>2-27    Merry-Go-Round Part I.</w:t>
      </w:r>
    </w:p>
    <w:p w14:paraId="308370EE" w14:textId="77777777" w:rsidR="00692C63" w:rsidRDefault="00692C63">
      <w:pPr>
        <w:tabs>
          <w:tab w:val="left" w:pos="-1152"/>
          <w:tab w:val="left" w:pos="-720"/>
          <w:tab w:val="left" w:pos="-90"/>
          <w:tab w:val="left" w:pos="330"/>
          <w:tab w:val="left" w:pos="720"/>
          <w:tab w:val="left" w:pos="1080"/>
          <w:tab w:val="left" w:pos="1440"/>
          <w:tab w:val="left" w:pos="2880"/>
        </w:tabs>
        <w:jc w:val="both"/>
        <w:rPr>
          <w:rFonts w:ascii="Times New Roman" w:hAnsi="Times New Roman" w:cs="Times New Roman"/>
        </w:rPr>
      </w:pPr>
    </w:p>
    <w:p w14:paraId="3D90259D" w14:textId="5AA137BC" w:rsidR="00692C63" w:rsidRDefault="00692C63">
      <w:pPr>
        <w:numPr>
          <w:ilvl w:val="0"/>
          <w:numId w:val="8"/>
        </w:numPr>
        <w:tabs>
          <w:tab w:val="clear" w:pos="720"/>
          <w:tab w:val="num" w:pos="1080"/>
        </w:tabs>
        <w:ind w:left="1080"/>
        <w:jc w:val="both"/>
        <w:rPr>
          <w:rFonts w:ascii="Times New Roman" w:hAnsi="Times New Roman" w:cs="Times New Roman"/>
        </w:rPr>
      </w:pPr>
      <w:r>
        <w:rPr>
          <w:rFonts w:ascii="Times New Roman" w:hAnsi="Times New Roman" w:cs="Times New Roman"/>
        </w:rPr>
        <w:t xml:space="preserve">EY is alleged to have violated all three general standards as well as one, and perhaps two, of the standards of field work. </w:t>
      </w:r>
    </w:p>
    <w:p w14:paraId="5DFFD8FE" w14:textId="77777777" w:rsidR="00692C63" w:rsidRDefault="00692C63">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They violated the first general standard in the sense that it appeared that the staff assigned to the engagement did not have sufficient training or experience for the engagement.</w:t>
      </w:r>
    </w:p>
    <w:p w14:paraId="3B3463C3" w14:textId="75E41883" w:rsidR="00692C63" w:rsidRDefault="00692C63">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EY’s relationship with MGR’s landlords and attorneys likely caused them to violate the second general standard, which requires independence in mental attitude.</w:t>
      </w:r>
    </w:p>
    <w:p w14:paraId="63E4015C" w14:textId="4A8D4509" w:rsidR="00692C63" w:rsidRDefault="00692C63">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 xml:space="preserve">The turnaround team’s slow performance, the fact that the leader of the team took a vacation at a critical time, and the insufficient cost-cutting recommendations suggest that EY did not exercise due professional care, which would be in </w:t>
      </w:r>
      <w:r>
        <w:rPr>
          <w:rFonts w:ascii="Times New Roman" w:hAnsi="Times New Roman" w:cs="Times New Roman"/>
        </w:rPr>
        <w:lastRenderedPageBreak/>
        <w:t>violation of the third general standard.</w:t>
      </w:r>
    </w:p>
    <w:p w14:paraId="3D15183D" w14:textId="77777777" w:rsidR="00692C63" w:rsidRDefault="00692C63">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Poor staff assignments, the leader’s vacation, and the use of inexperienced personnel all suggest that the engagement was not adequately planned and that assistants were not properly supervised, a violation of the first standard of fieldwork.</w:t>
      </w:r>
    </w:p>
    <w:p w14:paraId="6D4FB2A0" w14:textId="289E5665" w:rsidR="00692C63" w:rsidRDefault="00692C63">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Finally, EY’s inadequate recommendations suggests that they likely did not gather enough information about MGR’s operations to allow them to implement an effective implementation strategy, which would be in violation of the third standard of fieldwork.</w:t>
      </w:r>
    </w:p>
    <w:p w14:paraId="2584957E"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6A67D5DE" w14:textId="5D651849"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r>
        <w:rPr>
          <w:rFonts w:ascii="Times New Roman" w:hAnsi="Times New Roman" w:cs="Times New Roman"/>
        </w:rPr>
        <w:t>b.   EY is alleged to have violated the Principles of responsibilities and performance.</w:t>
      </w:r>
    </w:p>
    <w:p w14:paraId="2C849059" w14:textId="0A61A02F" w:rsidR="00692C63" w:rsidRPr="00BE47CE" w:rsidRDefault="00692C63" w:rsidP="00BE47CE">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They violated the Principle of responsibilities in the sense that it appeared that the staff assigned to the engagement did not have sufficient training or experience for the engagement. EY’s relationship with MGR’s landlords and attorneys likely caused them to violate this Principle, which requires compliance with relevant ethical requirements.</w:t>
      </w:r>
    </w:p>
    <w:p w14:paraId="1722006C" w14:textId="7989EC7B" w:rsidR="00692C63" w:rsidRPr="00CC5CCF" w:rsidRDefault="00692C63" w:rsidP="002C2356">
      <w:pPr>
        <w:numPr>
          <w:ilvl w:val="0"/>
          <w:numId w:val="9"/>
        </w:numPr>
        <w:tabs>
          <w:tab w:val="clear" w:pos="1800"/>
          <w:tab w:val="num" w:pos="1440"/>
        </w:tabs>
        <w:ind w:left="1440"/>
        <w:jc w:val="both"/>
        <w:rPr>
          <w:rFonts w:ascii="Times New Roman" w:hAnsi="Times New Roman" w:cs="Times New Roman"/>
        </w:rPr>
      </w:pPr>
      <w:r>
        <w:rPr>
          <w:rFonts w:ascii="Times New Roman" w:hAnsi="Times New Roman" w:cs="Times New Roman"/>
        </w:rPr>
        <w:t xml:space="preserve">Poor staff assignments, the leader’s vacation, and the use of inexperienced personnel all suggest that the engagement was not adequately planned and that assistants were not properly supervised, </w:t>
      </w:r>
      <w:r w:rsidR="00CC5CCF">
        <w:rPr>
          <w:rFonts w:ascii="Times New Roman" w:hAnsi="Times New Roman" w:cs="Times New Roman"/>
        </w:rPr>
        <w:t xml:space="preserve">which violates the Principle of </w:t>
      </w:r>
      <w:r w:rsidRPr="00CC5CCF">
        <w:rPr>
          <w:rFonts w:ascii="Times New Roman" w:hAnsi="Times New Roman" w:cs="Times New Roman"/>
        </w:rPr>
        <w:t>performance. Also, the inadequate nature of EY’s recommendations suggests that they likely did not gain a sufficient understanding of the entity and its operations.</w:t>
      </w:r>
    </w:p>
    <w:p w14:paraId="0E76DED1"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014EB885" w14:textId="77777777" w:rsidR="00692C63" w:rsidRPr="00CC5CCF" w:rsidRDefault="00692C63">
      <w:pPr>
        <w:pStyle w:val="BodyTextIndent2"/>
        <w:tabs>
          <w:tab w:val="clear" w:pos="990"/>
          <w:tab w:val="left" w:pos="1080"/>
        </w:tabs>
        <w:ind w:left="1080" w:hanging="360"/>
        <w:rPr>
          <w:rFonts w:ascii="Times New Roman" w:hAnsi="Times New Roman" w:cs="Times New Roman"/>
        </w:rPr>
      </w:pPr>
      <w:r w:rsidRPr="00CC5CCF">
        <w:rPr>
          <w:rFonts w:ascii="Times New Roman" w:hAnsi="Times New Roman" w:cs="Times New Roman"/>
        </w:rPr>
        <w:t>c.</w:t>
      </w:r>
      <w:r w:rsidRPr="00CC5CCF">
        <w:rPr>
          <w:rFonts w:ascii="Times New Roman" w:hAnsi="Times New Roman" w:cs="Times New Roman"/>
        </w:rPr>
        <w:tab/>
        <w:t>There are arguments both for and against having formal standards for CPAs who   consult. Advantages include potential increase in public trust, some assurance that a minimal level of service quality would be attained, and perhaps more guidance for consultants (to allow them to perform more effective consulting engagements). The primary disadvantage would result from the fact that CPAs who consult compete with consulting firms comprised of non-CPAs. If standards were not thought out carefully, perhaps the standards would put CPAs at a disadvantage relative to non-CPAs in the sense that CPAs would be subject to standards that constrain their activities or perhaps result in their not being able to compete with non-CPAs in the area of fees. Note that CPAs face certain restrictions in providing consulting services to audit clients. These restrictions are covered in a later chapter.</w:t>
      </w:r>
    </w:p>
    <w:p w14:paraId="44096975" w14:textId="77777777" w:rsidR="00692C63" w:rsidRDefault="00692C63" w:rsidP="000201FB">
      <w:pPr>
        <w:pStyle w:val="BodyTextIndent2"/>
        <w:ind w:firstLine="0"/>
      </w:pPr>
    </w:p>
    <w:p w14:paraId="381F8E9D" w14:textId="77777777" w:rsidR="00692C63" w:rsidRDefault="00692C63">
      <w:pPr>
        <w:tabs>
          <w:tab w:val="left" w:pos="-1152"/>
          <w:tab w:val="left" w:pos="-720"/>
          <w:tab w:val="left" w:pos="-90"/>
          <w:tab w:val="left" w:pos="330"/>
          <w:tab w:val="left" w:pos="720"/>
          <w:tab w:val="left" w:pos="1440"/>
          <w:tab w:val="left" w:pos="2880"/>
        </w:tabs>
        <w:jc w:val="both"/>
        <w:rPr>
          <w:rFonts w:ascii="Times New Roman" w:hAnsi="Times New Roman" w:cs="Times New Roman"/>
        </w:rPr>
      </w:pPr>
      <w:r>
        <w:rPr>
          <w:rFonts w:ascii="Times New Roman" w:hAnsi="Times New Roman" w:cs="Times New Roman"/>
          <w:b/>
          <w:bCs/>
        </w:rPr>
        <w:t>2-28</w:t>
      </w:r>
      <w:r>
        <w:rPr>
          <w:rFonts w:ascii="Times New Roman" w:hAnsi="Times New Roman" w:cs="Times New Roman"/>
          <w:b/>
          <w:bCs/>
        </w:rPr>
        <w:tab/>
        <w:t>Merry-Go-Round Part II.</w:t>
      </w:r>
    </w:p>
    <w:p w14:paraId="2DAEEB90" w14:textId="77777777" w:rsidR="00692C63" w:rsidRDefault="00692C63">
      <w:pPr>
        <w:tabs>
          <w:tab w:val="left" w:pos="-1152"/>
          <w:tab w:val="left" w:pos="-720"/>
          <w:tab w:val="left" w:pos="-90"/>
          <w:tab w:val="left" w:pos="330"/>
          <w:tab w:val="left" w:pos="720"/>
          <w:tab w:val="left" w:pos="1080"/>
          <w:tab w:val="left" w:pos="1440"/>
          <w:tab w:val="left" w:pos="2880"/>
        </w:tabs>
        <w:jc w:val="both"/>
        <w:rPr>
          <w:rFonts w:ascii="Times New Roman" w:hAnsi="Times New Roman" w:cs="Times New Roman"/>
        </w:rPr>
      </w:pPr>
    </w:p>
    <w:p w14:paraId="2A8FB494" w14:textId="29DF147D" w:rsidR="00692C63" w:rsidRDefault="00692C63">
      <w:pPr>
        <w:tabs>
          <w:tab w:val="left" w:pos="-1152"/>
          <w:tab w:val="left" w:pos="-720"/>
          <w:tab w:val="left" w:pos="-90"/>
          <w:tab w:val="left" w:pos="330"/>
          <w:tab w:val="left" w:pos="1080"/>
          <w:tab w:val="left" w:pos="1440"/>
          <w:tab w:val="left" w:pos="2880"/>
        </w:tabs>
        <w:ind w:left="1080" w:hanging="360"/>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t>In one sense, EY acted unethically. That is, it should have disclosed the nature of these relationships to MGR. In another sense, it is difficult to ascertain whether these relationships caused EY to act unethically. Specifically, was EY’s advice affected by its relationship with the landlord? Is this relationship the reason that EY’s cost-cutting suggestions did not go farther? These questions point out the importance of independence in fact and appearance, even when acting in a consulting capacity. Even if EY acted ethically, this relationship creates the appearance of impropriety.</w:t>
      </w:r>
    </w:p>
    <w:p w14:paraId="660F4D42"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7413BF5B" w14:textId="1F06528F" w:rsidR="00692C63" w:rsidRDefault="00692C63">
      <w:pPr>
        <w:tabs>
          <w:tab w:val="left" w:pos="-1152"/>
          <w:tab w:val="left" w:pos="-720"/>
          <w:tab w:val="left" w:pos="-90"/>
          <w:tab w:val="left" w:pos="330"/>
          <w:tab w:val="left" w:pos="1080"/>
          <w:tab w:val="left" w:pos="1440"/>
          <w:tab w:val="left" w:pos="2880"/>
        </w:tabs>
        <w:ind w:left="1080" w:hanging="360"/>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As mentioned in Part a, the relationship with Rouse could have caused EY to hesitate to suggest that the stores for which Rouse was the landlord be closed for fear of </w:t>
      </w:r>
      <w:r>
        <w:rPr>
          <w:rFonts w:ascii="Times New Roman" w:hAnsi="Times New Roman" w:cs="Times New Roman"/>
        </w:rPr>
        <w:lastRenderedPageBreak/>
        <w:t xml:space="preserve">losing business from Rouse. Its relationship with </w:t>
      </w:r>
      <w:proofErr w:type="spellStart"/>
      <w:r>
        <w:rPr>
          <w:rFonts w:ascii="Times New Roman" w:hAnsi="Times New Roman" w:cs="Times New Roman"/>
        </w:rPr>
        <w:t>Swidler</w:t>
      </w:r>
      <w:proofErr w:type="spellEnd"/>
      <w:r>
        <w:rPr>
          <w:rFonts w:ascii="Times New Roman" w:hAnsi="Times New Roman" w:cs="Times New Roman"/>
        </w:rPr>
        <w:t xml:space="preserve"> could have made EY feel that it could not lose the engagement under any circumstances, thereby possibly explaining its apparently lackadaisical attitude towards the engagement.</w:t>
      </w:r>
    </w:p>
    <w:p w14:paraId="34A0F2DB" w14:textId="77777777" w:rsidR="00692C63" w:rsidRDefault="00692C63">
      <w:pPr>
        <w:tabs>
          <w:tab w:val="left" w:pos="-1152"/>
          <w:tab w:val="left" w:pos="-720"/>
          <w:tab w:val="left" w:pos="-90"/>
          <w:tab w:val="left" w:pos="330"/>
          <w:tab w:val="left" w:pos="720"/>
          <w:tab w:val="left" w:pos="1080"/>
          <w:tab w:val="left" w:pos="1440"/>
          <w:tab w:val="left" w:pos="2880"/>
        </w:tabs>
        <w:ind w:left="720"/>
        <w:jc w:val="both"/>
        <w:rPr>
          <w:rFonts w:ascii="Times New Roman" w:hAnsi="Times New Roman" w:cs="Times New Roman"/>
        </w:rPr>
      </w:pPr>
    </w:p>
    <w:p w14:paraId="1D918B82" w14:textId="77777777" w:rsidR="00692C63" w:rsidRDefault="00692C63" w:rsidP="00C00F87">
      <w:pPr>
        <w:tabs>
          <w:tab w:val="left" w:pos="-1839"/>
          <w:tab w:val="left" w:pos="-1407"/>
          <w:tab w:val="left" w:pos="-687"/>
          <w:tab w:val="left" w:pos="-147"/>
          <w:tab w:val="left" w:pos="32"/>
          <w:tab w:val="left" w:pos="362"/>
          <w:tab w:val="left" w:pos="630"/>
          <w:tab w:val="left" w:pos="990"/>
          <w:tab w:val="left" w:pos="1260"/>
          <w:tab w:val="left" w:pos="1530"/>
          <w:tab w:val="left" w:pos="4592"/>
          <w:tab w:val="left" w:pos="5072"/>
          <w:tab w:val="left" w:pos="5792"/>
          <w:tab w:val="left" w:pos="6512"/>
          <w:tab w:val="left" w:pos="7232"/>
          <w:tab w:val="left" w:pos="7952"/>
          <w:tab w:val="left" w:pos="8672"/>
        </w:tabs>
        <w:jc w:val="both"/>
        <w:outlineLvl w:val="0"/>
        <w:rPr>
          <w:rFonts w:ascii="Times New Roman" w:hAnsi="Times New Roman" w:cs="Times New Roman"/>
          <w:b/>
          <w:bCs/>
          <w:sz w:val="28"/>
          <w:szCs w:val="28"/>
        </w:rPr>
      </w:pPr>
      <w:r>
        <w:rPr>
          <w:rFonts w:ascii="Times New Roman" w:hAnsi="Times New Roman" w:cs="Times New Roman"/>
          <w:b/>
          <w:bCs/>
          <w:sz w:val="28"/>
          <w:szCs w:val="28"/>
        </w:rPr>
        <w:t>Solutions to Internet Assignments</w:t>
      </w:r>
    </w:p>
    <w:p w14:paraId="73A1CCCB" w14:textId="77777777" w:rsidR="00692C63" w:rsidRDefault="00692C63">
      <w:pPr>
        <w:tabs>
          <w:tab w:val="left" w:pos="-1152"/>
          <w:tab w:val="left" w:pos="-720"/>
          <w:tab w:val="left" w:pos="-90"/>
          <w:tab w:val="left" w:pos="330"/>
          <w:tab w:val="left" w:pos="720"/>
          <w:tab w:val="left" w:pos="1080"/>
          <w:tab w:val="left" w:pos="1440"/>
          <w:tab w:val="left" w:pos="2880"/>
        </w:tabs>
        <w:ind w:left="1080" w:hanging="360"/>
        <w:jc w:val="both"/>
        <w:rPr>
          <w:rFonts w:ascii="Times New Roman" w:hAnsi="Times New Roman" w:cs="Times New Roman"/>
        </w:rPr>
      </w:pPr>
    </w:p>
    <w:p w14:paraId="213A8E65" w14:textId="77777777" w:rsidR="00692C63" w:rsidRDefault="00692C63" w:rsidP="00DD5E79">
      <w:pPr>
        <w:tabs>
          <w:tab w:val="left" w:pos="-1839"/>
          <w:tab w:val="left" w:pos="-1407"/>
          <w:tab w:val="left" w:pos="-687"/>
          <w:tab w:val="left" w:pos="-147"/>
          <w:tab w:val="left" w:pos="0"/>
          <w:tab w:val="left" w:pos="720"/>
          <w:tab w:val="left" w:pos="990"/>
          <w:tab w:val="left" w:pos="4592"/>
          <w:tab w:val="left" w:pos="5072"/>
          <w:tab w:val="left" w:pos="5792"/>
          <w:tab w:val="left" w:pos="6512"/>
          <w:tab w:val="left" w:pos="7232"/>
          <w:tab w:val="left" w:pos="7952"/>
          <w:tab w:val="left" w:pos="8672"/>
        </w:tabs>
        <w:ind w:left="720" w:hanging="720"/>
        <w:jc w:val="both"/>
      </w:pPr>
      <w:r>
        <w:rPr>
          <w:rFonts w:ascii="Times New Roman" w:hAnsi="Times New Roman" w:cs="Times New Roman"/>
          <w:b/>
          <w:bCs/>
        </w:rPr>
        <w:t>2-29</w:t>
      </w:r>
      <w:r>
        <w:rPr>
          <w:rFonts w:ascii="Times New Roman" w:hAnsi="Times New Roman" w:cs="Times New Roman"/>
          <w:b/>
          <w:bCs/>
        </w:rPr>
        <w:tab/>
      </w:r>
      <w:r>
        <w:rPr>
          <w:rFonts w:ascii="Times New Roman" w:hAnsi="Times New Roman" w:cs="Times New Roman"/>
        </w:rPr>
        <w:t>A search of the GAO’s homepage will identify recent audits conducted by this agency.</w:t>
      </w:r>
    </w:p>
    <w:p w14:paraId="5E757BE7"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b/>
          <w:bCs/>
        </w:rPr>
      </w:pPr>
    </w:p>
    <w:p w14:paraId="5C1F2422" w14:textId="7D88EEFF" w:rsidR="00692C63" w:rsidRPr="00C44C91"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b/>
          <w:bCs/>
        </w:rPr>
        <w:t xml:space="preserve">2-30    </w:t>
      </w:r>
      <w:r>
        <w:rPr>
          <w:rFonts w:ascii="Times New Roman" w:hAnsi="Times New Roman" w:cs="Times New Roman"/>
          <w:b/>
          <w:bCs/>
        </w:rPr>
        <w:tab/>
      </w:r>
      <w:r w:rsidRPr="00DD5E79">
        <w:rPr>
          <w:rFonts w:ascii="Times New Roman" w:hAnsi="Times New Roman" w:cs="Times New Roman"/>
        </w:rPr>
        <w:t>a.</w:t>
      </w:r>
      <w:r w:rsidR="00CC5CCF">
        <w:rPr>
          <w:rFonts w:ascii="Times New Roman" w:hAnsi="Times New Roman" w:cs="Times New Roman"/>
          <w:b/>
          <w:bCs/>
        </w:rPr>
        <w:t xml:space="preserve"> </w:t>
      </w:r>
      <w:r>
        <w:rPr>
          <w:rFonts w:ascii="Times New Roman" w:hAnsi="Times New Roman" w:cs="Times New Roman"/>
        </w:rPr>
        <w:t>According to its website, the AICPA’s mission is to “</w:t>
      </w:r>
      <w:r w:rsidRPr="00C44C91">
        <w:rPr>
          <w:rFonts w:ascii="Times New Roman" w:hAnsi="Times New Roman" w:cs="Times New Roman"/>
        </w:rPr>
        <w:t xml:space="preserve">provide members with the resources, information, and leadership that enable them to provide valuable services in the highest professional manner to benefit the public as well as employers and clients.” </w:t>
      </w:r>
    </w:p>
    <w:p w14:paraId="31BA16AD"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4B04BB05"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b. The SEC’s website states that its mission is “to </w:t>
      </w:r>
      <w:r w:rsidRPr="00C44C91">
        <w:rPr>
          <w:rFonts w:ascii="Times New Roman" w:hAnsi="Times New Roman" w:cs="Times New Roman"/>
        </w:rPr>
        <w:t>protect investors, maintain fair, orderly, and efficient markets, and facilitate capital formation.</w:t>
      </w:r>
      <w:r>
        <w:rPr>
          <w:rFonts w:ascii="Times New Roman" w:hAnsi="Times New Roman" w:cs="Times New Roman"/>
        </w:rPr>
        <w:t>” It goes on to emphasize that its purpose is to promote and sustain economic growth. The site also mentions that the SEC promotes the disclosure of important market information, maintains fair dealings, protects against fraud, and enforces its authority.</w:t>
      </w:r>
    </w:p>
    <w:p w14:paraId="0F87964C" w14:textId="0DA487C3"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5F9D8F2A"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c. During the 1920s, many people began investing heavily in the stock market without fully thinking about the risk that they were taking upon themselves. As a result of poor investment choices and unreliable information, the stock market crashed in 1929. In an attempt to restore confidence in the capital markets, Congress passed the </w:t>
      </w:r>
      <w:r w:rsidRPr="00815EEF">
        <w:rPr>
          <w:rFonts w:ascii="Times New Roman" w:hAnsi="Times New Roman" w:cs="Times New Roman"/>
        </w:rPr>
        <w:t xml:space="preserve">Securities Act of 1933. </w:t>
      </w:r>
      <w:r>
        <w:rPr>
          <w:rFonts w:ascii="Times New Roman" w:hAnsi="Times New Roman" w:cs="Times New Roman"/>
        </w:rPr>
        <w:t>One year l</w:t>
      </w:r>
      <w:r w:rsidRPr="00815EEF">
        <w:rPr>
          <w:rFonts w:ascii="Times New Roman" w:hAnsi="Times New Roman" w:cs="Times New Roman"/>
        </w:rPr>
        <w:t>ater, t</w:t>
      </w:r>
      <w:r>
        <w:rPr>
          <w:rFonts w:ascii="Times New Roman" w:hAnsi="Times New Roman" w:cs="Times New Roman"/>
        </w:rPr>
        <w:t xml:space="preserve">he SEC was created by the </w:t>
      </w:r>
      <w:r w:rsidRPr="00815EEF">
        <w:rPr>
          <w:rFonts w:ascii="Times New Roman" w:hAnsi="Times New Roman" w:cs="Times New Roman"/>
        </w:rPr>
        <w:t xml:space="preserve">Securities Exchange Act of 1934. </w:t>
      </w:r>
    </w:p>
    <w:p w14:paraId="3A8A28E2" w14:textId="77777777" w:rsidR="00692C63" w:rsidRPr="00C44C91"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 xml:space="preserve"> </w:t>
      </w:r>
    </w:p>
    <w:p w14:paraId="614F2BC8"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rPr>
        <w:t>d. The PCAOB’s website provides information on the Board’s organization, policies, and standards. It also indicates that the Board uses an expert advisory group to help the Board develop standards. Though many observers dispute this claim, the Board asserts that its standards are also developed in an open, public process to allow all parties of interest to comment. Section 103 of the Sarbanes-Oxley Act empowers the PCAOB to set auditing standards for audits of public companies</w:t>
      </w:r>
      <w:r w:rsidRPr="00B44F6C">
        <w:rPr>
          <w:rFonts w:ascii="Times New Roman" w:hAnsi="Times New Roman" w:cs="Times New Roman"/>
        </w:rPr>
        <w:t xml:space="preserve">. </w:t>
      </w:r>
    </w:p>
    <w:p w14:paraId="354F9503"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49146982"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4F6C">
        <w:rPr>
          <w:rFonts w:ascii="Times New Roman" w:hAnsi="Times New Roman" w:cs="Times New Roman"/>
        </w:rPr>
        <w:t xml:space="preserve">The Dodd-Frank Act amended the Sarbanes-Oxley Act </w:t>
      </w:r>
      <w:r>
        <w:rPr>
          <w:rFonts w:ascii="Times New Roman" w:hAnsi="Times New Roman" w:cs="Times New Roman"/>
        </w:rPr>
        <w:t>to give</w:t>
      </w:r>
      <w:r w:rsidRPr="00B44F6C">
        <w:rPr>
          <w:rFonts w:ascii="Times New Roman" w:hAnsi="Times New Roman" w:cs="Times New Roman"/>
        </w:rPr>
        <w:t xml:space="preserve"> the PCAOB the authority to establish auditing and related professional practice standards for audits of the financial statements and selected practices and procedures of broker-dealers. The Board's Office of the Chief Auditor is responsible for developing these standards.</w:t>
      </w:r>
    </w:p>
    <w:p w14:paraId="2F207CC4"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0C5F2B32"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e. The International Auditing Practices Committee (IAPC) was founded in 1978. During its first meeting, the group agreed to issue its publications as guidelines rather than standards. The IAPC’s initial work focused on three areas: object and scope of audits of financial statements, engagement letters, and general auditing guidelines. </w:t>
      </w:r>
      <w:r w:rsidRPr="00C54F52">
        <w:rPr>
          <w:rFonts w:ascii="Times New Roman" w:hAnsi="Times New Roman" w:cs="Times New Roman"/>
        </w:rPr>
        <w:t>During this initial meeting, the IAPC also agreed to respond to a request from the International Accounting Standards Committee (IASC) chairman and Governors of the Central Banks to develop guidance on inter-bank confirmations.</w:t>
      </w:r>
    </w:p>
    <w:p w14:paraId="3A08D549"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7FEB2D3A"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In 1988, the IAPC approved the release of </w:t>
      </w:r>
      <w:r>
        <w:rPr>
          <w:rFonts w:ascii="Times New Roman" w:hAnsi="Times New Roman" w:cs="Times New Roman"/>
          <w:i/>
          <w:iCs/>
        </w:rPr>
        <w:t>The Auditor’s Report on Financial Statements</w:t>
      </w:r>
      <w:r>
        <w:rPr>
          <w:rFonts w:ascii="Times New Roman" w:hAnsi="Times New Roman" w:cs="Times New Roman"/>
        </w:rPr>
        <w:t xml:space="preserve"> guidelines. It later developed final guidelines on three key subjects: related parties, going </w:t>
      </w:r>
      <w:r>
        <w:rPr>
          <w:rFonts w:ascii="Times New Roman" w:hAnsi="Times New Roman" w:cs="Times New Roman"/>
        </w:rPr>
        <w:lastRenderedPageBreak/>
        <w:t>concern, and management representations.</w:t>
      </w:r>
    </w:p>
    <w:p w14:paraId="7C3316DB"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4F00DB73"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In 1985, Chairman Justin Fryer called on the IAPC to act in the interests of the public. He also called on the IAPC to resolve differences in auditing standards where differences exist in different countries and to establish a single set of international standards. The IAPC recognized that a fundamental way to protect the public interest was to require the application of a core set of internationally recognized auditing and assurance standards.</w:t>
      </w:r>
    </w:p>
    <w:p w14:paraId="6EEFA969"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7B430ACA" w14:textId="77777777" w:rsidR="00692C63" w:rsidRPr="00655438"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IFAC was among the first organizations to refer to international auditing guidelines in its own financial statements. </w:t>
      </w:r>
      <w:r w:rsidRPr="00655438">
        <w:rPr>
          <w:rFonts w:ascii="Times New Roman" w:hAnsi="Times New Roman" w:cs="Times New Roman"/>
        </w:rPr>
        <w:t>In 1991</w:t>
      </w:r>
      <w:r>
        <w:rPr>
          <w:rFonts w:ascii="Times New Roman" w:hAnsi="Times New Roman" w:cs="Times New Roman"/>
        </w:rPr>
        <w:t>,</w:t>
      </w:r>
      <w:r w:rsidRPr="00655438">
        <w:rPr>
          <w:rFonts w:ascii="Times New Roman" w:hAnsi="Times New Roman" w:cs="Times New Roman"/>
        </w:rPr>
        <w:t xml:space="preserve"> the IAPC pro</w:t>
      </w:r>
      <w:r w:rsidRPr="00655438">
        <w:rPr>
          <w:rFonts w:ascii="Times New Roman" w:hAnsi="Times New Roman" w:cs="Times New Roman"/>
        </w:rPr>
        <w:softHyphen/>
        <w:t>posed to IFAC member bodies that the term “guidelines” be replaced with “stand</w:t>
      </w:r>
      <w:r w:rsidRPr="00655438">
        <w:rPr>
          <w:rFonts w:ascii="Times New Roman" w:hAnsi="Times New Roman" w:cs="Times New Roman"/>
        </w:rPr>
        <w:softHyphen/>
        <w:t>ards.” With that, International Standards on Auditing, or ISAs, were born.</w:t>
      </w:r>
    </w:p>
    <w:p w14:paraId="5601EC14"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22CAAF7B" w14:textId="77777777" w:rsidR="00692C63" w:rsidRDefault="00692C63" w:rsidP="004905F8">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In 2001, IAPC was renamed as the International Auditing and Assurance Standards Board (IAASB). The IAASB then embarked on its first joint project with a national standard setter, the AICPA, which resulted in the development of the suite of audit risk standards.</w:t>
      </w:r>
    </w:p>
    <w:p w14:paraId="54BAD0F5" w14:textId="7BF8FDE8"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1DEF2797"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In 2003, IFAC approved a series of reforms designed to strengthen the IAASB’s standard-setting processes so that it are properly responsible to the public interest. By 2007, the IAASB had become arguably the most transparent auditing standard setter in the world. </w:t>
      </w:r>
    </w:p>
    <w:p w14:paraId="7ACE847F"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5FBE08A0"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55438">
        <w:rPr>
          <w:rFonts w:ascii="Times New Roman" w:hAnsi="Times New Roman" w:cs="Times New Roman"/>
        </w:rPr>
        <w:t>To encourage greater use of its standards and facilitate transla</w:t>
      </w:r>
      <w:r w:rsidRPr="00655438">
        <w:rPr>
          <w:rFonts w:ascii="Times New Roman" w:hAnsi="Times New Roman" w:cs="Times New Roman"/>
        </w:rPr>
        <w:softHyphen/>
        <w:t>tion, in 2004 the IAASB launched a project designed to improve the clarity of its pro</w:t>
      </w:r>
      <w:r w:rsidRPr="00655438">
        <w:rPr>
          <w:rFonts w:ascii="Times New Roman" w:hAnsi="Times New Roman" w:cs="Times New Roman"/>
        </w:rPr>
        <w:softHyphen/>
        <w:t>nouncements</w:t>
      </w:r>
      <w:r>
        <w:rPr>
          <w:rFonts w:ascii="Times New Roman" w:hAnsi="Times New Roman" w:cs="Times New Roman"/>
        </w:rPr>
        <w:t>. It revised its drafting conventions to make the ISAs more readily understood. By the end of 2008, the IAASB had approved all final redrafted auditing standards. The IAASB is currently working on revising its standards for assurance engagements other than audits.</w:t>
      </w:r>
    </w:p>
    <w:p w14:paraId="185DD225"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62539E1F"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f. The IASB is the independent accounting standard-setting body of the IFRS Foundation. The IASB is composed </w:t>
      </w:r>
      <w:r w:rsidRPr="00E11711">
        <w:rPr>
          <w:rFonts w:ascii="Times New Roman" w:hAnsi="Times New Roman" w:cs="Times New Roman"/>
        </w:rPr>
        <w:t>of 16 experts</w:t>
      </w:r>
      <w:r>
        <w:rPr>
          <w:rFonts w:ascii="Times New Roman" w:hAnsi="Times New Roman" w:cs="Times New Roman"/>
        </w:rPr>
        <w:t xml:space="preserve"> with an appropriate mix of recent practical experience in setting accounting standards, in preparing, auditing, or using financial reports, and in accounting education. The IASB is advised by the IFRS Advisory Council which, along with the IASB, is overseen by the IFRS Foundation trustees. The IFRS Foundation is overseen by a monitoring board of public capital market authorities.</w:t>
      </w:r>
    </w:p>
    <w:p w14:paraId="3CE5EC72"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5BAC9B71"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 IFRS Foundation is a not-for-profit, private sector body that raises funds to support the operations of the IASB as an independent accounting standard setter. Mandatory levies are issued for listed and non-listed companies in a growing number of countries. The Foundation strives to ensure that its financial support is broad based.</w:t>
      </w:r>
    </w:p>
    <w:p w14:paraId="07D42994" w14:textId="77777777" w:rsidR="00692C63" w:rsidRDefault="00692C63" w:rsidP="004D492E">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714BB8FA" w14:textId="77777777" w:rsidR="00692C63" w:rsidRPr="006512C8"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512C8">
        <w:rPr>
          <w:rFonts w:ascii="Times New Roman" w:hAnsi="Times New Roman" w:cs="Times New Roman"/>
        </w:rPr>
        <w:t xml:space="preserve">The IASB is responsible for the development and publication of IFRSs and for approving Interpretations of IFRSs as developed by the IFRS Interpretations Committee. </w:t>
      </w:r>
      <w:r w:rsidRPr="00E26D72">
        <w:rPr>
          <w:rFonts w:ascii="Times New Roman" w:hAnsi="Times New Roman" w:cs="Times New Roman"/>
        </w:rPr>
        <w:t>All </w:t>
      </w:r>
      <w:r w:rsidRPr="00E26D72">
        <w:rPr>
          <w:rStyle w:val="Strong"/>
          <w:rFonts w:ascii="Times New Roman" w:hAnsi="Times New Roman" w:cs="Times New Roman"/>
          <w:b w:val="0"/>
          <w:bCs w:val="0"/>
          <w:bdr w:val="none" w:sz="0" w:space="0" w:color="auto" w:frame="1"/>
        </w:rPr>
        <w:t>meetings</w:t>
      </w:r>
      <w:r w:rsidRPr="00E26D72">
        <w:rPr>
          <w:rFonts w:ascii="Times New Roman" w:hAnsi="Times New Roman" w:cs="Times New Roman"/>
          <w:bdr w:val="none" w:sz="0" w:space="0" w:color="auto" w:frame="1"/>
        </w:rPr>
        <w:t xml:space="preserve"> </w:t>
      </w:r>
      <w:r w:rsidRPr="00E26D72">
        <w:rPr>
          <w:rFonts w:ascii="Times New Roman" w:hAnsi="Times New Roman" w:cs="Times New Roman"/>
        </w:rPr>
        <w:t xml:space="preserve">of the IASB are held in public and are broadcast through the internet. In fulfilling its standard-setting duties, the IASB follows a thorough, open and transparent process of which the publication of consultative documents, such as discussion papers </w:t>
      </w:r>
      <w:r w:rsidRPr="00E26D72">
        <w:rPr>
          <w:rFonts w:ascii="Times New Roman" w:hAnsi="Times New Roman" w:cs="Times New Roman"/>
        </w:rPr>
        <w:lastRenderedPageBreak/>
        <w:t>and exposure drafts for public comment is an important component. The IASB engages closely with stakeholders around the world, including investors, analysts, regulators, business leaders, accounting standard-setters</w:t>
      </w:r>
      <w:r>
        <w:rPr>
          <w:rFonts w:ascii="Times New Roman" w:hAnsi="Times New Roman" w:cs="Times New Roman"/>
        </w:rPr>
        <w:t>,</w:t>
      </w:r>
      <w:r w:rsidRPr="00E26D72">
        <w:rPr>
          <w:rFonts w:ascii="Times New Roman" w:hAnsi="Times New Roman" w:cs="Times New Roman"/>
        </w:rPr>
        <w:t xml:space="preserve"> and the accountancy profession.</w:t>
      </w:r>
    </w:p>
    <w:p w14:paraId="01044117" w14:textId="77777777" w:rsidR="00692C63" w:rsidRPr="006512C8"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p>
    <w:p w14:paraId="1B41C2FC" w14:textId="77777777" w:rsidR="00692C63"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 SEC has not yet reached a decision as to how, or even whether, the U.S. will adopt IFRS. Currently, the FASB is working to converge many of its standards with those of the IASB. For example, the FASB recently issued guidance on fair value measurement that is “largely identical” to guidance issued by the IASB. The FASB is currently working on converging its standards regarding revenue recognition, financial instruments, and lease accounting to be more in line with IFRS.</w:t>
      </w:r>
    </w:p>
    <w:p w14:paraId="44E1F6CB" w14:textId="77777777" w:rsidR="00692C63" w:rsidRPr="00B44F6C" w:rsidRDefault="00692C63" w:rsidP="00102BC5">
      <w:pPr>
        <w:tabs>
          <w:tab w:val="left" w:pos="-1152"/>
          <w:tab w:val="left" w:pos="-720"/>
          <w:tab w:val="left" w:pos="-90"/>
          <w:tab w:val="left" w:pos="90"/>
          <w:tab w:val="left" w:pos="330"/>
          <w:tab w:val="left" w:pos="1080"/>
          <w:tab w:val="left" w:pos="1440"/>
          <w:tab w:val="left" w:pos="2880"/>
        </w:tabs>
        <w:ind w:left="720" w:hanging="720"/>
        <w:jc w:val="both"/>
        <w:rPr>
          <w:rFonts w:ascii="Times New Roman" w:hAnsi="Times New Roman" w:cs="Times New Roman"/>
          <w:b/>
          <w:bCs/>
        </w:rPr>
      </w:pPr>
    </w:p>
    <w:sectPr w:rsidR="00692C63" w:rsidRPr="00B44F6C" w:rsidSect="00C11827">
      <w:headerReference w:type="default" r:id="rId8"/>
      <w:footerReference w:type="default" r:id="rId9"/>
      <w:endnotePr>
        <w:numFmt w:val="decimal"/>
      </w:endnotePr>
      <w:pgSz w:w="12240" w:h="15840" w:code="1"/>
      <w:pgMar w:top="1440" w:right="1440" w:bottom="1440" w:left="1440" w:header="720" w:footer="465"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8D4E5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BFFB1" w14:textId="77777777" w:rsidR="00F32B49" w:rsidRDefault="00F32B49">
      <w:r>
        <w:separator/>
      </w:r>
    </w:p>
  </w:endnote>
  <w:endnote w:type="continuationSeparator" w:id="0">
    <w:p w14:paraId="0DAC202D" w14:textId="77777777" w:rsidR="00F32B49" w:rsidRDefault="00F32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CJSU+Minion-Regular">
    <w:altName w:val="Minio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CB457" w14:textId="77777777" w:rsidR="00692C63" w:rsidRDefault="00692C63" w:rsidP="00B12AB8">
    <w:pPr>
      <w:jc w:val="center"/>
      <w:rPr>
        <w:rFonts w:ascii="Times New Roman" w:hAnsi="Times New Roman" w:cs="Times New Roman"/>
        <w:sz w:val="20"/>
        <w:szCs w:val="20"/>
      </w:rPr>
    </w:pPr>
    <w:r w:rsidRPr="00A80D87">
      <w:rPr>
        <w:rFonts w:ascii="Times New Roman" w:hAnsi="Times New Roman" w:cs="Times New Roman"/>
        <w:sz w:val="20"/>
        <w:szCs w:val="20"/>
      </w:rPr>
      <w:t>2-</w:t>
    </w:r>
    <w:r w:rsidRPr="00A80D87">
      <w:rPr>
        <w:rFonts w:ascii="Times New Roman" w:hAnsi="Times New Roman" w:cs="Times New Roman"/>
        <w:sz w:val="20"/>
        <w:szCs w:val="20"/>
      </w:rPr>
      <w:fldChar w:fldCharType="begin"/>
    </w:r>
    <w:r w:rsidRPr="00A80D87">
      <w:rPr>
        <w:rFonts w:ascii="Times New Roman" w:hAnsi="Times New Roman" w:cs="Times New Roman"/>
        <w:sz w:val="20"/>
        <w:szCs w:val="20"/>
      </w:rPr>
      <w:instrText xml:space="preserve">PAGE  </w:instrText>
    </w:r>
    <w:r w:rsidRPr="00A80D87">
      <w:rPr>
        <w:rFonts w:ascii="Times New Roman" w:hAnsi="Times New Roman" w:cs="Times New Roman"/>
        <w:sz w:val="20"/>
        <w:szCs w:val="20"/>
      </w:rPr>
      <w:fldChar w:fldCharType="separate"/>
    </w:r>
    <w:r w:rsidR="00BE0AF7">
      <w:rPr>
        <w:rFonts w:ascii="Times New Roman" w:hAnsi="Times New Roman" w:cs="Times New Roman"/>
        <w:noProof/>
        <w:sz w:val="20"/>
        <w:szCs w:val="20"/>
      </w:rPr>
      <w:t>1</w:t>
    </w:r>
    <w:r w:rsidRPr="00A80D87">
      <w:rPr>
        <w:rFonts w:ascii="Times New Roman" w:hAnsi="Times New Roman" w:cs="Times New Roman"/>
        <w:sz w:val="20"/>
        <w:szCs w:val="20"/>
      </w:rPr>
      <w:fldChar w:fldCharType="end"/>
    </w:r>
  </w:p>
  <w:p w14:paraId="4B4F23DA" w14:textId="5ADCF0EC" w:rsidR="00692C63" w:rsidRPr="003235A4" w:rsidRDefault="00692C63" w:rsidP="006674CB">
    <w:pPr>
      <w:jc w:val="center"/>
      <w:rPr>
        <w:sz w:val="16"/>
        <w:szCs w:val="16"/>
      </w:rPr>
    </w:pPr>
    <w:r w:rsidRPr="003235A4">
      <w:rPr>
        <w:sz w:val="16"/>
        <w:szCs w:val="16"/>
      </w:rPr>
      <w:t>© 201</w:t>
    </w:r>
    <w:r w:rsidR="000267D6">
      <w:rPr>
        <w:sz w:val="16"/>
        <w:szCs w:val="16"/>
      </w:rPr>
      <w:t>7</w:t>
    </w:r>
    <w:r w:rsidRPr="003235A4">
      <w:rPr>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p w14:paraId="361F4F84" w14:textId="77777777" w:rsidR="00692C63" w:rsidRDefault="00692C63" w:rsidP="00B12AB8">
    <w:pPr>
      <w:jc w:val="center"/>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61F9B" w14:textId="77777777" w:rsidR="00F32B49" w:rsidRDefault="00F32B49">
      <w:r>
        <w:separator/>
      </w:r>
    </w:p>
  </w:footnote>
  <w:footnote w:type="continuationSeparator" w:id="0">
    <w:p w14:paraId="66939CDE" w14:textId="77777777" w:rsidR="00F32B49" w:rsidRDefault="00F32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18774" w14:textId="77777777" w:rsidR="00692C63" w:rsidRPr="00A80D87" w:rsidRDefault="00692C63" w:rsidP="00A80D87">
    <w:pPr>
      <w:spacing w:line="240" w:lineRule="exact"/>
      <w:rPr>
        <w:rFonts w:ascii="Times New Roman" w:hAnsi="Times New Roman" w:cs="Times New Roman"/>
        <w:sz w:val="20"/>
        <w:szCs w:val="20"/>
      </w:rPr>
    </w:pPr>
    <w:r w:rsidRPr="00A80D87">
      <w:rPr>
        <w:rFonts w:ascii="Times New Roman" w:hAnsi="Times New Roman" w:cs="Times New Roman"/>
        <w:sz w:val="20"/>
        <w:szCs w:val="20"/>
      </w:rPr>
      <w:t>Chapter 02 - The Financial Statement Auditing Environment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E3520"/>
    <w:multiLevelType w:val="hybridMultilevel"/>
    <w:tmpl w:val="A32C7B0E"/>
    <w:lvl w:ilvl="0" w:tplc="6DD4E674">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08F554EB"/>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2">
    <w:nsid w:val="129F1DFD"/>
    <w:multiLevelType w:val="hybridMultilevel"/>
    <w:tmpl w:val="3D102094"/>
    <w:lvl w:ilvl="0" w:tplc="04090001">
      <w:start w:val="1"/>
      <w:numFmt w:val="bullet"/>
      <w:lvlText w:val=""/>
      <w:lvlJc w:val="left"/>
      <w:pPr>
        <w:tabs>
          <w:tab w:val="num" w:pos="3870"/>
        </w:tabs>
        <w:ind w:left="3870" w:hanging="360"/>
      </w:pPr>
      <w:rPr>
        <w:rFonts w:ascii="Symbol" w:hAnsi="Symbol" w:cs="Symbol" w:hint="default"/>
      </w:rPr>
    </w:lvl>
    <w:lvl w:ilvl="1" w:tplc="04090003">
      <w:start w:val="1"/>
      <w:numFmt w:val="bullet"/>
      <w:lvlText w:val="o"/>
      <w:lvlJc w:val="left"/>
      <w:pPr>
        <w:tabs>
          <w:tab w:val="num" w:pos="4590"/>
        </w:tabs>
        <w:ind w:left="4590" w:hanging="360"/>
      </w:pPr>
      <w:rPr>
        <w:rFonts w:ascii="Courier New" w:hAnsi="Courier New" w:cs="Courier New" w:hint="default"/>
      </w:rPr>
    </w:lvl>
    <w:lvl w:ilvl="2" w:tplc="04090005">
      <w:start w:val="1"/>
      <w:numFmt w:val="bullet"/>
      <w:lvlText w:val=""/>
      <w:lvlJc w:val="left"/>
      <w:pPr>
        <w:tabs>
          <w:tab w:val="num" w:pos="5310"/>
        </w:tabs>
        <w:ind w:left="5310" w:hanging="360"/>
      </w:pPr>
      <w:rPr>
        <w:rFonts w:ascii="Wingdings" w:hAnsi="Wingdings" w:cs="Wingdings" w:hint="default"/>
      </w:rPr>
    </w:lvl>
    <w:lvl w:ilvl="3" w:tplc="04090001">
      <w:start w:val="1"/>
      <w:numFmt w:val="bullet"/>
      <w:lvlText w:val=""/>
      <w:lvlJc w:val="left"/>
      <w:pPr>
        <w:tabs>
          <w:tab w:val="num" w:pos="6030"/>
        </w:tabs>
        <w:ind w:left="6030" w:hanging="360"/>
      </w:pPr>
      <w:rPr>
        <w:rFonts w:ascii="Symbol" w:hAnsi="Symbol" w:cs="Symbol" w:hint="default"/>
      </w:rPr>
    </w:lvl>
    <w:lvl w:ilvl="4" w:tplc="04090003">
      <w:start w:val="1"/>
      <w:numFmt w:val="bullet"/>
      <w:lvlText w:val="o"/>
      <w:lvlJc w:val="left"/>
      <w:pPr>
        <w:tabs>
          <w:tab w:val="num" w:pos="6750"/>
        </w:tabs>
        <w:ind w:left="6750" w:hanging="360"/>
      </w:pPr>
      <w:rPr>
        <w:rFonts w:ascii="Courier New" w:hAnsi="Courier New" w:cs="Courier New" w:hint="default"/>
      </w:rPr>
    </w:lvl>
    <w:lvl w:ilvl="5" w:tplc="04090005">
      <w:start w:val="1"/>
      <w:numFmt w:val="bullet"/>
      <w:lvlText w:val=""/>
      <w:lvlJc w:val="left"/>
      <w:pPr>
        <w:tabs>
          <w:tab w:val="num" w:pos="7470"/>
        </w:tabs>
        <w:ind w:left="7470" w:hanging="360"/>
      </w:pPr>
      <w:rPr>
        <w:rFonts w:ascii="Wingdings" w:hAnsi="Wingdings" w:cs="Wingdings" w:hint="default"/>
      </w:rPr>
    </w:lvl>
    <w:lvl w:ilvl="6" w:tplc="04090001">
      <w:start w:val="1"/>
      <w:numFmt w:val="bullet"/>
      <w:lvlText w:val=""/>
      <w:lvlJc w:val="left"/>
      <w:pPr>
        <w:tabs>
          <w:tab w:val="num" w:pos="8190"/>
        </w:tabs>
        <w:ind w:left="8190" w:hanging="360"/>
      </w:pPr>
      <w:rPr>
        <w:rFonts w:ascii="Symbol" w:hAnsi="Symbol" w:cs="Symbol" w:hint="default"/>
      </w:rPr>
    </w:lvl>
    <w:lvl w:ilvl="7" w:tplc="04090003">
      <w:start w:val="1"/>
      <w:numFmt w:val="bullet"/>
      <w:lvlText w:val="o"/>
      <w:lvlJc w:val="left"/>
      <w:pPr>
        <w:tabs>
          <w:tab w:val="num" w:pos="8910"/>
        </w:tabs>
        <w:ind w:left="8910" w:hanging="360"/>
      </w:pPr>
      <w:rPr>
        <w:rFonts w:ascii="Courier New" w:hAnsi="Courier New" w:cs="Courier New" w:hint="default"/>
      </w:rPr>
    </w:lvl>
    <w:lvl w:ilvl="8" w:tplc="04090005">
      <w:start w:val="1"/>
      <w:numFmt w:val="bullet"/>
      <w:lvlText w:val=""/>
      <w:lvlJc w:val="left"/>
      <w:pPr>
        <w:tabs>
          <w:tab w:val="num" w:pos="9630"/>
        </w:tabs>
        <w:ind w:left="9630" w:hanging="360"/>
      </w:pPr>
      <w:rPr>
        <w:rFonts w:ascii="Wingdings" w:hAnsi="Wingdings" w:cs="Wingdings" w:hint="default"/>
      </w:rPr>
    </w:lvl>
  </w:abstractNum>
  <w:abstractNum w:abstractNumId="3">
    <w:nsid w:val="16C53BA6"/>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4">
    <w:nsid w:val="1F5C52DA"/>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5">
    <w:nsid w:val="2B227959"/>
    <w:multiLevelType w:val="multilevel"/>
    <w:tmpl w:val="CDCA4DA8"/>
    <w:lvl w:ilvl="0">
      <w:start w:val="2"/>
      <w:numFmt w:val="decimal"/>
      <w:lvlText w:val="%1"/>
      <w:lvlJc w:val="left"/>
      <w:pPr>
        <w:tabs>
          <w:tab w:val="num" w:pos="435"/>
        </w:tabs>
        <w:ind w:left="435" w:hanging="435"/>
      </w:pPr>
      <w:rPr>
        <w:rFonts w:hint="default"/>
        <w:b/>
        <w:bCs/>
      </w:rPr>
    </w:lvl>
    <w:lvl w:ilvl="1">
      <w:start w:val="12"/>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6">
    <w:nsid w:val="327979BA"/>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7">
    <w:nsid w:val="3C013515"/>
    <w:multiLevelType w:val="multilevel"/>
    <w:tmpl w:val="CDCA4DA8"/>
    <w:lvl w:ilvl="0">
      <w:start w:val="2"/>
      <w:numFmt w:val="decimal"/>
      <w:lvlText w:val="%1"/>
      <w:lvlJc w:val="left"/>
      <w:pPr>
        <w:tabs>
          <w:tab w:val="num" w:pos="435"/>
        </w:tabs>
        <w:ind w:left="435" w:hanging="435"/>
      </w:pPr>
      <w:rPr>
        <w:rFonts w:hint="default"/>
        <w:b/>
        <w:bCs/>
      </w:rPr>
    </w:lvl>
    <w:lvl w:ilvl="1">
      <w:start w:val="12"/>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8">
    <w:nsid w:val="42893542"/>
    <w:multiLevelType w:val="multilevel"/>
    <w:tmpl w:val="CDCA4DA8"/>
    <w:lvl w:ilvl="0">
      <w:start w:val="2"/>
      <w:numFmt w:val="decimal"/>
      <w:lvlText w:val="%1"/>
      <w:lvlJc w:val="left"/>
      <w:pPr>
        <w:tabs>
          <w:tab w:val="num" w:pos="435"/>
        </w:tabs>
        <w:ind w:left="435" w:hanging="435"/>
      </w:pPr>
      <w:rPr>
        <w:rFonts w:hint="default"/>
        <w:b/>
        <w:bCs/>
      </w:rPr>
    </w:lvl>
    <w:lvl w:ilvl="1">
      <w:start w:val="12"/>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9">
    <w:nsid w:val="4BC57C5B"/>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10">
    <w:nsid w:val="56041C8B"/>
    <w:multiLevelType w:val="multilevel"/>
    <w:tmpl w:val="6DF24074"/>
    <w:lvl w:ilvl="0">
      <w:start w:val="2"/>
      <w:numFmt w:val="decimal"/>
      <w:lvlText w:val="%1"/>
      <w:lvlJc w:val="left"/>
      <w:pPr>
        <w:tabs>
          <w:tab w:val="num" w:pos="630"/>
        </w:tabs>
        <w:ind w:left="630" w:hanging="630"/>
      </w:pPr>
      <w:rPr>
        <w:rFonts w:hint="default"/>
        <w:b/>
        <w:bCs/>
      </w:rPr>
    </w:lvl>
    <w:lvl w:ilvl="1">
      <w:start w:val="10"/>
      <w:numFmt w:val="decimal"/>
      <w:lvlText w:val="%1-%2"/>
      <w:lvlJc w:val="left"/>
      <w:pPr>
        <w:tabs>
          <w:tab w:val="num" w:pos="630"/>
        </w:tabs>
        <w:ind w:left="630" w:hanging="63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1">
    <w:nsid w:val="59AD1511"/>
    <w:multiLevelType w:val="multilevel"/>
    <w:tmpl w:val="A288AA9E"/>
    <w:lvl w:ilvl="0">
      <w:start w:val="2"/>
      <w:numFmt w:val="decimal"/>
      <w:lvlText w:val="%1"/>
      <w:lvlJc w:val="left"/>
      <w:pPr>
        <w:tabs>
          <w:tab w:val="num" w:pos="630"/>
        </w:tabs>
        <w:ind w:left="630" w:hanging="630"/>
      </w:pPr>
      <w:rPr>
        <w:rFonts w:hint="default"/>
        <w:b/>
        <w:bCs/>
      </w:rPr>
    </w:lvl>
    <w:lvl w:ilvl="1">
      <w:start w:val="13"/>
      <w:numFmt w:val="decimal"/>
      <w:lvlText w:val="%1-%2"/>
      <w:lvlJc w:val="left"/>
      <w:pPr>
        <w:tabs>
          <w:tab w:val="num" w:pos="630"/>
        </w:tabs>
        <w:ind w:left="630" w:hanging="63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2">
    <w:nsid w:val="61F706C8"/>
    <w:multiLevelType w:val="hybridMultilevel"/>
    <w:tmpl w:val="25B88016"/>
    <w:lvl w:ilvl="0" w:tplc="04090019">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72D36392"/>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14">
    <w:nsid w:val="7D211C0B"/>
    <w:multiLevelType w:val="hybridMultilevel"/>
    <w:tmpl w:val="2D1CF418"/>
    <w:lvl w:ilvl="0" w:tplc="04090001">
      <w:start w:val="1"/>
      <w:numFmt w:val="bullet"/>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abstractNumId w:val="9"/>
  </w:num>
  <w:num w:numId="2">
    <w:abstractNumId w:val="1"/>
  </w:num>
  <w:num w:numId="3">
    <w:abstractNumId w:val="13"/>
  </w:num>
  <w:num w:numId="4">
    <w:abstractNumId w:val="6"/>
  </w:num>
  <w:num w:numId="5">
    <w:abstractNumId w:val="3"/>
  </w:num>
  <w:num w:numId="6">
    <w:abstractNumId w:val="4"/>
  </w:num>
  <w:num w:numId="7">
    <w:abstractNumId w:val="2"/>
  </w:num>
  <w:num w:numId="8">
    <w:abstractNumId w:val="12"/>
  </w:num>
  <w:num w:numId="9">
    <w:abstractNumId w:val="14"/>
  </w:num>
  <w:num w:numId="10">
    <w:abstractNumId w:val="11"/>
  </w:num>
  <w:num w:numId="11">
    <w:abstractNumId w:val="10"/>
  </w:num>
  <w:num w:numId="12">
    <w:abstractNumId w:val="8"/>
  </w:num>
  <w:num w:numId="13">
    <w:abstractNumId w:val="7"/>
  </w:num>
  <w:num w:numId="14">
    <w:abstractNumId w:val="5"/>
  </w:num>
  <w:num w:numId="1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ott Jackson">
    <w15:presenceInfo w15:providerId="AD" w15:userId="S-1-5-21-372416507-3140574786-2943197521-735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BC5"/>
    <w:rsid w:val="00004706"/>
    <w:rsid w:val="00006773"/>
    <w:rsid w:val="00017105"/>
    <w:rsid w:val="000201FB"/>
    <w:rsid w:val="000267D6"/>
    <w:rsid w:val="000725FE"/>
    <w:rsid w:val="00076F58"/>
    <w:rsid w:val="00082343"/>
    <w:rsid w:val="000D2066"/>
    <w:rsid w:val="00102BC5"/>
    <w:rsid w:val="001047B2"/>
    <w:rsid w:val="00127D58"/>
    <w:rsid w:val="00141064"/>
    <w:rsid w:val="001417D4"/>
    <w:rsid w:val="00142619"/>
    <w:rsid w:val="00151355"/>
    <w:rsid w:val="001665A3"/>
    <w:rsid w:val="001859C4"/>
    <w:rsid w:val="0018787B"/>
    <w:rsid w:val="001B33A0"/>
    <w:rsid w:val="001C37CC"/>
    <w:rsid w:val="001D4028"/>
    <w:rsid w:val="001D6D85"/>
    <w:rsid w:val="002106FB"/>
    <w:rsid w:val="00224C28"/>
    <w:rsid w:val="00225690"/>
    <w:rsid w:val="00226A01"/>
    <w:rsid w:val="00240C63"/>
    <w:rsid w:val="00262EF0"/>
    <w:rsid w:val="002672E2"/>
    <w:rsid w:val="00282EF3"/>
    <w:rsid w:val="00293CFE"/>
    <w:rsid w:val="002B47BF"/>
    <w:rsid w:val="002B4A48"/>
    <w:rsid w:val="002C2356"/>
    <w:rsid w:val="002C43F8"/>
    <w:rsid w:val="002D1DE1"/>
    <w:rsid w:val="002D2964"/>
    <w:rsid w:val="002E3983"/>
    <w:rsid w:val="00301069"/>
    <w:rsid w:val="003235A4"/>
    <w:rsid w:val="00330FC3"/>
    <w:rsid w:val="00336F41"/>
    <w:rsid w:val="00341733"/>
    <w:rsid w:val="0035355A"/>
    <w:rsid w:val="00356D0D"/>
    <w:rsid w:val="0035795C"/>
    <w:rsid w:val="003877AE"/>
    <w:rsid w:val="003A5663"/>
    <w:rsid w:val="003B5A9F"/>
    <w:rsid w:val="003E645F"/>
    <w:rsid w:val="003F48E1"/>
    <w:rsid w:val="00402904"/>
    <w:rsid w:val="00417553"/>
    <w:rsid w:val="00432994"/>
    <w:rsid w:val="004451AB"/>
    <w:rsid w:val="0044781F"/>
    <w:rsid w:val="00450C25"/>
    <w:rsid w:val="00473C92"/>
    <w:rsid w:val="004905F8"/>
    <w:rsid w:val="00493292"/>
    <w:rsid w:val="004C5354"/>
    <w:rsid w:val="004D492E"/>
    <w:rsid w:val="0050254C"/>
    <w:rsid w:val="005027EB"/>
    <w:rsid w:val="00521509"/>
    <w:rsid w:val="005447C8"/>
    <w:rsid w:val="00544CDD"/>
    <w:rsid w:val="00565540"/>
    <w:rsid w:val="00565D5E"/>
    <w:rsid w:val="00592F4E"/>
    <w:rsid w:val="005C2A9C"/>
    <w:rsid w:val="005D2DC2"/>
    <w:rsid w:val="006067B9"/>
    <w:rsid w:val="0061174B"/>
    <w:rsid w:val="00626EED"/>
    <w:rsid w:val="006512C8"/>
    <w:rsid w:val="00655438"/>
    <w:rsid w:val="006610CD"/>
    <w:rsid w:val="00666108"/>
    <w:rsid w:val="006674CB"/>
    <w:rsid w:val="006856DE"/>
    <w:rsid w:val="00690F7A"/>
    <w:rsid w:val="00692C63"/>
    <w:rsid w:val="00695626"/>
    <w:rsid w:val="006A5E38"/>
    <w:rsid w:val="006B6CF5"/>
    <w:rsid w:val="006C2BC4"/>
    <w:rsid w:val="006C7410"/>
    <w:rsid w:val="00710400"/>
    <w:rsid w:val="0073249E"/>
    <w:rsid w:val="0073272C"/>
    <w:rsid w:val="00744A22"/>
    <w:rsid w:val="00752E9E"/>
    <w:rsid w:val="007836D8"/>
    <w:rsid w:val="00786796"/>
    <w:rsid w:val="007A002E"/>
    <w:rsid w:val="007A5D86"/>
    <w:rsid w:val="007B1052"/>
    <w:rsid w:val="007B5718"/>
    <w:rsid w:val="007D09DC"/>
    <w:rsid w:val="007E16B4"/>
    <w:rsid w:val="00800607"/>
    <w:rsid w:val="00811AC8"/>
    <w:rsid w:val="00815EEF"/>
    <w:rsid w:val="00817FA7"/>
    <w:rsid w:val="00846360"/>
    <w:rsid w:val="008475B5"/>
    <w:rsid w:val="00861744"/>
    <w:rsid w:val="00895A00"/>
    <w:rsid w:val="008F59F8"/>
    <w:rsid w:val="00904F9B"/>
    <w:rsid w:val="00935468"/>
    <w:rsid w:val="0096213D"/>
    <w:rsid w:val="009C3C90"/>
    <w:rsid w:val="00A03106"/>
    <w:rsid w:val="00A37D46"/>
    <w:rsid w:val="00A80D87"/>
    <w:rsid w:val="00A86CAA"/>
    <w:rsid w:val="00A92DA2"/>
    <w:rsid w:val="00A96DE5"/>
    <w:rsid w:val="00AE50B1"/>
    <w:rsid w:val="00B12AB8"/>
    <w:rsid w:val="00B30097"/>
    <w:rsid w:val="00B3716B"/>
    <w:rsid w:val="00B44F6C"/>
    <w:rsid w:val="00B61E7A"/>
    <w:rsid w:val="00B6382B"/>
    <w:rsid w:val="00B71533"/>
    <w:rsid w:val="00B86B63"/>
    <w:rsid w:val="00B97B64"/>
    <w:rsid w:val="00BA0382"/>
    <w:rsid w:val="00BB03F0"/>
    <w:rsid w:val="00BB1AF2"/>
    <w:rsid w:val="00BC7A53"/>
    <w:rsid w:val="00BE0AF7"/>
    <w:rsid w:val="00BE14A8"/>
    <w:rsid w:val="00BE47CE"/>
    <w:rsid w:val="00C00F87"/>
    <w:rsid w:val="00C11827"/>
    <w:rsid w:val="00C44C91"/>
    <w:rsid w:val="00C53907"/>
    <w:rsid w:val="00C54F52"/>
    <w:rsid w:val="00C731DE"/>
    <w:rsid w:val="00C76518"/>
    <w:rsid w:val="00C94978"/>
    <w:rsid w:val="00CB520C"/>
    <w:rsid w:val="00CC5CCF"/>
    <w:rsid w:val="00D04B37"/>
    <w:rsid w:val="00D31D80"/>
    <w:rsid w:val="00D53029"/>
    <w:rsid w:val="00D7048B"/>
    <w:rsid w:val="00D81824"/>
    <w:rsid w:val="00D8411A"/>
    <w:rsid w:val="00D904BA"/>
    <w:rsid w:val="00DA3D57"/>
    <w:rsid w:val="00DC12BF"/>
    <w:rsid w:val="00DC5A2B"/>
    <w:rsid w:val="00DD5E79"/>
    <w:rsid w:val="00E073F8"/>
    <w:rsid w:val="00E11711"/>
    <w:rsid w:val="00E13EE6"/>
    <w:rsid w:val="00E1706A"/>
    <w:rsid w:val="00E26D72"/>
    <w:rsid w:val="00E35451"/>
    <w:rsid w:val="00E41001"/>
    <w:rsid w:val="00E804A5"/>
    <w:rsid w:val="00E97B4F"/>
    <w:rsid w:val="00EA02C6"/>
    <w:rsid w:val="00EB4DA7"/>
    <w:rsid w:val="00EC30AC"/>
    <w:rsid w:val="00EE4171"/>
    <w:rsid w:val="00F02F07"/>
    <w:rsid w:val="00F17FF0"/>
    <w:rsid w:val="00F22921"/>
    <w:rsid w:val="00F32B49"/>
    <w:rsid w:val="00F33CE1"/>
    <w:rsid w:val="00F41F33"/>
    <w:rsid w:val="00F624A2"/>
    <w:rsid w:val="00F763B5"/>
    <w:rsid w:val="00F863B8"/>
    <w:rsid w:val="00F96E71"/>
    <w:rsid w:val="00FC0949"/>
    <w:rsid w:val="00FC65FE"/>
    <w:rsid w:val="00FC7547"/>
    <w:rsid w:val="00FD1174"/>
    <w:rsid w:val="00FE399B"/>
    <w:rsid w:val="00FE5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675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5FE"/>
    <w:pPr>
      <w:widowControl w:val="0"/>
    </w:pPr>
    <w:rPr>
      <w:rFonts w:ascii="Baskerville Old Face" w:hAnsi="Baskerville Old Face" w:cs="Baskerville Old Fac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uiPriority w:val="99"/>
    <w:rsid w:val="00FC65FE"/>
  </w:style>
  <w:style w:type="paragraph" w:styleId="BodyTextIndent2">
    <w:name w:val="Body Text Indent 2"/>
    <w:basedOn w:val="Normal"/>
    <w:link w:val="BodyTextIndent2Char"/>
    <w:uiPriority w:val="99"/>
    <w:rsid w:val="00FC65FE"/>
    <w:pPr>
      <w:tabs>
        <w:tab w:val="left" w:pos="-1152"/>
        <w:tab w:val="left" w:pos="-720"/>
        <w:tab w:val="left" w:pos="0"/>
        <w:tab w:val="left" w:pos="720"/>
        <w:tab w:val="left" w:pos="990"/>
        <w:tab w:val="left" w:pos="2880"/>
        <w:tab w:val="left" w:pos="3240"/>
        <w:tab w:val="left" w:pos="4320"/>
      </w:tabs>
      <w:ind w:left="990" w:hanging="270"/>
      <w:jc w:val="both"/>
    </w:pPr>
  </w:style>
  <w:style w:type="character" w:customStyle="1" w:styleId="BodyTextIndent2Char">
    <w:name w:val="Body Text Indent 2 Char"/>
    <w:link w:val="BodyTextIndent2"/>
    <w:uiPriority w:val="99"/>
    <w:semiHidden/>
    <w:locked/>
    <w:rPr>
      <w:rFonts w:ascii="Baskerville Old Face" w:hAnsi="Baskerville Old Face" w:cs="Baskerville Old Face"/>
      <w:sz w:val="24"/>
      <w:szCs w:val="24"/>
    </w:rPr>
  </w:style>
  <w:style w:type="paragraph" w:styleId="BalloonText">
    <w:name w:val="Balloon Text"/>
    <w:basedOn w:val="Normal"/>
    <w:link w:val="BalloonTextChar"/>
    <w:uiPriority w:val="99"/>
    <w:semiHidden/>
    <w:rsid w:val="00FC65FE"/>
    <w:rPr>
      <w:rFonts w:ascii="Tahoma" w:hAnsi="Tahoma" w:cs="Tahoma"/>
      <w:sz w:val="16"/>
      <w:szCs w:val="16"/>
    </w:rPr>
  </w:style>
  <w:style w:type="character" w:customStyle="1" w:styleId="BalloonTextChar">
    <w:name w:val="Balloon Text Char"/>
    <w:link w:val="BalloonText"/>
    <w:uiPriority w:val="99"/>
    <w:semiHidden/>
    <w:locked/>
    <w:rPr>
      <w:sz w:val="2"/>
      <w:szCs w:val="2"/>
    </w:rPr>
  </w:style>
  <w:style w:type="paragraph" w:styleId="Header">
    <w:name w:val="header"/>
    <w:basedOn w:val="Normal"/>
    <w:link w:val="HeaderChar"/>
    <w:uiPriority w:val="99"/>
    <w:rsid w:val="00FC65FE"/>
    <w:pPr>
      <w:tabs>
        <w:tab w:val="center" w:pos="4320"/>
        <w:tab w:val="right" w:pos="8640"/>
      </w:tabs>
    </w:pPr>
  </w:style>
  <w:style w:type="character" w:customStyle="1" w:styleId="HeaderChar">
    <w:name w:val="Header Char"/>
    <w:link w:val="Header"/>
    <w:uiPriority w:val="99"/>
    <w:semiHidden/>
    <w:locked/>
    <w:rPr>
      <w:rFonts w:ascii="Baskerville Old Face" w:hAnsi="Baskerville Old Face" w:cs="Baskerville Old Face"/>
      <w:sz w:val="24"/>
      <w:szCs w:val="24"/>
    </w:rPr>
  </w:style>
  <w:style w:type="paragraph" w:styleId="Footer">
    <w:name w:val="footer"/>
    <w:basedOn w:val="Normal"/>
    <w:link w:val="FooterChar"/>
    <w:uiPriority w:val="99"/>
    <w:rsid w:val="00FC65FE"/>
    <w:pPr>
      <w:tabs>
        <w:tab w:val="center" w:pos="4320"/>
        <w:tab w:val="right" w:pos="8640"/>
      </w:tabs>
    </w:pPr>
  </w:style>
  <w:style w:type="character" w:customStyle="1" w:styleId="FooterChar">
    <w:name w:val="Footer Char"/>
    <w:link w:val="Footer"/>
    <w:uiPriority w:val="99"/>
    <w:semiHidden/>
    <w:locked/>
    <w:rPr>
      <w:rFonts w:ascii="Baskerville Old Face" w:hAnsi="Baskerville Old Face" w:cs="Baskerville Old Face"/>
      <w:sz w:val="24"/>
      <w:szCs w:val="24"/>
    </w:rPr>
  </w:style>
  <w:style w:type="character" w:styleId="PageNumber">
    <w:name w:val="page number"/>
    <w:basedOn w:val="DefaultParagraphFont"/>
    <w:uiPriority w:val="99"/>
    <w:rsid w:val="00FC65FE"/>
  </w:style>
  <w:style w:type="paragraph" w:styleId="Title">
    <w:name w:val="Title"/>
    <w:basedOn w:val="Normal"/>
    <w:link w:val="TitleChar"/>
    <w:uiPriority w:val="99"/>
    <w:qFormat/>
    <w:rsid w:val="00FC65FE"/>
    <w:pPr>
      <w:tabs>
        <w:tab w:val="center" w:pos="4680"/>
      </w:tabs>
      <w:ind w:left="-720"/>
      <w:jc w:val="center"/>
    </w:pPr>
    <w:rPr>
      <w:b/>
      <w:bCs/>
      <w:sz w:val="32"/>
      <w:szCs w:val="32"/>
    </w:rPr>
  </w:style>
  <w:style w:type="character" w:customStyle="1" w:styleId="TitleChar">
    <w:name w:val="Title Char"/>
    <w:link w:val="Title"/>
    <w:uiPriority w:val="99"/>
    <w:locked/>
    <w:rPr>
      <w:rFonts w:ascii="Cambria" w:hAnsi="Cambria" w:cs="Cambria"/>
      <w:b/>
      <w:bCs/>
      <w:kern w:val="28"/>
      <w:sz w:val="32"/>
      <w:szCs w:val="32"/>
    </w:rPr>
  </w:style>
  <w:style w:type="character" w:styleId="CommentReference">
    <w:name w:val="annotation reference"/>
    <w:uiPriority w:val="99"/>
    <w:semiHidden/>
    <w:rsid w:val="00C76518"/>
    <w:rPr>
      <w:sz w:val="16"/>
      <w:szCs w:val="16"/>
    </w:rPr>
  </w:style>
  <w:style w:type="paragraph" w:styleId="CommentText">
    <w:name w:val="annotation text"/>
    <w:basedOn w:val="Normal"/>
    <w:link w:val="CommentTextChar"/>
    <w:uiPriority w:val="99"/>
    <w:semiHidden/>
    <w:rsid w:val="00C76518"/>
    <w:rPr>
      <w:sz w:val="20"/>
      <w:szCs w:val="20"/>
    </w:rPr>
  </w:style>
  <w:style w:type="character" w:customStyle="1" w:styleId="CommentTextChar">
    <w:name w:val="Comment Text Char"/>
    <w:link w:val="CommentText"/>
    <w:uiPriority w:val="99"/>
    <w:locked/>
    <w:rsid w:val="00C76518"/>
    <w:rPr>
      <w:rFonts w:ascii="Baskerville Old Face" w:hAnsi="Baskerville Old Face" w:cs="Baskerville Old Face"/>
      <w:snapToGrid w:val="0"/>
    </w:rPr>
  </w:style>
  <w:style w:type="paragraph" w:styleId="CommentSubject">
    <w:name w:val="annotation subject"/>
    <w:basedOn w:val="CommentText"/>
    <w:next w:val="CommentText"/>
    <w:link w:val="CommentSubjectChar"/>
    <w:uiPriority w:val="99"/>
    <w:semiHidden/>
    <w:rsid w:val="00C76518"/>
    <w:rPr>
      <w:b/>
      <w:bCs/>
    </w:rPr>
  </w:style>
  <w:style w:type="character" w:customStyle="1" w:styleId="CommentSubjectChar">
    <w:name w:val="Comment Subject Char"/>
    <w:link w:val="CommentSubject"/>
    <w:uiPriority w:val="99"/>
    <w:locked/>
    <w:rsid w:val="00C76518"/>
    <w:rPr>
      <w:rFonts w:ascii="Baskerville Old Face" w:hAnsi="Baskerville Old Face" w:cs="Baskerville Old Face"/>
      <w:b/>
      <w:bCs/>
      <w:snapToGrid w:val="0"/>
    </w:rPr>
  </w:style>
  <w:style w:type="character" w:customStyle="1" w:styleId="Normal1">
    <w:name w:val="Normal1"/>
    <w:uiPriority w:val="99"/>
    <w:rsid w:val="00C44C91"/>
  </w:style>
  <w:style w:type="paragraph" w:styleId="DocumentMap">
    <w:name w:val="Document Map"/>
    <w:basedOn w:val="Normal"/>
    <w:link w:val="DocumentMapChar"/>
    <w:uiPriority w:val="99"/>
    <w:semiHidden/>
    <w:rsid w:val="00C00F87"/>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sz w:val="2"/>
      <w:szCs w:val="2"/>
    </w:rPr>
  </w:style>
  <w:style w:type="table" w:styleId="TableGrid">
    <w:name w:val="Table Grid"/>
    <w:basedOn w:val="TableNormal"/>
    <w:uiPriority w:val="99"/>
    <w:rsid w:val="00076F58"/>
    <w:rPr>
      <w:rFonts w:ascii="Baskerville Old Face" w:hAnsi="Baskerville Old Face" w:cs="Baskerville Old Fac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54F52"/>
    <w:pPr>
      <w:autoSpaceDE w:val="0"/>
      <w:autoSpaceDN w:val="0"/>
      <w:adjustRightInd w:val="0"/>
    </w:pPr>
    <w:rPr>
      <w:rFonts w:ascii="GICJSU+Minion-Regular" w:hAnsi="GICJSU+Minion-Regular" w:cs="GICJSU+Minion-Regular"/>
      <w:color w:val="000000"/>
      <w:sz w:val="24"/>
      <w:szCs w:val="24"/>
    </w:rPr>
  </w:style>
  <w:style w:type="character" w:styleId="Strong">
    <w:name w:val="Strong"/>
    <w:uiPriority w:val="99"/>
    <w:qFormat/>
    <w:rsid w:val="005D2DC2"/>
    <w:rPr>
      <w:b/>
      <w:bCs/>
    </w:rPr>
  </w:style>
  <w:style w:type="paragraph" w:styleId="Revision">
    <w:name w:val="Revision"/>
    <w:hidden/>
    <w:uiPriority w:val="99"/>
    <w:semiHidden/>
    <w:rsid w:val="001C37CC"/>
    <w:rPr>
      <w:rFonts w:ascii="Baskerville Old Face" w:hAnsi="Baskerville Old Face" w:cs="Baskerville Old Face"/>
      <w:sz w:val="24"/>
      <w:szCs w:val="24"/>
    </w:rPr>
  </w:style>
  <w:style w:type="paragraph" w:styleId="ListParagraph">
    <w:name w:val="List Paragraph"/>
    <w:basedOn w:val="Normal"/>
    <w:uiPriority w:val="34"/>
    <w:qFormat/>
    <w:rsid w:val="00CC5C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5FE"/>
    <w:pPr>
      <w:widowControl w:val="0"/>
    </w:pPr>
    <w:rPr>
      <w:rFonts w:ascii="Baskerville Old Face" w:hAnsi="Baskerville Old Face" w:cs="Baskerville Old Fac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uiPriority w:val="99"/>
    <w:rsid w:val="00FC65FE"/>
  </w:style>
  <w:style w:type="paragraph" w:styleId="BodyTextIndent2">
    <w:name w:val="Body Text Indent 2"/>
    <w:basedOn w:val="Normal"/>
    <w:link w:val="BodyTextIndent2Char"/>
    <w:uiPriority w:val="99"/>
    <w:rsid w:val="00FC65FE"/>
    <w:pPr>
      <w:tabs>
        <w:tab w:val="left" w:pos="-1152"/>
        <w:tab w:val="left" w:pos="-720"/>
        <w:tab w:val="left" w:pos="0"/>
        <w:tab w:val="left" w:pos="720"/>
        <w:tab w:val="left" w:pos="990"/>
        <w:tab w:val="left" w:pos="2880"/>
        <w:tab w:val="left" w:pos="3240"/>
        <w:tab w:val="left" w:pos="4320"/>
      </w:tabs>
      <w:ind w:left="990" w:hanging="270"/>
      <w:jc w:val="both"/>
    </w:pPr>
  </w:style>
  <w:style w:type="character" w:customStyle="1" w:styleId="BodyTextIndent2Char">
    <w:name w:val="Body Text Indent 2 Char"/>
    <w:link w:val="BodyTextIndent2"/>
    <w:uiPriority w:val="99"/>
    <w:semiHidden/>
    <w:locked/>
    <w:rPr>
      <w:rFonts w:ascii="Baskerville Old Face" w:hAnsi="Baskerville Old Face" w:cs="Baskerville Old Face"/>
      <w:sz w:val="24"/>
      <w:szCs w:val="24"/>
    </w:rPr>
  </w:style>
  <w:style w:type="paragraph" w:styleId="BalloonText">
    <w:name w:val="Balloon Text"/>
    <w:basedOn w:val="Normal"/>
    <w:link w:val="BalloonTextChar"/>
    <w:uiPriority w:val="99"/>
    <w:semiHidden/>
    <w:rsid w:val="00FC65FE"/>
    <w:rPr>
      <w:rFonts w:ascii="Tahoma" w:hAnsi="Tahoma" w:cs="Tahoma"/>
      <w:sz w:val="16"/>
      <w:szCs w:val="16"/>
    </w:rPr>
  </w:style>
  <w:style w:type="character" w:customStyle="1" w:styleId="BalloonTextChar">
    <w:name w:val="Balloon Text Char"/>
    <w:link w:val="BalloonText"/>
    <w:uiPriority w:val="99"/>
    <w:semiHidden/>
    <w:locked/>
    <w:rPr>
      <w:sz w:val="2"/>
      <w:szCs w:val="2"/>
    </w:rPr>
  </w:style>
  <w:style w:type="paragraph" w:styleId="Header">
    <w:name w:val="header"/>
    <w:basedOn w:val="Normal"/>
    <w:link w:val="HeaderChar"/>
    <w:uiPriority w:val="99"/>
    <w:rsid w:val="00FC65FE"/>
    <w:pPr>
      <w:tabs>
        <w:tab w:val="center" w:pos="4320"/>
        <w:tab w:val="right" w:pos="8640"/>
      </w:tabs>
    </w:pPr>
  </w:style>
  <w:style w:type="character" w:customStyle="1" w:styleId="HeaderChar">
    <w:name w:val="Header Char"/>
    <w:link w:val="Header"/>
    <w:uiPriority w:val="99"/>
    <w:semiHidden/>
    <w:locked/>
    <w:rPr>
      <w:rFonts w:ascii="Baskerville Old Face" w:hAnsi="Baskerville Old Face" w:cs="Baskerville Old Face"/>
      <w:sz w:val="24"/>
      <w:szCs w:val="24"/>
    </w:rPr>
  </w:style>
  <w:style w:type="paragraph" w:styleId="Footer">
    <w:name w:val="footer"/>
    <w:basedOn w:val="Normal"/>
    <w:link w:val="FooterChar"/>
    <w:uiPriority w:val="99"/>
    <w:rsid w:val="00FC65FE"/>
    <w:pPr>
      <w:tabs>
        <w:tab w:val="center" w:pos="4320"/>
        <w:tab w:val="right" w:pos="8640"/>
      </w:tabs>
    </w:pPr>
  </w:style>
  <w:style w:type="character" w:customStyle="1" w:styleId="FooterChar">
    <w:name w:val="Footer Char"/>
    <w:link w:val="Footer"/>
    <w:uiPriority w:val="99"/>
    <w:semiHidden/>
    <w:locked/>
    <w:rPr>
      <w:rFonts w:ascii="Baskerville Old Face" w:hAnsi="Baskerville Old Face" w:cs="Baskerville Old Face"/>
      <w:sz w:val="24"/>
      <w:szCs w:val="24"/>
    </w:rPr>
  </w:style>
  <w:style w:type="character" w:styleId="PageNumber">
    <w:name w:val="page number"/>
    <w:basedOn w:val="DefaultParagraphFont"/>
    <w:uiPriority w:val="99"/>
    <w:rsid w:val="00FC65FE"/>
  </w:style>
  <w:style w:type="paragraph" w:styleId="Title">
    <w:name w:val="Title"/>
    <w:basedOn w:val="Normal"/>
    <w:link w:val="TitleChar"/>
    <w:uiPriority w:val="99"/>
    <w:qFormat/>
    <w:rsid w:val="00FC65FE"/>
    <w:pPr>
      <w:tabs>
        <w:tab w:val="center" w:pos="4680"/>
      </w:tabs>
      <w:ind w:left="-720"/>
      <w:jc w:val="center"/>
    </w:pPr>
    <w:rPr>
      <w:b/>
      <w:bCs/>
      <w:sz w:val="32"/>
      <w:szCs w:val="32"/>
    </w:rPr>
  </w:style>
  <w:style w:type="character" w:customStyle="1" w:styleId="TitleChar">
    <w:name w:val="Title Char"/>
    <w:link w:val="Title"/>
    <w:uiPriority w:val="99"/>
    <w:locked/>
    <w:rPr>
      <w:rFonts w:ascii="Cambria" w:hAnsi="Cambria" w:cs="Cambria"/>
      <w:b/>
      <w:bCs/>
      <w:kern w:val="28"/>
      <w:sz w:val="32"/>
      <w:szCs w:val="32"/>
    </w:rPr>
  </w:style>
  <w:style w:type="character" w:styleId="CommentReference">
    <w:name w:val="annotation reference"/>
    <w:uiPriority w:val="99"/>
    <w:semiHidden/>
    <w:rsid w:val="00C76518"/>
    <w:rPr>
      <w:sz w:val="16"/>
      <w:szCs w:val="16"/>
    </w:rPr>
  </w:style>
  <w:style w:type="paragraph" w:styleId="CommentText">
    <w:name w:val="annotation text"/>
    <w:basedOn w:val="Normal"/>
    <w:link w:val="CommentTextChar"/>
    <w:uiPriority w:val="99"/>
    <w:semiHidden/>
    <w:rsid w:val="00C76518"/>
    <w:rPr>
      <w:sz w:val="20"/>
      <w:szCs w:val="20"/>
    </w:rPr>
  </w:style>
  <w:style w:type="character" w:customStyle="1" w:styleId="CommentTextChar">
    <w:name w:val="Comment Text Char"/>
    <w:link w:val="CommentText"/>
    <w:uiPriority w:val="99"/>
    <w:locked/>
    <w:rsid w:val="00C76518"/>
    <w:rPr>
      <w:rFonts w:ascii="Baskerville Old Face" w:hAnsi="Baskerville Old Face" w:cs="Baskerville Old Face"/>
      <w:snapToGrid w:val="0"/>
    </w:rPr>
  </w:style>
  <w:style w:type="paragraph" w:styleId="CommentSubject">
    <w:name w:val="annotation subject"/>
    <w:basedOn w:val="CommentText"/>
    <w:next w:val="CommentText"/>
    <w:link w:val="CommentSubjectChar"/>
    <w:uiPriority w:val="99"/>
    <w:semiHidden/>
    <w:rsid w:val="00C76518"/>
    <w:rPr>
      <w:b/>
      <w:bCs/>
    </w:rPr>
  </w:style>
  <w:style w:type="character" w:customStyle="1" w:styleId="CommentSubjectChar">
    <w:name w:val="Comment Subject Char"/>
    <w:link w:val="CommentSubject"/>
    <w:uiPriority w:val="99"/>
    <w:locked/>
    <w:rsid w:val="00C76518"/>
    <w:rPr>
      <w:rFonts w:ascii="Baskerville Old Face" w:hAnsi="Baskerville Old Face" w:cs="Baskerville Old Face"/>
      <w:b/>
      <w:bCs/>
      <w:snapToGrid w:val="0"/>
    </w:rPr>
  </w:style>
  <w:style w:type="character" w:customStyle="1" w:styleId="Normal1">
    <w:name w:val="Normal1"/>
    <w:uiPriority w:val="99"/>
    <w:rsid w:val="00C44C91"/>
  </w:style>
  <w:style w:type="paragraph" w:styleId="DocumentMap">
    <w:name w:val="Document Map"/>
    <w:basedOn w:val="Normal"/>
    <w:link w:val="DocumentMapChar"/>
    <w:uiPriority w:val="99"/>
    <w:semiHidden/>
    <w:rsid w:val="00C00F87"/>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sz w:val="2"/>
      <w:szCs w:val="2"/>
    </w:rPr>
  </w:style>
  <w:style w:type="table" w:styleId="TableGrid">
    <w:name w:val="Table Grid"/>
    <w:basedOn w:val="TableNormal"/>
    <w:uiPriority w:val="99"/>
    <w:rsid w:val="00076F58"/>
    <w:rPr>
      <w:rFonts w:ascii="Baskerville Old Face" w:hAnsi="Baskerville Old Face" w:cs="Baskerville Old Fac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54F52"/>
    <w:pPr>
      <w:autoSpaceDE w:val="0"/>
      <w:autoSpaceDN w:val="0"/>
      <w:adjustRightInd w:val="0"/>
    </w:pPr>
    <w:rPr>
      <w:rFonts w:ascii="GICJSU+Minion-Regular" w:hAnsi="GICJSU+Minion-Regular" w:cs="GICJSU+Minion-Regular"/>
      <w:color w:val="000000"/>
      <w:sz w:val="24"/>
      <w:szCs w:val="24"/>
    </w:rPr>
  </w:style>
  <w:style w:type="character" w:styleId="Strong">
    <w:name w:val="Strong"/>
    <w:uiPriority w:val="99"/>
    <w:qFormat/>
    <w:rsid w:val="005D2DC2"/>
    <w:rPr>
      <w:b/>
      <w:bCs/>
    </w:rPr>
  </w:style>
  <w:style w:type="paragraph" w:styleId="Revision">
    <w:name w:val="Revision"/>
    <w:hidden/>
    <w:uiPriority w:val="99"/>
    <w:semiHidden/>
    <w:rsid w:val="001C37CC"/>
    <w:rPr>
      <w:rFonts w:ascii="Baskerville Old Face" w:hAnsi="Baskerville Old Face" w:cs="Baskerville Old Face"/>
      <w:sz w:val="24"/>
      <w:szCs w:val="24"/>
    </w:rPr>
  </w:style>
  <w:style w:type="paragraph" w:styleId="ListParagraph">
    <w:name w:val="List Paragraph"/>
    <w:basedOn w:val="Normal"/>
    <w:uiPriority w:val="34"/>
    <w:qFormat/>
    <w:rsid w:val="00CC5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4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4861</Words>
  <Characters>27854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CHAPTER 2</vt:lpstr>
    </vt:vector>
  </TitlesOfParts>
  <Company>Brigham Young University</Company>
  <LinksUpToDate>false</LinksUpToDate>
  <CharactersWithSpaces>32650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Kenneth Merkley</dc:creator>
  <cp:lastModifiedBy>Thornton, Jonathan</cp:lastModifiedBy>
  <cp:revision>3</cp:revision>
  <cp:lastPrinted>2013-04-30T15:13:00Z</cp:lastPrinted>
  <dcterms:created xsi:type="dcterms:W3CDTF">2015-07-20T12:49:00Z</dcterms:created>
  <dcterms:modified xsi:type="dcterms:W3CDTF">2015-08-18T15:02:00Z</dcterms:modified>
</cp:coreProperties>
</file>