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186" w:rsidRPr="00C93635" w:rsidRDefault="00EA0CBA">
      <w:pPr>
        <w:jc w:val="both"/>
        <w:rPr>
          <w:b/>
        </w:rPr>
      </w:pPr>
      <w:r>
        <w:rPr>
          <w:b/>
        </w:rPr>
        <w:t xml:space="preserve">                    </w:t>
      </w:r>
    </w:p>
    <w:p w:rsidR="00592088" w:rsidRDefault="00EA0CBA" w:rsidP="00592088">
      <w:pPr>
        <w:jc w:val="center"/>
        <w:rPr>
          <w:b/>
        </w:rPr>
      </w:pPr>
      <w:r>
        <w:t xml:space="preserve"> </w:t>
      </w:r>
      <w:r w:rsidR="00592088">
        <w:rPr>
          <w:b/>
        </w:rPr>
        <w:t>Chapter 2</w:t>
      </w:r>
    </w:p>
    <w:p w:rsidR="00592088" w:rsidRDefault="00592088" w:rsidP="00592088">
      <w:pPr>
        <w:jc w:val="center"/>
        <w:rPr>
          <w:b/>
        </w:rPr>
      </w:pPr>
      <w:r>
        <w:rPr>
          <w:b/>
        </w:rPr>
        <w:t>Soap Companies Do Battle</w:t>
      </w:r>
    </w:p>
    <w:p w:rsidR="00592088" w:rsidRDefault="00592088" w:rsidP="00592088">
      <w:pPr>
        <w:jc w:val="center"/>
      </w:pPr>
    </w:p>
    <w:p w:rsidR="00592088" w:rsidRDefault="00592088" w:rsidP="00592088">
      <w:pPr>
        <w:jc w:val="center"/>
      </w:pPr>
    </w:p>
    <w:p w:rsidR="00592088" w:rsidRDefault="00592088" w:rsidP="00592088">
      <w:pPr>
        <w:ind w:left="720"/>
      </w:pPr>
      <w:r>
        <w:t xml:space="preserve">The pie chart is useful in displaying the market shares in one device adjacent to each other.  Many decision makers are used to viewing pie charts in connection which budgets and therefore might feel more at ease with a pie chart.  On the other hand, when percentages are close such as with Dial and “Others” in 1983, it can be difficult to discern the difference using the pie chart slices.  In this case, the bar chart shown above is more desirable.  </w:t>
      </w:r>
    </w:p>
    <w:p w:rsidR="00592088" w:rsidRDefault="00592088" w:rsidP="00592088"/>
    <w:p w:rsidR="00592088" w:rsidRDefault="00592088" w:rsidP="00592088">
      <w:r>
        <w:t xml:space="preserve">       1.  Shown below are pie charts for the 1983, the 1991, and the latest market shares.  </w:t>
      </w:r>
    </w:p>
    <w:p w:rsidR="00592088" w:rsidRDefault="00592088" w:rsidP="00592088"/>
    <w:p w:rsidR="00592088" w:rsidRDefault="00592088" w:rsidP="00592088"/>
    <w:p w:rsidR="00592088" w:rsidRDefault="00592088" w:rsidP="00592088">
      <w:r w:rsidRPr="00570F65">
        <w:drawing>
          <wp:inline distT="0" distB="0" distL="0" distR="0">
            <wp:extent cx="3638550" cy="2533650"/>
            <wp:effectExtent l="19050" t="0" r="19050"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92088" w:rsidRDefault="00592088" w:rsidP="00592088">
      <w:r>
        <w:tab/>
      </w:r>
      <w:r>
        <w:tab/>
      </w:r>
    </w:p>
    <w:p w:rsidR="00592088" w:rsidRDefault="00592088" w:rsidP="00592088"/>
    <w:p w:rsidR="00592088" w:rsidRDefault="00592088" w:rsidP="00592088">
      <w:r w:rsidRPr="00570F65">
        <w:drawing>
          <wp:inline distT="0" distB="0" distL="0" distR="0">
            <wp:extent cx="3752850" cy="2476500"/>
            <wp:effectExtent l="19050" t="0" r="19050" b="0"/>
            <wp:docPr id="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92088" w:rsidRDefault="00592088" w:rsidP="00592088">
      <w:r>
        <w:lastRenderedPageBreak/>
        <w:tab/>
      </w:r>
      <w:r>
        <w:tab/>
      </w:r>
    </w:p>
    <w:p w:rsidR="00592088" w:rsidRDefault="00592088" w:rsidP="00592088"/>
    <w:p w:rsidR="00592088" w:rsidRDefault="00592088" w:rsidP="00592088">
      <w:r>
        <w:tab/>
      </w:r>
      <w:r w:rsidRPr="00570F65">
        <w:drawing>
          <wp:inline distT="0" distB="0" distL="0" distR="0">
            <wp:extent cx="3619500" cy="2514600"/>
            <wp:effectExtent l="19050" t="0" r="19050" b="0"/>
            <wp:docPr id="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2088" w:rsidRDefault="00592088" w:rsidP="00592088"/>
    <w:p w:rsidR="00592088" w:rsidRDefault="00592088" w:rsidP="00592088"/>
    <w:p w:rsidR="00592088" w:rsidRDefault="00592088" w:rsidP="00592088">
      <w:r>
        <w:tab/>
        <w:t xml:space="preserve">An examination of the pie charts from 1983 through the latest reveals that the slice </w:t>
      </w:r>
    </w:p>
    <w:p w:rsidR="00592088" w:rsidRDefault="00592088" w:rsidP="00592088">
      <w:pPr>
        <w:ind w:left="720"/>
      </w:pPr>
      <w:proofErr w:type="gramStart"/>
      <w:r>
        <w:t>sizes</w:t>
      </w:r>
      <w:proofErr w:type="gramEnd"/>
      <w:r>
        <w:t xml:space="preserve"> of Dial and Colgate-Palmolive have grown and the sizes of the Procter &amp; Gamble slices have shrunk substantially since 1983.  Shown below are the actual percentage figures for the three time periods so that you have the option of displaying the data in different ways:</w:t>
      </w:r>
    </w:p>
    <w:p w:rsidR="00592088" w:rsidRDefault="00592088" w:rsidP="00592088"/>
    <w:p w:rsidR="00592088" w:rsidRDefault="00592088" w:rsidP="00592088"/>
    <w:p w:rsidR="00592088" w:rsidRDefault="00592088" w:rsidP="00592088">
      <w:pPr>
        <w:rPr>
          <w:u w:val="single"/>
        </w:rPr>
      </w:pPr>
      <w:r>
        <w:tab/>
      </w:r>
      <w:r>
        <w:rPr>
          <w:u w:val="single"/>
        </w:rPr>
        <w:t>Company</w:t>
      </w:r>
      <w:r>
        <w:t xml:space="preserve">                       </w:t>
      </w:r>
      <w:r>
        <w:rPr>
          <w:u w:val="single"/>
        </w:rPr>
        <w:t>1983 Share</w:t>
      </w:r>
      <w:r>
        <w:tab/>
        <w:t xml:space="preserve">       </w:t>
      </w:r>
      <w:r>
        <w:rPr>
          <w:u w:val="single"/>
        </w:rPr>
        <w:t>1991 Share</w:t>
      </w:r>
      <w:r>
        <w:t xml:space="preserve">          </w:t>
      </w:r>
      <w:r>
        <w:rPr>
          <w:u w:val="single"/>
        </w:rPr>
        <w:t>Latest Share</w:t>
      </w:r>
    </w:p>
    <w:p w:rsidR="00592088" w:rsidRDefault="00592088" w:rsidP="00592088"/>
    <w:p w:rsidR="00592088" w:rsidRDefault="00592088" w:rsidP="00592088">
      <w:pPr>
        <w:pStyle w:val="Header"/>
        <w:tabs>
          <w:tab w:val="clear" w:pos="4320"/>
          <w:tab w:val="clear" w:pos="8640"/>
        </w:tabs>
      </w:pPr>
      <w:r>
        <w:t xml:space="preserve"> </w:t>
      </w:r>
      <w:r>
        <w:tab/>
        <w:t>Procter &amp; Gamble</w:t>
      </w:r>
      <w:r>
        <w:tab/>
        <w:t xml:space="preserve">        37.1</w:t>
      </w:r>
      <w:r>
        <w:tab/>
        <w:t xml:space="preserve">            30.5                        4.3</w:t>
      </w:r>
    </w:p>
    <w:p w:rsidR="00592088" w:rsidRDefault="00592088" w:rsidP="00592088">
      <w:r>
        <w:tab/>
        <w:t>Unilever</w:t>
      </w:r>
      <w:r>
        <w:tab/>
      </w:r>
      <w:r>
        <w:tab/>
        <w:t xml:space="preserve">        24.0</w:t>
      </w:r>
      <w:r>
        <w:tab/>
      </w:r>
      <w:r>
        <w:tab/>
        <w:t>31.5</w:t>
      </w:r>
      <w:r>
        <w:tab/>
      </w:r>
      <w:r>
        <w:tab/>
        <w:t xml:space="preserve">     27.5</w:t>
      </w:r>
    </w:p>
    <w:p w:rsidR="00592088" w:rsidRDefault="00592088" w:rsidP="00592088">
      <w:r>
        <w:tab/>
        <w:t>Dial</w:t>
      </w:r>
      <w:r>
        <w:tab/>
      </w:r>
      <w:r>
        <w:tab/>
      </w:r>
      <w:r>
        <w:tab/>
        <w:t xml:space="preserve">        15.0</w:t>
      </w:r>
      <w:r>
        <w:tab/>
      </w:r>
      <w:r>
        <w:tab/>
        <w:t>19.0</w:t>
      </w:r>
      <w:r>
        <w:tab/>
      </w:r>
      <w:r>
        <w:tab/>
        <w:t xml:space="preserve">     20.6</w:t>
      </w:r>
    </w:p>
    <w:p w:rsidR="00592088" w:rsidRDefault="00592088" w:rsidP="00592088">
      <w:r>
        <w:tab/>
        <w:t>Colgate-Palmolive</w:t>
      </w:r>
      <w:r>
        <w:tab/>
        <w:t xml:space="preserve">          6.5</w:t>
      </w:r>
      <w:r>
        <w:tab/>
      </w:r>
      <w:r>
        <w:tab/>
        <w:t xml:space="preserve">  8.0</w:t>
      </w:r>
      <w:r>
        <w:tab/>
      </w:r>
      <w:r>
        <w:tab/>
        <w:t xml:space="preserve">     13.8</w:t>
      </w:r>
    </w:p>
    <w:p w:rsidR="00592088" w:rsidRDefault="00592088" w:rsidP="00592088">
      <w:r>
        <w:tab/>
        <w:t>Others</w:t>
      </w:r>
      <w:r>
        <w:tab/>
      </w:r>
      <w:r>
        <w:tab/>
      </w:r>
      <w:r>
        <w:tab/>
        <w:t xml:space="preserve">        17.4</w:t>
      </w:r>
      <w:r>
        <w:tab/>
      </w:r>
      <w:r>
        <w:tab/>
        <w:t>11.0</w:t>
      </w:r>
      <w:r>
        <w:tab/>
      </w:r>
      <w:r>
        <w:tab/>
        <w:t xml:space="preserve">     33.8</w:t>
      </w:r>
    </w:p>
    <w:p w:rsidR="00592088" w:rsidRDefault="00592088" w:rsidP="00592088"/>
    <w:p w:rsidR="00592088" w:rsidRDefault="00592088" w:rsidP="00592088"/>
    <w:p w:rsidR="00592088" w:rsidRDefault="00592088" w:rsidP="00592088">
      <w:r>
        <w:t xml:space="preserve">       2.</w:t>
      </w:r>
      <w:r>
        <w:tab/>
        <w:t>Shown below is a histogram of the weekly sales of bars of soaps over the year.</w:t>
      </w:r>
    </w:p>
    <w:p w:rsidR="00592088" w:rsidRDefault="00592088" w:rsidP="00592088">
      <w:pPr>
        <w:ind w:left="720"/>
      </w:pPr>
      <w:r>
        <w:t xml:space="preserve">The histogram was constructed using 10 classes.  In Minitab, the student has the option of trying several different values for the number of intervals.  In Excel, students can explore various bin options.  The shape of the histogram will somewhat change according to the number of class intervals.  Note the shape of this histogram is mound shaped with some </w:t>
      </w:r>
      <w:proofErr w:type="spellStart"/>
      <w:r>
        <w:t>skewness</w:t>
      </w:r>
      <w:proofErr w:type="spellEnd"/>
      <w:r>
        <w:t xml:space="preserve"> to the right.  The center of the distribution appears to be near to 20 million as would be expected since Procter &amp; Gamble sells about 20 million bars per week, for the sample year selected.  Note, however that some weeks actually average as much as 39 million bars per week and others only 12 million bars.  What inventory, production, and human resource implications might this have?  How does a company “cope” with such fluctuations?  </w:t>
      </w:r>
    </w:p>
    <w:p w:rsidR="00592088" w:rsidRDefault="00592088" w:rsidP="00592088"/>
    <w:p w:rsidR="00592088" w:rsidRDefault="00592088" w:rsidP="00592088"/>
    <w:p w:rsidR="00592088" w:rsidRDefault="00592088" w:rsidP="00592088">
      <w:r>
        <w:tab/>
      </w:r>
      <w:r>
        <w:tab/>
      </w:r>
      <w:r>
        <w:rPr>
          <w:noProof/>
        </w:rPr>
        <w:drawing>
          <wp:inline distT="0" distB="0" distL="0" distR="0">
            <wp:extent cx="4457700" cy="313372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457700" cy="3133725"/>
                    </a:xfrm>
                    <a:prstGeom prst="rect">
                      <a:avLst/>
                    </a:prstGeom>
                    <a:noFill/>
                    <a:ln w="9525">
                      <a:noFill/>
                      <a:miter lim="800000"/>
                      <a:headEnd/>
                      <a:tailEnd/>
                    </a:ln>
                  </pic:spPr>
                </pic:pic>
              </a:graphicData>
            </a:graphic>
          </wp:inline>
        </w:drawing>
      </w:r>
    </w:p>
    <w:p w:rsidR="00592088" w:rsidRDefault="00592088" w:rsidP="00592088"/>
    <w:p w:rsidR="00592088" w:rsidRDefault="00592088" w:rsidP="00592088">
      <w:r>
        <w:br w:type="page"/>
      </w:r>
      <w:r>
        <w:lastRenderedPageBreak/>
        <w:t>The stem and leaf plot for these data is shown below.  The advantage of the stem and leaf over histograms, pie charts, bar charts, and others is that the stem and leaf retains the original data in case the researcher wants to calculate other statistics on the numbers.  Production people would likely find the histogram the most interesting because it displays to them where the bulk of production occurs and the magnitude of the unusual size runs.</w:t>
      </w:r>
    </w:p>
    <w:p w:rsidR="00592088" w:rsidRDefault="00592088" w:rsidP="00592088"/>
    <w:p w:rsidR="00592088" w:rsidRDefault="00592088" w:rsidP="00592088">
      <w:r>
        <w:t xml:space="preserve">    </w:t>
      </w:r>
      <w:r>
        <w:tab/>
        <w:t xml:space="preserve">    </w:t>
      </w:r>
      <w:r>
        <w:rPr>
          <w:u w:val="single"/>
        </w:rPr>
        <w:t>Stem</w:t>
      </w:r>
      <w:r>
        <w:t xml:space="preserve">          </w:t>
      </w:r>
      <w:r>
        <w:rPr>
          <w:u w:val="single"/>
        </w:rPr>
        <w:t>Leaf</w:t>
      </w:r>
    </w:p>
    <w:p w:rsidR="00592088" w:rsidRDefault="00592088" w:rsidP="00592088">
      <w:pPr>
        <w:tabs>
          <w:tab w:val="left" w:pos="1080"/>
          <w:tab w:val="left" w:pos="2160"/>
        </w:tabs>
      </w:pPr>
      <w:r>
        <w:t xml:space="preserve">    </w:t>
      </w:r>
      <w:r>
        <w:tab/>
        <w:t xml:space="preserve">12           </w:t>
      </w:r>
      <w:r>
        <w:tab/>
        <w:t>2</w:t>
      </w:r>
    </w:p>
    <w:p w:rsidR="00592088" w:rsidRDefault="00592088" w:rsidP="00592088">
      <w:pPr>
        <w:tabs>
          <w:tab w:val="left" w:pos="1080"/>
          <w:tab w:val="left" w:pos="2160"/>
        </w:tabs>
      </w:pPr>
      <w:r>
        <w:t xml:space="preserve">     </w:t>
      </w:r>
      <w:r>
        <w:tab/>
        <w:t xml:space="preserve">13           </w:t>
      </w:r>
      <w:r>
        <w:tab/>
        <w:t>6</w:t>
      </w:r>
    </w:p>
    <w:p w:rsidR="00592088" w:rsidRDefault="00592088" w:rsidP="00592088">
      <w:pPr>
        <w:tabs>
          <w:tab w:val="left" w:pos="1080"/>
          <w:tab w:val="left" w:pos="2160"/>
        </w:tabs>
      </w:pPr>
      <w:r>
        <w:t xml:space="preserve">     </w:t>
      </w:r>
      <w:r>
        <w:tab/>
        <w:t xml:space="preserve">14           </w:t>
      </w:r>
      <w:r>
        <w:tab/>
        <w:t>7</w:t>
      </w:r>
    </w:p>
    <w:p w:rsidR="00592088" w:rsidRDefault="00592088" w:rsidP="00592088">
      <w:pPr>
        <w:tabs>
          <w:tab w:val="left" w:pos="1080"/>
          <w:tab w:val="left" w:pos="2160"/>
        </w:tabs>
      </w:pPr>
      <w:r>
        <w:t xml:space="preserve">     </w:t>
      </w:r>
      <w:r>
        <w:tab/>
        <w:t xml:space="preserve">15           </w:t>
      </w:r>
      <w:r>
        <w:tab/>
        <w:t>0, 4, 4, 5</w:t>
      </w:r>
    </w:p>
    <w:p w:rsidR="00592088" w:rsidRDefault="00592088" w:rsidP="00592088">
      <w:pPr>
        <w:tabs>
          <w:tab w:val="left" w:pos="1080"/>
          <w:tab w:val="left" w:pos="2160"/>
        </w:tabs>
      </w:pPr>
      <w:r>
        <w:t xml:space="preserve">     </w:t>
      </w:r>
      <w:r>
        <w:tab/>
        <w:t xml:space="preserve">16          </w:t>
      </w:r>
      <w:r>
        <w:tab/>
        <w:t>8</w:t>
      </w:r>
    </w:p>
    <w:p w:rsidR="00592088" w:rsidRDefault="00592088" w:rsidP="00592088">
      <w:pPr>
        <w:tabs>
          <w:tab w:val="left" w:pos="1080"/>
          <w:tab w:val="left" w:pos="2160"/>
        </w:tabs>
      </w:pPr>
      <w:r>
        <w:t xml:space="preserve">     </w:t>
      </w:r>
      <w:r>
        <w:tab/>
        <w:t xml:space="preserve">17           </w:t>
      </w:r>
      <w:r>
        <w:tab/>
        <w:t>0, 1, 1, 4, 5</w:t>
      </w:r>
    </w:p>
    <w:p w:rsidR="00592088" w:rsidRDefault="00592088" w:rsidP="00592088">
      <w:pPr>
        <w:tabs>
          <w:tab w:val="left" w:pos="1080"/>
          <w:tab w:val="left" w:pos="2160"/>
        </w:tabs>
      </w:pPr>
      <w:r>
        <w:t xml:space="preserve">     </w:t>
      </w:r>
      <w:r>
        <w:tab/>
        <w:t xml:space="preserve">18           </w:t>
      </w:r>
      <w:r>
        <w:tab/>
        <w:t>2, 3, 4, 5, 7</w:t>
      </w:r>
    </w:p>
    <w:p w:rsidR="00592088" w:rsidRDefault="00592088" w:rsidP="00592088">
      <w:pPr>
        <w:tabs>
          <w:tab w:val="left" w:pos="1080"/>
          <w:tab w:val="left" w:pos="2160"/>
        </w:tabs>
      </w:pPr>
      <w:r>
        <w:t xml:space="preserve">     </w:t>
      </w:r>
      <w:r>
        <w:tab/>
        <w:t xml:space="preserve">19           </w:t>
      </w:r>
      <w:r>
        <w:tab/>
        <w:t>1, 3, 6, 9</w:t>
      </w:r>
    </w:p>
    <w:p w:rsidR="00592088" w:rsidRDefault="00592088" w:rsidP="00592088">
      <w:pPr>
        <w:tabs>
          <w:tab w:val="left" w:pos="1080"/>
          <w:tab w:val="left" w:pos="2160"/>
        </w:tabs>
      </w:pPr>
      <w:r>
        <w:t xml:space="preserve">     </w:t>
      </w:r>
      <w:r>
        <w:tab/>
        <w:t xml:space="preserve">20          </w:t>
      </w:r>
      <w:r>
        <w:tab/>
        <w:t>0, 3, 3, 4, 4, 6, 7, 9</w:t>
      </w:r>
    </w:p>
    <w:p w:rsidR="00592088" w:rsidRDefault="00592088" w:rsidP="00592088">
      <w:pPr>
        <w:tabs>
          <w:tab w:val="left" w:pos="1080"/>
          <w:tab w:val="left" w:pos="2160"/>
        </w:tabs>
      </w:pPr>
      <w:r>
        <w:t xml:space="preserve">     </w:t>
      </w:r>
      <w:r>
        <w:tab/>
        <w:t xml:space="preserve">21           </w:t>
      </w:r>
      <w:r>
        <w:tab/>
        <w:t>3, 4, 4</w:t>
      </w:r>
    </w:p>
    <w:p w:rsidR="00592088" w:rsidRDefault="00592088" w:rsidP="00592088">
      <w:pPr>
        <w:tabs>
          <w:tab w:val="left" w:pos="1080"/>
          <w:tab w:val="left" w:pos="2160"/>
        </w:tabs>
      </w:pPr>
      <w:r>
        <w:t xml:space="preserve">     </w:t>
      </w:r>
      <w:r>
        <w:tab/>
        <w:t xml:space="preserve">22           </w:t>
      </w:r>
      <w:r>
        <w:tab/>
        <w:t>5, 8</w:t>
      </w:r>
    </w:p>
    <w:p w:rsidR="00592088" w:rsidRDefault="00592088" w:rsidP="00592088">
      <w:pPr>
        <w:tabs>
          <w:tab w:val="left" w:pos="1080"/>
          <w:tab w:val="left" w:pos="2160"/>
        </w:tabs>
      </w:pPr>
      <w:r>
        <w:t xml:space="preserve">     </w:t>
      </w:r>
      <w:r>
        <w:tab/>
        <w:t xml:space="preserve">23           </w:t>
      </w:r>
      <w:r>
        <w:tab/>
        <w:t>1, 4, 8, 9</w:t>
      </w:r>
    </w:p>
    <w:p w:rsidR="00592088" w:rsidRDefault="00592088" w:rsidP="00592088">
      <w:pPr>
        <w:tabs>
          <w:tab w:val="left" w:pos="1080"/>
          <w:tab w:val="left" w:pos="2160"/>
        </w:tabs>
      </w:pPr>
      <w:r>
        <w:t xml:space="preserve">     </w:t>
      </w:r>
      <w:r>
        <w:tab/>
        <w:t xml:space="preserve">24           </w:t>
      </w:r>
      <w:r>
        <w:tab/>
        <w:t>0, 3</w:t>
      </w:r>
    </w:p>
    <w:p w:rsidR="00592088" w:rsidRDefault="00592088" w:rsidP="00592088">
      <w:pPr>
        <w:tabs>
          <w:tab w:val="left" w:pos="1080"/>
          <w:tab w:val="left" w:pos="2160"/>
        </w:tabs>
      </w:pPr>
      <w:r>
        <w:t xml:space="preserve">     </w:t>
      </w:r>
      <w:r>
        <w:tab/>
        <w:t xml:space="preserve">25           </w:t>
      </w:r>
      <w:r>
        <w:tab/>
        <w:t>2, 2</w:t>
      </w:r>
    </w:p>
    <w:p w:rsidR="00592088" w:rsidRDefault="00592088" w:rsidP="00592088">
      <w:pPr>
        <w:tabs>
          <w:tab w:val="left" w:pos="1080"/>
          <w:tab w:val="left" w:pos="2160"/>
        </w:tabs>
      </w:pPr>
      <w:r>
        <w:t xml:space="preserve">     </w:t>
      </w:r>
      <w:r>
        <w:tab/>
        <w:t xml:space="preserve">26           </w:t>
      </w:r>
      <w:r>
        <w:tab/>
        <w:t>2, 2, 3, 3, 6, 9</w:t>
      </w:r>
    </w:p>
    <w:p w:rsidR="00592088" w:rsidRDefault="00592088" w:rsidP="00592088">
      <w:pPr>
        <w:tabs>
          <w:tab w:val="left" w:pos="1080"/>
          <w:tab w:val="left" w:pos="2160"/>
        </w:tabs>
      </w:pPr>
      <w:r>
        <w:t xml:space="preserve">     </w:t>
      </w:r>
      <w:r>
        <w:tab/>
        <w:t>27</w:t>
      </w:r>
    </w:p>
    <w:p w:rsidR="00592088" w:rsidRDefault="00592088" w:rsidP="00592088">
      <w:pPr>
        <w:tabs>
          <w:tab w:val="left" w:pos="1080"/>
          <w:tab w:val="left" w:pos="2160"/>
        </w:tabs>
      </w:pPr>
      <w:r>
        <w:t xml:space="preserve">     </w:t>
      </w:r>
      <w:r>
        <w:tab/>
        <w:t>28</w:t>
      </w:r>
    </w:p>
    <w:p w:rsidR="00592088" w:rsidRDefault="00592088" w:rsidP="00592088">
      <w:pPr>
        <w:tabs>
          <w:tab w:val="left" w:pos="1080"/>
          <w:tab w:val="left" w:pos="2160"/>
        </w:tabs>
      </w:pPr>
      <w:r>
        <w:t xml:space="preserve">     </w:t>
      </w:r>
      <w:r>
        <w:tab/>
        <w:t>29</w:t>
      </w:r>
    </w:p>
    <w:p w:rsidR="00592088" w:rsidRDefault="00592088" w:rsidP="00592088">
      <w:pPr>
        <w:tabs>
          <w:tab w:val="left" w:pos="1080"/>
          <w:tab w:val="left" w:pos="2160"/>
        </w:tabs>
      </w:pPr>
      <w:r>
        <w:t xml:space="preserve">    </w:t>
      </w:r>
      <w:r>
        <w:tab/>
        <w:t xml:space="preserve">30           </w:t>
      </w:r>
      <w:r>
        <w:tab/>
        <w:t>6</w:t>
      </w:r>
    </w:p>
    <w:p w:rsidR="00592088" w:rsidRDefault="00592088" w:rsidP="00592088">
      <w:pPr>
        <w:tabs>
          <w:tab w:val="left" w:pos="1080"/>
          <w:tab w:val="left" w:pos="2160"/>
        </w:tabs>
      </w:pPr>
      <w:r>
        <w:t xml:space="preserve">     </w:t>
      </w:r>
      <w:r>
        <w:tab/>
        <w:t xml:space="preserve">31    </w:t>
      </w:r>
    </w:p>
    <w:p w:rsidR="00592088" w:rsidRDefault="00592088" w:rsidP="00592088">
      <w:pPr>
        <w:tabs>
          <w:tab w:val="left" w:pos="1080"/>
          <w:tab w:val="left" w:pos="2160"/>
        </w:tabs>
      </w:pPr>
      <w:r>
        <w:t xml:space="preserve">     </w:t>
      </w:r>
      <w:r>
        <w:tab/>
        <w:t xml:space="preserve">32           </w:t>
      </w:r>
      <w:r>
        <w:tab/>
        <w:t xml:space="preserve">8    </w:t>
      </w:r>
    </w:p>
    <w:p w:rsidR="00592088" w:rsidRDefault="00592088" w:rsidP="00592088">
      <w:pPr>
        <w:tabs>
          <w:tab w:val="left" w:pos="1080"/>
          <w:tab w:val="left" w:pos="2160"/>
        </w:tabs>
      </w:pPr>
      <w:r>
        <w:tab/>
        <w:t>33</w:t>
      </w:r>
    </w:p>
    <w:p w:rsidR="00592088" w:rsidRDefault="00592088" w:rsidP="00592088">
      <w:pPr>
        <w:tabs>
          <w:tab w:val="left" w:pos="1080"/>
          <w:tab w:val="left" w:pos="2160"/>
        </w:tabs>
      </w:pPr>
      <w:r>
        <w:tab/>
        <w:t>34</w:t>
      </w:r>
    </w:p>
    <w:p w:rsidR="00592088" w:rsidRDefault="00592088" w:rsidP="00592088">
      <w:pPr>
        <w:tabs>
          <w:tab w:val="left" w:pos="1080"/>
          <w:tab w:val="left" w:pos="2160"/>
        </w:tabs>
      </w:pPr>
      <w:r>
        <w:tab/>
        <w:t>35</w:t>
      </w:r>
    </w:p>
    <w:p w:rsidR="00592088" w:rsidRDefault="00592088" w:rsidP="00592088">
      <w:pPr>
        <w:tabs>
          <w:tab w:val="left" w:pos="1080"/>
          <w:tab w:val="left" w:pos="2160"/>
        </w:tabs>
      </w:pPr>
      <w:r>
        <w:tab/>
        <w:t>36</w:t>
      </w:r>
    </w:p>
    <w:p w:rsidR="00592088" w:rsidRDefault="00592088" w:rsidP="00592088">
      <w:pPr>
        <w:tabs>
          <w:tab w:val="left" w:pos="1080"/>
          <w:tab w:val="left" w:pos="2160"/>
        </w:tabs>
      </w:pPr>
      <w:r>
        <w:tab/>
        <w:t>37</w:t>
      </w:r>
    </w:p>
    <w:p w:rsidR="00592088" w:rsidRDefault="00592088" w:rsidP="00592088">
      <w:pPr>
        <w:tabs>
          <w:tab w:val="left" w:pos="1080"/>
          <w:tab w:val="left" w:pos="2160"/>
        </w:tabs>
      </w:pPr>
      <w:r>
        <w:tab/>
        <w:t>38</w:t>
      </w:r>
    </w:p>
    <w:p w:rsidR="00592088" w:rsidRDefault="00592088" w:rsidP="00592088">
      <w:pPr>
        <w:tabs>
          <w:tab w:val="left" w:pos="1080"/>
          <w:tab w:val="left" w:pos="2160"/>
        </w:tabs>
      </w:pPr>
      <w:r>
        <w:tab/>
        <w:t>39</w:t>
      </w:r>
      <w:r>
        <w:tab/>
        <w:t>8</w:t>
      </w:r>
    </w:p>
    <w:p w:rsidR="00592088" w:rsidRDefault="00592088" w:rsidP="00592088">
      <w:pPr>
        <w:tabs>
          <w:tab w:val="left" w:pos="1080"/>
          <w:tab w:val="left" w:pos="2160"/>
        </w:tabs>
      </w:pPr>
    </w:p>
    <w:p w:rsidR="00592088" w:rsidRDefault="00592088" w:rsidP="00592088">
      <w:pPr>
        <w:tabs>
          <w:tab w:val="left" w:pos="1080"/>
          <w:tab w:val="left" w:pos="2160"/>
        </w:tabs>
      </w:pPr>
      <w:r>
        <w:br w:type="page"/>
      </w:r>
    </w:p>
    <w:p w:rsidR="00592088" w:rsidRDefault="00592088" w:rsidP="00592088">
      <w:pPr>
        <w:tabs>
          <w:tab w:val="left" w:pos="1080"/>
          <w:tab w:val="left" w:pos="2160"/>
        </w:tabs>
      </w:pPr>
      <w:r>
        <w:lastRenderedPageBreak/>
        <w:t xml:space="preserve">   3.  Following is a Minitab-produced Pareto Chart for the frequency of problems associated             </w:t>
      </w:r>
    </w:p>
    <w:p w:rsidR="00592088" w:rsidRDefault="00592088" w:rsidP="00592088">
      <w:pPr>
        <w:tabs>
          <w:tab w:val="left" w:pos="1080"/>
          <w:tab w:val="left" w:pos="2160"/>
        </w:tabs>
      </w:pPr>
      <w:r>
        <w:t xml:space="preserve">        </w:t>
      </w:r>
      <w:proofErr w:type="gramStart"/>
      <w:r>
        <w:t>with</w:t>
      </w:r>
      <w:proofErr w:type="gramEnd"/>
      <w:r>
        <w:t xml:space="preserve"> defective soap bars.  Note that Bar Surface is by far the most frequently occurring   </w:t>
      </w:r>
    </w:p>
    <w:p w:rsidR="00592088" w:rsidRDefault="00592088" w:rsidP="00592088">
      <w:pPr>
        <w:tabs>
          <w:tab w:val="left" w:pos="1080"/>
          <w:tab w:val="left" w:pos="2160"/>
        </w:tabs>
        <w:ind w:left="450" w:hanging="450"/>
      </w:pPr>
      <w:r>
        <w:t xml:space="preserve">        </w:t>
      </w:r>
      <w:proofErr w:type="gramStart"/>
      <w:r>
        <w:t>problem</w:t>
      </w:r>
      <w:proofErr w:type="gramEnd"/>
      <w:r>
        <w:t xml:space="preserve"> causing nearly 44% of the defects. If the organization wanted to improve the quality of the packaged bar soap, they should identify ways to reduce marring of the bar surface. Improvement in this area will greatly reduce the overall number of defects. Similarly, improvements in the seal and/ or label will reduce the overall number of defects because 23% of the defects are due to a bad seal and almost 16% of the defects are due to poor labeling. Together, marred bar surface, bad seal, and poor labeling, account for approximately 80% of all defects (83%, to be exact).</w:t>
      </w:r>
    </w:p>
    <w:p w:rsidR="00592088" w:rsidRDefault="00592088" w:rsidP="00592088">
      <w:pPr>
        <w:tabs>
          <w:tab w:val="left" w:pos="1080"/>
          <w:tab w:val="left" w:pos="2160"/>
        </w:tabs>
      </w:pPr>
    </w:p>
    <w:p w:rsidR="00592088" w:rsidRDefault="00592088" w:rsidP="00592088">
      <w:pPr>
        <w:tabs>
          <w:tab w:val="left" w:pos="1080"/>
          <w:tab w:val="left" w:pos="2160"/>
        </w:tabs>
      </w:pPr>
      <w:r>
        <w:t xml:space="preserve"> </w:t>
      </w:r>
    </w:p>
    <w:p w:rsidR="00592088" w:rsidRDefault="00592088" w:rsidP="00592088">
      <w:pPr>
        <w:tabs>
          <w:tab w:val="left" w:pos="1080"/>
          <w:tab w:val="left" w:pos="2160"/>
        </w:tabs>
      </w:pPr>
    </w:p>
    <w:p w:rsidR="00F87186" w:rsidRDefault="00592088" w:rsidP="00592088">
      <w:pPr>
        <w:ind w:left="720"/>
      </w:pPr>
      <w:r>
        <w:t xml:space="preserve">        </w:t>
      </w:r>
      <w:r>
        <w:object w:dxaOrig="8640" w:dyaOrig="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9" type="#_x0000_t75" style="width:405pt;height:270pt" o:ole="">
            <v:imagedata r:id="rId10" o:title=""/>
          </v:shape>
          <o:OLEObject Type="Embed" ProgID="MtbGraph.Document" ShapeID="_x0000_i1159" DrawAspect="Content" ObjectID="_1379667093" r:id="rId11"/>
        </w:object>
      </w:r>
    </w:p>
    <w:sectPr w:rsidR="00F87186" w:rsidSect="007E6D5D">
      <w:headerReference w:type="even" r:id="rId12"/>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CBA" w:rsidRDefault="00EA0CBA">
      <w:r>
        <w:separator/>
      </w:r>
    </w:p>
  </w:endnote>
  <w:endnote w:type="continuationSeparator" w:id="1">
    <w:p w:rsidR="00EA0CBA" w:rsidRDefault="00EA0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635" w:rsidRDefault="00C93635">
    <w:pPr>
      <w:pStyle w:val="Footer"/>
      <w:jc w:val="center"/>
    </w:pPr>
  </w:p>
  <w:p w:rsidR="00C93635" w:rsidRDefault="005A53A5">
    <w:pPr>
      <w:pStyle w:val="Footer"/>
      <w:jc w:val="center"/>
    </w:pPr>
    <w:sdt>
      <w:sdtPr>
        <w:id w:val="93021188"/>
        <w:docPartObj>
          <w:docPartGallery w:val="Page Numbers (Bottom of Page)"/>
          <w:docPartUnique/>
        </w:docPartObj>
      </w:sdtPr>
      <w:sdtContent>
        <w:fldSimple w:instr=" PAGE   \* MERGEFORMAT ">
          <w:r w:rsidR="00592088">
            <w:rPr>
              <w:noProof/>
            </w:rPr>
            <w:t>1</w:t>
          </w:r>
        </w:fldSimple>
      </w:sdtContent>
    </w:sdt>
  </w:p>
  <w:p w:rsidR="00C93635" w:rsidRDefault="00C936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CBA" w:rsidRDefault="00EA0CBA">
      <w:r>
        <w:separator/>
      </w:r>
    </w:p>
  </w:footnote>
  <w:footnote w:type="continuationSeparator" w:id="1">
    <w:p w:rsidR="00EA0CBA" w:rsidRDefault="00EA0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186" w:rsidRDefault="005A53A5">
    <w:pPr>
      <w:pStyle w:val="Header"/>
      <w:framePr w:wrap="around" w:vAnchor="text" w:hAnchor="margin" w:xAlign="right" w:y="1"/>
      <w:rPr>
        <w:rStyle w:val="PageNumber"/>
      </w:rPr>
    </w:pPr>
    <w:r>
      <w:rPr>
        <w:rStyle w:val="PageNumber"/>
      </w:rPr>
      <w:fldChar w:fldCharType="begin"/>
    </w:r>
    <w:r w:rsidR="00EA0CBA">
      <w:rPr>
        <w:rStyle w:val="PageNumber"/>
      </w:rPr>
      <w:instrText xml:space="preserve">PAGE  </w:instrText>
    </w:r>
    <w:r>
      <w:rPr>
        <w:rStyle w:val="PageNumber"/>
      </w:rPr>
      <w:fldChar w:fldCharType="end"/>
    </w:r>
  </w:p>
  <w:p w:rsidR="00F87186" w:rsidRDefault="00F8718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186" w:rsidRDefault="00F87186">
    <w:pPr>
      <w:pStyle w:val="Header"/>
      <w:framePr w:wrap="around" w:vAnchor="text" w:hAnchor="margin" w:xAlign="right" w:y="1"/>
      <w:rPr>
        <w:rStyle w:val="PageNumber"/>
      </w:rPr>
    </w:pPr>
  </w:p>
  <w:p w:rsidR="00F87186" w:rsidRDefault="00EA0CBA">
    <w:pPr>
      <w:pStyle w:val="Header"/>
      <w:ind w:right="360"/>
    </w:pPr>
    <w:r>
      <w:tab/>
    </w:r>
    <w:r w:rsidR="00C93635">
      <w:t>Business Statistics for Contemporary Decision Making 7</w:t>
    </w:r>
    <w:r w:rsidR="00C93635" w:rsidRPr="00C93635">
      <w:rPr>
        <w:vertAlign w:val="superscript"/>
      </w:rPr>
      <w:t>th</w:t>
    </w:r>
    <w:r w:rsidR="00C93635">
      <w:t xml:space="preserve"> edition, Ken Black</w:t>
    </w:r>
  </w:p>
  <w:p w:rsidR="00C93635" w:rsidRDefault="00C93635" w:rsidP="00C93635">
    <w:pPr>
      <w:pStyle w:val="Header"/>
      <w:ind w:right="360"/>
      <w:jc w:val="center"/>
    </w:pPr>
    <w:r>
      <w:t xml:space="preserve">Case Answers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D1402"/>
    <w:rsid w:val="000D1402"/>
    <w:rsid w:val="000D1EFF"/>
    <w:rsid w:val="00106605"/>
    <w:rsid w:val="00107AD1"/>
    <w:rsid w:val="00143A07"/>
    <w:rsid w:val="0016465E"/>
    <w:rsid w:val="001B3AF1"/>
    <w:rsid w:val="002D2439"/>
    <w:rsid w:val="002F4E59"/>
    <w:rsid w:val="00354887"/>
    <w:rsid w:val="003D5D0C"/>
    <w:rsid w:val="003E7C7E"/>
    <w:rsid w:val="00433068"/>
    <w:rsid w:val="005464EC"/>
    <w:rsid w:val="00592088"/>
    <w:rsid w:val="005A53A5"/>
    <w:rsid w:val="005B4A28"/>
    <w:rsid w:val="005F20B1"/>
    <w:rsid w:val="00617C4E"/>
    <w:rsid w:val="006B217E"/>
    <w:rsid w:val="006B4121"/>
    <w:rsid w:val="006C7C27"/>
    <w:rsid w:val="006D6B7F"/>
    <w:rsid w:val="006F4CE2"/>
    <w:rsid w:val="00725CCF"/>
    <w:rsid w:val="00736A3E"/>
    <w:rsid w:val="00764F61"/>
    <w:rsid w:val="007E6D5D"/>
    <w:rsid w:val="00825FC6"/>
    <w:rsid w:val="008458E0"/>
    <w:rsid w:val="008556A8"/>
    <w:rsid w:val="008C79F5"/>
    <w:rsid w:val="008D281E"/>
    <w:rsid w:val="00900D1D"/>
    <w:rsid w:val="009403EB"/>
    <w:rsid w:val="009A51E9"/>
    <w:rsid w:val="009D7DBC"/>
    <w:rsid w:val="00B157C3"/>
    <w:rsid w:val="00B43E45"/>
    <w:rsid w:val="00BD0ED9"/>
    <w:rsid w:val="00C13604"/>
    <w:rsid w:val="00C448AF"/>
    <w:rsid w:val="00C93635"/>
    <w:rsid w:val="00CA733A"/>
    <w:rsid w:val="00D40B69"/>
    <w:rsid w:val="00D74AC5"/>
    <w:rsid w:val="00DC5496"/>
    <w:rsid w:val="00E6370D"/>
    <w:rsid w:val="00EA0CBA"/>
    <w:rsid w:val="00F10D5B"/>
    <w:rsid w:val="00F239FD"/>
    <w:rsid w:val="00F87186"/>
    <w:rsid w:val="00FE31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186"/>
    <w:rPr>
      <w:sz w:val="24"/>
      <w:szCs w:val="24"/>
    </w:rPr>
  </w:style>
  <w:style w:type="paragraph" w:styleId="Heading1">
    <w:name w:val="heading 1"/>
    <w:basedOn w:val="Normal"/>
    <w:next w:val="Normal"/>
    <w:qFormat/>
    <w:rsid w:val="00F87186"/>
    <w:pPr>
      <w:keepNext/>
      <w:jc w:val="center"/>
      <w:outlineLvl w:val="0"/>
    </w:pPr>
    <w:rPr>
      <w:b/>
    </w:rPr>
  </w:style>
  <w:style w:type="paragraph" w:styleId="Heading2">
    <w:name w:val="heading 2"/>
    <w:basedOn w:val="Normal"/>
    <w:next w:val="Normal"/>
    <w:qFormat/>
    <w:rsid w:val="00F87186"/>
    <w:pPr>
      <w:keepNext/>
      <w:autoSpaceDE w:val="0"/>
      <w:autoSpaceDN w:val="0"/>
      <w:adjustRightInd w:val="0"/>
      <w:ind w:left="540" w:firstLine="180"/>
      <w:outlineLvl w:val="1"/>
    </w:pPr>
    <w:rPr>
      <w:rFonts w:ascii="Arial" w:hAnsi="Arial" w:cs="Arial"/>
      <w:b/>
      <w:bCs/>
      <w:sz w:val="22"/>
      <w:szCs w:val="22"/>
    </w:rPr>
  </w:style>
  <w:style w:type="paragraph" w:styleId="Heading3">
    <w:name w:val="heading 3"/>
    <w:basedOn w:val="Normal"/>
    <w:next w:val="Normal"/>
    <w:qFormat/>
    <w:rsid w:val="00F87186"/>
    <w:pPr>
      <w:keepNext/>
      <w:jc w:val="center"/>
      <w:outlineLvl w:val="2"/>
    </w:pPr>
    <w:rPr>
      <w:b/>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87186"/>
    <w:pPr>
      <w:tabs>
        <w:tab w:val="center" w:pos="4320"/>
        <w:tab w:val="right" w:pos="8640"/>
      </w:tabs>
    </w:pPr>
  </w:style>
  <w:style w:type="paragraph" w:styleId="Footer">
    <w:name w:val="footer"/>
    <w:basedOn w:val="Normal"/>
    <w:link w:val="FooterChar"/>
    <w:uiPriority w:val="99"/>
    <w:rsid w:val="00F87186"/>
    <w:pPr>
      <w:tabs>
        <w:tab w:val="center" w:pos="4320"/>
        <w:tab w:val="right" w:pos="8640"/>
      </w:tabs>
    </w:pPr>
  </w:style>
  <w:style w:type="character" w:styleId="PageNumber">
    <w:name w:val="page number"/>
    <w:basedOn w:val="DefaultParagraphFont"/>
    <w:semiHidden/>
    <w:rsid w:val="00F87186"/>
  </w:style>
  <w:style w:type="paragraph" w:styleId="BodyTextIndent">
    <w:name w:val="Body Text Indent"/>
    <w:basedOn w:val="Normal"/>
    <w:semiHidden/>
    <w:rsid w:val="00F87186"/>
    <w:pPr>
      <w:ind w:left="720" w:hanging="420"/>
    </w:pPr>
  </w:style>
  <w:style w:type="paragraph" w:styleId="BodyTextIndent2">
    <w:name w:val="Body Text Indent 2"/>
    <w:basedOn w:val="Normal"/>
    <w:semiHidden/>
    <w:rsid w:val="00F87186"/>
    <w:pPr>
      <w:ind w:left="720" w:hanging="360"/>
    </w:pPr>
  </w:style>
  <w:style w:type="paragraph" w:styleId="BalloonText">
    <w:name w:val="Balloon Text"/>
    <w:basedOn w:val="Normal"/>
    <w:link w:val="BalloonTextChar"/>
    <w:uiPriority w:val="99"/>
    <w:semiHidden/>
    <w:unhideWhenUsed/>
    <w:rsid w:val="00B157C3"/>
    <w:rPr>
      <w:rFonts w:ascii="Tahoma" w:hAnsi="Tahoma" w:cs="Tahoma"/>
      <w:sz w:val="16"/>
      <w:szCs w:val="16"/>
    </w:rPr>
  </w:style>
  <w:style w:type="character" w:customStyle="1" w:styleId="BalloonTextChar">
    <w:name w:val="Balloon Text Char"/>
    <w:basedOn w:val="DefaultParagraphFont"/>
    <w:link w:val="BalloonText"/>
    <w:uiPriority w:val="99"/>
    <w:semiHidden/>
    <w:rsid w:val="00B157C3"/>
    <w:rPr>
      <w:rFonts w:ascii="Tahoma" w:hAnsi="Tahoma" w:cs="Tahoma"/>
      <w:sz w:val="16"/>
      <w:szCs w:val="16"/>
    </w:rPr>
  </w:style>
  <w:style w:type="character" w:styleId="PlaceholderText">
    <w:name w:val="Placeholder Text"/>
    <w:basedOn w:val="DefaultParagraphFont"/>
    <w:uiPriority w:val="99"/>
    <w:semiHidden/>
    <w:rsid w:val="00FE316A"/>
    <w:rPr>
      <w:color w:val="808080"/>
    </w:rPr>
  </w:style>
  <w:style w:type="character" w:customStyle="1" w:styleId="FooterChar">
    <w:name w:val="Footer Char"/>
    <w:basedOn w:val="DefaultParagraphFont"/>
    <w:link w:val="Footer"/>
    <w:uiPriority w:val="99"/>
    <w:rsid w:val="00C9363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oleObject" Target="embeddings/oleObject1.bin"/><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1983</a:t>
            </a:r>
            <a:r>
              <a:rPr lang="en-US" baseline="0"/>
              <a:t> Soap Market Share</a:t>
            </a:r>
            <a:endParaRPr lang="en-US"/>
          </a:p>
        </c:rich>
      </c:tx>
      <c:layout>
        <c:manualLayout>
          <c:xMode val="edge"/>
          <c:yMode val="edge"/>
          <c:x val="0.22588188976377938"/>
          <c:y val="4.1666666666666664E-2"/>
        </c:manualLayout>
      </c:layout>
    </c:title>
    <c:plotArea>
      <c:layout/>
      <c:pieChart>
        <c:varyColors val="1"/>
        <c:ser>
          <c:idx val="0"/>
          <c:order val="0"/>
          <c:tx>
            <c:strRef>
              <c:f>Sheet1!$E$16:$E$20</c:f>
              <c:strCache>
                <c:ptCount val="1"/>
                <c:pt idx="0">
                  <c:v>Colgate Dial P&amp;G Unilever Other</c:v>
                </c:pt>
              </c:strCache>
            </c:strRef>
          </c:tx>
          <c:dLbls>
            <c:dLbl>
              <c:idx val="0"/>
              <c:layout>
                <c:manualLayout>
                  <c:x val="-4.5326505239476712E-2"/>
                  <c:y val="0.15643331817565376"/>
                </c:manualLayout>
              </c:layout>
              <c:tx>
                <c:rich>
                  <a:bodyPr/>
                  <a:lstStyle/>
                  <a:p>
                    <a:r>
                      <a:rPr lang="en-US"/>
                      <a:t>Colgate
6.5%</a:t>
                    </a:r>
                  </a:p>
                </c:rich>
              </c:tx>
              <c:showCatName val="1"/>
              <c:showPercent val="1"/>
            </c:dLbl>
            <c:dLbl>
              <c:idx val="2"/>
              <c:layout/>
              <c:tx>
                <c:rich>
                  <a:bodyPr/>
                  <a:lstStyle/>
                  <a:p>
                    <a:r>
                      <a:rPr lang="en-US"/>
                      <a:t>P&amp;G
37.1%</a:t>
                    </a:r>
                  </a:p>
                </c:rich>
              </c:tx>
              <c:showCatName val="1"/>
              <c:showPercent val="1"/>
            </c:dLbl>
            <c:dLbl>
              <c:idx val="4"/>
              <c:layout/>
              <c:tx>
                <c:rich>
                  <a:bodyPr/>
                  <a:lstStyle/>
                  <a:p>
                    <a:r>
                      <a:rPr lang="en-US"/>
                      <a:t>Other
17.4%</a:t>
                    </a:r>
                  </a:p>
                </c:rich>
              </c:tx>
              <c:showCatName val="1"/>
              <c:showPercent val="1"/>
            </c:dLbl>
            <c:txPr>
              <a:bodyPr/>
              <a:lstStyle/>
              <a:p>
                <a:pPr>
                  <a:defRPr baseline="0"/>
                </a:pPr>
                <a:endParaRPr lang="en-US"/>
              </a:p>
            </c:txPr>
            <c:showCatName val="1"/>
            <c:showPercent val="1"/>
          </c:dLbls>
          <c:cat>
            <c:strRef>
              <c:f>Sheet1!$E$16:$E$20</c:f>
              <c:strCache>
                <c:ptCount val="5"/>
                <c:pt idx="0">
                  <c:v>Colgate</c:v>
                </c:pt>
                <c:pt idx="1">
                  <c:v>Dial</c:v>
                </c:pt>
                <c:pt idx="2">
                  <c:v>P&amp;G</c:v>
                </c:pt>
                <c:pt idx="3">
                  <c:v>Unilever</c:v>
                </c:pt>
                <c:pt idx="4">
                  <c:v>Other</c:v>
                </c:pt>
              </c:strCache>
            </c:strRef>
          </c:cat>
          <c:val>
            <c:numRef>
              <c:f>Sheet1!$F$16:$F$20</c:f>
              <c:numCache>
                <c:formatCode>General</c:formatCode>
                <c:ptCount val="5"/>
                <c:pt idx="0">
                  <c:v>6.5</c:v>
                </c:pt>
                <c:pt idx="1">
                  <c:v>15</c:v>
                </c:pt>
                <c:pt idx="2">
                  <c:v>37.1</c:v>
                </c:pt>
                <c:pt idx="3">
                  <c:v>24</c:v>
                </c:pt>
                <c:pt idx="4">
                  <c:v>17.399999999999999</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1991</a:t>
            </a:r>
            <a:r>
              <a:rPr lang="en-US" baseline="0"/>
              <a:t> Soap Market Share</a:t>
            </a:r>
            <a:endParaRPr lang="en-US"/>
          </a:p>
        </c:rich>
      </c:tx>
      <c:layout>
        <c:manualLayout>
          <c:xMode val="edge"/>
          <c:yMode val="edge"/>
          <c:x val="0.22588188976377938"/>
          <c:y val="4.1666666666666664E-2"/>
        </c:manualLayout>
      </c:layout>
    </c:title>
    <c:plotArea>
      <c:layout/>
      <c:pieChart>
        <c:varyColors val="1"/>
        <c:ser>
          <c:idx val="1"/>
          <c:order val="0"/>
          <c:tx>
            <c:strRef>
              <c:f>Sheet1!$I$16:$I$20</c:f>
              <c:strCache>
                <c:ptCount val="1"/>
                <c:pt idx="0">
                  <c:v>Colgate Dial P&amp;G Unilever Other</c:v>
                </c:pt>
              </c:strCache>
            </c:strRef>
          </c:tx>
          <c:dLbls>
            <c:dLbl>
              <c:idx val="0"/>
              <c:layout>
                <c:manualLayout>
                  <c:x val="-4.5867007740783707E-2"/>
                  <c:y val="0.13271108419139929"/>
                </c:manualLayout>
              </c:layout>
              <c:showCatName val="1"/>
              <c:showPercent val="1"/>
            </c:dLbl>
            <c:dLbl>
              <c:idx val="2"/>
              <c:layout/>
              <c:tx>
                <c:rich>
                  <a:bodyPr/>
                  <a:lstStyle/>
                  <a:p>
                    <a:r>
                      <a:rPr lang="en-US"/>
                      <a:t>P&amp;G
30.5%</a:t>
                    </a:r>
                  </a:p>
                </c:rich>
              </c:tx>
              <c:showCatName val="1"/>
              <c:showPercent val="1"/>
            </c:dLbl>
            <c:dLbl>
              <c:idx val="3"/>
              <c:layout/>
              <c:tx>
                <c:rich>
                  <a:bodyPr/>
                  <a:lstStyle/>
                  <a:p>
                    <a:r>
                      <a:rPr lang="en-US"/>
                      <a:t>Unilever
31.5%</a:t>
                    </a:r>
                  </a:p>
                </c:rich>
              </c:tx>
              <c:showCatName val="1"/>
              <c:showPercent val="1"/>
            </c:dLbl>
            <c:showCatName val="1"/>
            <c:showPercent val="1"/>
          </c:dLbls>
          <c:cat>
            <c:strRef>
              <c:f>Sheet1!$I$16:$I$20</c:f>
              <c:strCache>
                <c:ptCount val="5"/>
                <c:pt idx="0">
                  <c:v>Colgate</c:v>
                </c:pt>
                <c:pt idx="1">
                  <c:v>Dial</c:v>
                </c:pt>
                <c:pt idx="2">
                  <c:v>P&amp;G</c:v>
                </c:pt>
                <c:pt idx="3">
                  <c:v>Unilever</c:v>
                </c:pt>
                <c:pt idx="4">
                  <c:v>Other</c:v>
                </c:pt>
              </c:strCache>
            </c:strRef>
          </c:cat>
          <c:val>
            <c:numRef>
              <c:f>Sheet1!$J$16:$J$20</c:f>
              <c:numCache>
                <c:formatCode>0.00</c:formatCode>
                <c:ptCount val="5"/>
                <c:pt idx="0">
                  <c:v>8</c:v>
                </c:pt>
                <c:pt idx="1">
                  <c:v>19</c:v>
                </c:pt>
                <c:pt idx="2">
                  <c:v>30.5</c:v>
                </c:pt>
                <c:pt idx="3">
                  <c:v>31.5</c:v>
                </c:pt>
                <c:pt idx="4">
                  <c:v>11</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Pie</a:t>
            </a:r>
            <a:r>
              <a:rPr lang="en-US" baseline="0"/>
              <a:t> Chart of Latest Figures</a:t>
            </a:r>
            <a:endParaRPr lang="en-US"/>
          </a:p>
        </c:rich>
      </c:tx>
      <c:layout>
        <c:manualLayout>
          <c:xMode val="edge"/>
          <c:yMode val="edge"/>
          <c:x val="0.22588188976377938"/>
          <c:y val="4.1666666666666664E-2"/>
        </c:manualLayout>
      </c:layout>
    </c:title>
    <c:plotArea>
      <c:layout/>
      <c:pieChart>
        <c:varyColors val="1"/>
        <c:ser>
          <c:idx val="0"/>
          <c:order val="0"/>
          <c:dLbls>
            <c:dLbl>
              <c:idx val="0"/>
              <c:layout/>
              <c:tx>
                <c:rich>
                  <a:bodyPr/>
                  <a:lstStyle/>
                  <a:p>
                    <a:r>
                      <a:rPr lang="en-US"/>
                      <a:t>Colgate
13.8%</a:t>
                    </a:r>
                  </a:p>
                </c:rich>
              </c:tx>
              <c:showCatName val="1"/>
              <c:showPercent val="1"/>
            </c:dLbl>
            <c:dLbl>
              <c:idx val="1"/>
              <c:layout/>
              <c:tx>
                <c:rich>
                  <a:bodyPr/>
                  <a:lstStyle/>
                  <a:p>
                    <a:r>
                      <a:rPr lang="en-US"/>
                      <a:t>Dial
20.6%</a:t>
                    </a:r>
                  </a:p>
                </c:rich>
              </c:tx>
              <c:showCatName val="1"/>
              <c:showPercent val="1"/>
            </c:dLbl>
            <c:dLbl>
              <c:idx val="2"/>
              <c:layout/>
              <c:tx>
                <c:rich>
                  <a:bodyPr/>
                  <a:lstStyle/>
                  <a:p>
                    <a:r>
                      <a:rPr lang="en-US"/>
                      <a:t>P&amp;G
4.3%</a:t>
                    </a:r>
                  </a:p>
                </c:rich>
              </c:tx>
              <c:showCatName val="1"/>
              <c:showPercent val="1"/>
            </c:dLbl>
            <c:dLbl>
              <c:idx val="3"/>
              <c:layout/>
              <c:tx>
                <c:rich>
                  <a:bodyPr/>
                  <a:lstStyle/>
                  <a:p>
                    <a:r>
                      <a:rPr lang="en-US"/>
                      <a:t>Unilever
27.5%</a:t>
                    </a:r>
                  </a:p>
                </c:rich>
              </c:tx>
              <c:showCatName val="1"/>
              <c:showPercent val="1"/>
            </c:dLbl>
            <c:dLbl>
              <c:idx val="4"/>
              <c:layout/>
              <c:tx>
                <c:rich>
                  <a:bodyPr/>
                  <a:lstStyle/>
                  <a:p>
                    <a:r>
                      <a:rPr lang="en-US"/>
                      <a:t>Other
33.8%</a:t>
                    </a:r>
                  </a:p>
                </c:rich>
              </c:tx>
              <c:showCatName val="1"/>
              <c:showPercent val="1"/>
            </c:dLbl>
            <c:showCatName val="1"/>
            <c:showPercent val="1"/>
          </c:dLbls>
          <c:cat>
            <c:strRef>
              <c:f>Sheet1!$E$16:$E$20</c:f>
              <c:strCache>
                <c:ptCount val="5"/>
                <c:pt idx="0">
                  <c:v>Colgate</c:v>
                </c:pt>
                <c:pt idx="1">
                  <c:v>Dial</c:v>
                </c:pt>
                <c:pt idx="2">
                  <c:v>P&amp;G</c:v>
                </c:pt>
                <c:pt idx="3">
                  <c:v>Unilever</c:v>
                </c:pt>
                <c:pt idx="4">
                  <c:v>Other</c:v>
                </c:pt>
              </c:strCache>
            </c:strRef>
          </c:cat>
          <c:val>
            <c:numRef>
              <c:f>Sheet1!$B$16:$B$20</c:f>
              <c:numCache>
                <c:formatCode>General</c:formatCode>
                <c:ptCount val="5"/>
                <c:pt idx="0">
                  <c:v>49.2</c:v>
                </c:pt>
                <c:pt idx="1">
                  <c:v>73.400000000000006</c:v>
                </c:pt>
                <c:pt idx="2">
                  <c:v>15.2</c:v>
                </c:pt>
                <c:pt idx="3">
                  <c:v>98.07</c:v>
                </c:pt>
                <c:pt idx="4">
                  <c:v>120.4</c:v>
                </c:pt>
              </c:numCache>
            </c:numRef>
          </c:val>
        </c:ser>
        <c:dLbls>
          <c:showCatName val="1"/>
          <c:showPercent val="1"/>
        </c:dLbls>
        <c:firstSliceAng val="0"/>
      </c:pieChart>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631</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University of Houston - Clear Lake</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Ken  Black</dc:creator>
  <cp:keywords/>
  <dc:description/>
  <cp:lastModifiedBy> </cp:lastModifiedBy>
  <cp:revision>2</cp:revision>
  <cp:lastPrinted>2010-10-02T21:25:00Z</cp:lastPrinted>
  <dcterms:created xsi:type="dcterms:W3CDTF">2011-10-09T16:59:00Z</dcterms:created>
  <dcterms:modified xsi:type="dcterms:W3CDTF">2011-10-09T16:59:00Z</dcterms:modified>
</cp:coreProperties>
</file>