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7CCE8" w14:textId="77777777" w:rsidR="00F90419" w:rsidRPr="008629B6" w:rsidRDefault="00F90419" w:rsidP="00F90419">
      <w:pPr>
        <w:rPr>
          <w:rFonts w:ascii="Arial" w:hAnsi="Arial" w:cs="Arial"/>
          <w:b/>
          <w:sz w:val="22"/>
          <w:szCs w:val="22"/>
        </w:rPr>
      </w:pPr>
      <w:r w:rsidRPr="008629B6">
        <w:rPr>
          <w:rFonts w:ascii="Arial" w:hAnsi="Arial" w:cs="Arial"/>
          <w:b/>
          <w:sz w:val="22"/>
          <w:szCs w:val="22"/>
        </w:rPr>
        <w:t>COMPREHENSIVE CASE SOLUTIONS</w:t>
      </w:r>
    </w:p>
    <w:p w14:paraId="601CB70C" w14:textId="77777777" w:rsidR="00F90419" w:rsidRPr="008629B6" w:rsidRDefault="00F90419" w:rsidP="00F90419">
      <w:pPr>
        <w:rPr>
          <w:rFonts w:ascii="Arial" w:hAnsi="Arial" w:cs="Arial"/>
          <w:sz w:val="22"/>
          <w:szCs w:val="22"/>
        </w:rPr>
      </w:pPr>
    </w:p>
    <w:p w14:paraId="48A72E3C" w14:textId="77777777" w:rsidR="00F90419" w:rsidRPr="008629B6" w:rsidRDefault="00F90419" w:rsidP="00F90419">
      <w:pPr>
        <w:rPr>
          <w:rFonts w:ascii="Arial" w:hAnsi="Arial" w:cs="Arial"/>
          <w:sz w:val="22"/>
          <w:szCs w:val="22"/>
        </w:rPr>
      </w:pPr>
      <w:r w:rsidRPr="008629B6">
        <w:rPr>
          <w:rFonts w:ascii="Arial" w:hAnsi="Arial" w:cs="Arial"/>
          <w:sz w:val="22"/>
          <w:szCs w:val="22"/>
        </w:rPr>
        <w:t>These comprehensive cases can be found on Connect.</w:t>
      </w:r>
    </w:p>
    <w:p w14:paraId="50A59CB2" w14:textId="77777777" w:rsidR="00F90419" w:rsidRPr="008629B6" w:rsidRDefault="00F90419" w:rsidP="00F90419">
      <w:pPr>
        <w:rPr>
          <w:rFonts w:ascii="Arial" w:hAnsi="Arial" w:cs="Arial"/>
          <w:b/>
          <w:sz w:val="22"/>
          <w:szCs w:val="22"/>
        </w:rPr>
      </w:pPr>
    </w:p>
    <w:p w14:paraId="7C793DE4" w14:textId="77777777" w:rsidR="00F90419" w:rsidRPr="008629B6" w:rsidRDefault="00F90419" w:rsidP="00F90419">
      <w:pPr>
        <w:rPr>
          <w:rFonts w:ascii="Arial" w:hAnsi="Arial" w:cs="Arial"/>
          <w:b/>
          <w:sz w:val="22"/>
          <w:szCs w:val="22"/>
        </w:rPr>
      </w:pPr>
    </w:p>
    <w:p w14:paraId="52483CE0" w14:textId="77777777" w:rsidR="00F90419" w:rsidRPr="008629B6" w:rsidRDefault="00F90419" w:rsidP="00F90419">
      <w:pPr>
        <w:rPr>
          <w:rFonts w:ascii="Arial" w:hAnsi="Arial" w:cs="Arial"/>
          <w:b/>
          <w:sz w:val="22"/>
          <w:szCs w:val="22"/>
        </w:rPr>
      </w:pPr>
    </w:p>
    <w:p w14:paraId="385450B1" w14:textId="77777777" w:rsidR="00F90419" w:rsidRPr="008629B6" w:rsidRDefault="00F90419" w:rsidP="00F90419">
      <w:pPr>
        <w:rPr>
          <w:rFonts w:ascii="Arial" w:hAnsi="Arial" w:cs="Arial"/>
          <w:sz w:val="22"/>
          <w:szCs w:val="22"/>
        </w:rPr>
      </w:pPr>
      <w:r w:rsidRPr="008629B6">
        <w:rPr>
          <w:rFonts w:ascii="Arial" w:hAnsi="Arial" w:cs="Arial"/>
          <w:b/>
          <w:sz w:val="22"/>
          <w:szCs w:val="22"/>
        </w:rPr>
        <w:t xml:space="preserve">Solution to COMPREHENSIVE CASE ONE     JOHN SMITH AND BOB JOHNSON </w:t>
      </w:r>
    </w:p>
    <w:p w14:paraId="15A85EAF" w14:textId="77777777" w:rsidR="00F90419" w:rsidRPr="008629B6" w:rsidRDefault="00F90419" w:rsidP="00F90419">
      <w:pPr>
        <w:widowControl/>
        <w:spacing w:after="160" w:line="259" w:lineRule="auto"/>
        <w:rPr>
          <w:rFonts w:ascii="Arial" w:eastAsiaTheme="minorHAnsi" w:hAnsi="Arial" w:cs="Arial"/>
          <w:i/>
          <w:snapToGrid/>
          <w:sz w:val="22"/>
          <w:szCs w:val="22"/>
        </w:rPr>
      </w:pPr>
    </w:p>
    <w:p w14:paraId="774524E1" w14:textId="77777777" w:rsidR="00F90419" w:rsidRPr="008629B6" w:rsidRDefault="00F90419" w:rsidP="00F90419">
      <w:pPr>
        <w:widowControl/>
        <w:spacing w:after="160" w:line="259" w:lineRule="auto"/>
        <w:rPr>
          <w:rFonts w:ascii="Arial" w:eastAsiaTheme="minorHAnsi" w:hAnsi="Arial" w:cs="Arial"/>
          <w:i/>
          <w:snapToGrid/>
          <w:sz w:val="22"/>
          <w:szCs w:val="22"/>
        </w:rPr>
      </w:pPr>
      <w:r w:rsidRPr="008629B6">
        <w:rPr>
          <w:rFonts w:ascii="Arial" w:eastAsiaTheme="minorHAnsi" w:hAnsi="Arial" w:cs="Arial"/>
          <w:i/>
          <w:snapToGrid/>
          <w:sz w:val="22"/>
          <w:szCs w:val="22"/>
        </w:rPr>
        <w:t xml:space="preserve">Comparison of two employment offers received by John Smith </w:t>
      </w:r>
    </w:p>
    <w:p w14:paraId="32A4CC9E" w14:textId="77777777" w:rsidR="00F90419" w:rsidRPr="008629B6" w:rsidRDefault="00F90419" w:rsidP="00F90419">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ABC Co.</w:t>
      </w:r>
    </w:p>
    <w:p w14:paraId="774A8D0E" w14:textId="77777777" w:rsidR="00F90419" w:rsidRPr="008629B6" w:rsidRDefault="00F90419" w:rsidP="00F90419">
      <w:pPr>
        <w:widowControl/>
        <w:spacing w:after="160" w:line="259" w:lineRule="auto"/>
        <w:ind w:left="720"/>
        <w:contextualSpacing/>
        <w:rPr>
          <w:rFonts w:ascii="Arial" w:eastAsiaTheme="minorHAnsi" w:hAnsi="Arial" w:cs="Arial"/>
          <w:snapToGrid/>
          <w:sz w:val="22"/>
          <w:szCs w:val="22"/>
        </w:rPr>
      </w:pPr>
    </w:p>
    <w:p w14:paraId="0212531E" w14:textId="77777777" w:rsidR="00F90419" w:rsidRPr="008629B6" w:rsidRDefault="00F90419" w:rsidP="00F90419">
      <w:pPr>
        <w:widowControl/>
        <w:numPr>
          <w:ilvl w:val="1"/>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$45,000 is included in income when received [ITA 5(1)]</w:t>
      </w:r>
    </w:p>
    <w:p w14:paraId="140B5149"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113A1785" w14:textId="77777777" w:rsidR="00F90419" w:rsidRPr="008629B6" w:rsidRDefault="00F90419" w:rsidP="00F90419">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Stock option: The option is “in the money” at the date of grant; exercise price = $20; value at grant date = $25.</w:t>
      </w:r>
    </w:p>
    <w:p w14:paraId="7CA5040F"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61999CDF" w14:textId="77777777" w:rsidR="00F90419" w:rsidRPr="008629B6" w:rsidRDefault="00F90419" w:rsidP="00F90419">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not a Canadian-controlled private corporation (CCPC):</w:t>
      </w:r>
    </w:p>
    <w:p w14:paraId="5D2406BA" w14:textId="77777777" w:rsidR="00F90419" w:rsidRPr="008629B6" w:rsidRDefault="00F90419" w:rsidP="00F90419">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there will be an employment income inclusion on the exercise date to the extent the value at the exercise date exceeds $20 [ITA 7(1)]</w:t>
      </w:r>
    </w:p>
    <w:p w14:paraId="4A23071B" w14:textId="77777777" w:rsidR="00F90419" w:rsidRPr="008629B6" w:rsidRDefault="00F90419" w:rsidP="00F90419">
      <w:pPr>
        <w:widowControl/>
        <w:numPr>
          <w:ilvl w:val="0"/>
          <w:numId w:val="18"/>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the stock option deduction will not be available [ITA 110(1)(d)]</w:t>
      </w:r>
    </w:p>
    <w:p w14:paraId="3CD4621D" w14:textId="77777777" w:rsidR="00F90419" w:rsidRPr="008629B6" w:rsidRDefault="00F90419" w:rsidP="00F90419">
      <w:pPr>
        <w:widowControl/>
        <w:numPr>
          <w:ilvl w:val="0"/>
          <w:numId w:val="18"/>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3AC4BB11"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28494E6C" w14:textId="77777777" w:rsidR="00F90419" w:rsidRPr="008629B6" w:rsidRDefault="00F90419" w:rsidP="00F90419">
      <w:pPr>
        <w:widowControl/>
        <w:spacing w:after="160" w:line="259" w:lineRule="auto"/>
        <w:ind w:left="1440"/>
        <w:rPr>
          <w:rFonts w:ascii="Arial" w:eastAsiaTheme="minorHAnsi" w:hAnsi="Arial" w:cs="Arial"/>
          <w:snapToGrid/>
          <w:sz w:val="22"/>
          <w:szCs w:val="22"/>
        </w:rPr>
      </w:pPr>
      <w:r w:rsidRPr="008629B6">
        <w:rPr>
          <w:rFonts w:ascii="Arial" w:eastAsiaTheme="minorHAnsi" w:hAnsi="Arial" w:cs="Arial"/>
          <w:snapToGrid/>
          <w:sz w:val="22"/>
          <w:szCs w:val="22"/>
        </w:rPr>
        <w:t>If ABC Co is a CCPC:</w:t>
      </w:r>
    </w:p>
    <w:p w14:paraId="1F525782" w14:textId="77777777" w:rsidR="00F90419" w:rsidRPr="008629B6" w:rsidRDefault="00F90419" w:rsidP="00F90419">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the employment income inclusion is deferred until the date of disposition [ITA 7(1.1)]  </w:t>
      </w:r>
    </w:p>
    <w:p w14:paraId="34F3DAA3" w14:textId="77777777" w:rsidR="00F90419" w:rsidRPr="008629B6" w:rsidRDefault="00F90419" w:rsidP="00F90419">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if John does not dispose of the ABC Co shares within two years after acquiring them, John is entitled to the stock option deduction which is equal to ½ of the stock option employment benefit [ITA 110(1)(d.1)]</w:t>
      </w:r>
    </w:p>
    <w:p w14:paraId="0A1772D7" w14:textId="77777777" w:rsidR="00F90419" w:rsidRPr="008629B6" w:rsidRDefault="00F90419" w:rsidP="00F90419">
      <w:pPr>
        <w:widowControl/>
        <w:numPr>
          <w:ilvl w:val="0"/>
          <w:numId w:val="19"/>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John will have a capital gain or loss on the disposition of the shares based on the difference between the selling price and the value at the date of exercise</w:t>
      </w:r>
    </w:p>
    <w:p w14:paraId="409D4A7E" w14:textId="77777777" w:rsidR="00F90419" w:rsidRPr="008629B6" w:rsidRDefault="00F90419" w:rsidP="00F90419">
      <w:pPr>
        <w:widowControl/>
        <w:spacing w:after="160" w:line="259" w:lineRule="auto"/>
        <w:ind w:left="2280"/>
        <w:contextualSpacing/>
        <w:rPr>
          <w:rFonts w:ascii="Arial" w:eastAsiaTheme="minorHAnsi" w:hAnsi="Arial" w:cs="Arial"/>
          <w:snapToGrid/>
          <w:sz w:val="22"/>
          <w:szCs w:val="22"/>
        </w:rPr>
      </w:pPr>
    </w:p>
    <w:p w14:paraId="6D3F99F0" w14:textId="77777777" w:rsidR="00F90419" w:rsidRPr="008629B6" w:rsidRDefault="00F90419" w:rsidP="00F90419">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Home purchase loan: John will have an imputed interest benefit included in his employment income. The benefit is calculated by multiplying the loan principal by the prescribed rate of interest. The benefit is reduced by the 1% interest paid by John, provided the interest is paid by 30 days after the end of the calendar year. </w:t>
      </w:r>
    </w:p>
    <w:p w14:paraId="3C01880B"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21CCF194" w14:textId="77777777" w:rsidR="00F90419" w:rsidRPr="008629B6" w:rsidRDefault="00F90419" w:rsidP="00F90419">
      <w:pPr>
        <w:widowControl/>
        <w:spacing w:after="160" w:line="259" w:lineRule="auto"/>
        <w:ind w:left="144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 xml:space="preserve">If the prescribed rate increases, the loan benefit will continue to be calculated using the 2% prescribed rate in effect at the time the home purchase loan was received (for a period of five years) [ITA 80.4]. </w:t>
      </w:r>
    </w:p>
    <w:p w14:paraId="4E5C7D9A"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4D4B57AF" w14:textId="77777777" w:rsidR="00F90419" w:rsidRPr="008629B6" w:rsidRDefault="00F90419" w:rsidP="00F90419">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Private health services plan: The annual premium for prescription drugs, dental, and vision coverage does not result in a taxable benefit [ITA 6(1)(a)].</w:t>
      </w:r>
    </w:p>
    <w:p w14:paraId="5E6FAD23"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p w14:paraId="7D520C60" w14:textId="77777777" w:rsidR="00F90419" w:rsidRPr="008629B6" w:rsidRDefault="00F90419" w:rsidP="00F90419">
      <w:pPr>
        <w:widowControl/>
        <w:numPr>
          <w:ilvl w:val="1"/>
          <w:numId w:val="17"/>
        </w:numPr>
        <w:spacing w:after="160" w:line="259" w:lineRule="auto"/>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Tax deductions:  John will be able to claim the following deductions relating to his car in computing his employment income.</w:t>
      </w:r>
    </w:p>
    <w:p w14:paraId="4FB1B7F5" w14:textId="77777777" w:rsidR="00F90419" w:rsidRPr="008629B6" w:rsidRDefault="00F90419" w:rsidP="00F90419">
      <w:pPr>
        <w:widowControl/>
        <w:spacing w:after="160" w:line="259" w:lineRule="auto"/>
        <w:ind w:left="1440"/>
        <w:contextualSpacing/>
        <w:rPr>
          <w:rFonts w:ascii="Arial" w:eastAsiaTheme="minorHAnsi" w:hAnsi="Arial" w:cs="Arial"/>
          <w:snapToGrid/>
          <w:sz w:val="22"/>
          <w:szCs w:val="22"/>
        </w:rPr>
      </w:pPr>
    </w:p>
    <w:tbl>
      <w:tblPr>
        <w:tblStyle w:val="TableGrid"/>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4"/>
        <w:gridCol w:w="4133"/>
        <w:gridCol w:w="1012"/>
        <w:gridCol w:w="1128"/>
      </w:tblGrid>
      <w:tr w:rsidR="00F90419" w:rsidRPr="008629B6" w14:paraId="1F6E8A58" w14:textId="77777777" w:rsidTr="00A214C0">
        <w:tc>
          <w:tcPr>
            <w:tcW w:w="1455" w:type="dxa"/>
          </w:tcPr>
          <w:p w14:paraId="6FEB2039" w14:textId="77777777" w:rsidR="00F90419" w:rsidRPr="008629B6" w:rsidRDefault="00F90419" w:rsidP="00A214C0">
            <w:pPr>
              <w:widowControl/>
              <w:contextualSpacing/>
              <w:rPr>
                <w:rFonts w:ascii="Arial" w:hAnsi="Arial" w:cs="Arial"/>
                <w:sz w:val="22"/>
              </w:rPr>
            </w:pPr>
            <w:r w:rsidRPr="008629B6">
              <w:rPr>
                <w:rFonts w:ascii="Arial" w:hAnsi="Arial" w:cs="Arial"/>
                <w:sz w:val="22"/>
              </w:rPr>
              <w:t>CCA</w:t>
            </w:r>
          </w:p>
        </w:tc>
        <w:tc>
          <w:tcPr>
            <w:tcW w:w="4337" w:type="dxa"/>
          </w:tcPr>
          <w:p w14:paraId="2A400BF7" w14:textId="77777777" w:rsidR="00F90419" w:rsidRPr="008629B6" w:rsidRDefault="00F90419" w:rsidP="00A214C0">
            <w:pPr>
              <w:widowControl/>
              <w:contextualSpacing/>
              <w:rPr>
                <w:rFonts w:ascii="Arial" w:hAnsi="Arial" w:cs="Arial"/>
                <w:sz w:val="22"/>
              </w:rPr>
            </w:pPr>
            <w:r w:rsidRPr="008629B6">
              <w:rPr>
                <w:rFonts w:ascii="Arial" w:hAnsi="Arial" w:cs="Arial"/>
                <w:sz w:val="22"/>
              </w:rPr>
              <w:t>$25,000 (includes HST) x 30% x 1.5 (CCA rate in the first year; 30% thereafter)</w:t>
            </w:r>
          </w:p>
        </w:tc>
        <w:tc>
          <w:tcPr>
            <w:tcW w:w="1012" w:type="dxa"/>
          </w:tcPr>
          <w:p w14:paraId="7617D3E0"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$11,250</w:t>
            </w:r>
          </w:p>
        </w:tc>
        <w:tc>
          <w:tcPr>
            <w:tcW w:w="1133" w:type="dxa"/>
          </w:tcPr>
          <w:p w14:paraId="0B282DB7"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8(1)(j)</w:t>
            </w:r>
          </w:p>
        </w:tc>
      </w:tr>
      <w:tr w:rsidR="00F90419" w:rsidRPr="008629B6" w14:paraId="63D3CCBF" w14:textId="77777777" w:rsidTr="00A214C0">
        <w:tc>
          <w:tcPr>
            <w:tcW w:w="1455" w:type="dxa"/>
          </w:tcPr>
          <w:p w14:paraId="6EBE02AB" w14:textId="77777777" w:rsidR="00F90419" w:rsidRPr="008629B6" w:rsidRDefault="00F90419" w:rsidP="00A214C0">
            <w:pPr>
              <w:widowControl/>
              <w:contextualSpacing/>
              <w:rPr>
                <w:rFonts w:ascii="Arial" w:hAnsi="Arial" w:cs="Arial"/>
                <w:sz w:val="22"/>
              </w:rPr>
            </w:pPr>
            <w:r w:rsidRPr="008629B6">
              <w:rPr>
                <w:rFonts w:ascii="Arial" w:hAnsi="Arial" w:cs="Arial"/>
                <w:sz w:val="22"/>
              </w:rPr>
              <w:t>Interest</w:t>
            </w:r>
          </w:p>
        </w:tc>
        <w:tc>
          <w:tcPr>
            <w:tcW w:w="4337" w:type="dxa"/>
          </w:tcPr>
          <w:p w14:paraId="0A795CE0" w14:textId="77777777" w:rsidR="00F90419" w:rsidRPr="008629B6" w:rsidRDefault="00F90419" w:rsidP="00A214C0">
            <w:pPr>
              <w:widowControl/>
              <w:contextualSpacing/>
              <w:rPr>
                <w:rFonts w:ascii="Arial" w:hAnsi="Arial" w:cs="Arial"/>
                <w:sz w:val="22"/>
              </w:rPr>
            </w:pPr>
            <w:r w:rsidRPr="008629B6">
              <w:rPr>
                <w:rFonts w:ascii="Arial" w:hAnsi="Arial" w:cs="Arial"/>
                <w:sz w:val="22"/>
              </w:rPr>
              <w:t>Lesser of :</w:t>
            </w:r>
          </w:p>
          <w:p w14:paraId="6CECAF80" w14:textId="77777777" w:rsidR="00F90419" w:rsidRPr="008629B6" w:rsidRDefault="00F90419" w:rsidP="00A214C0">
            <w:pPr>
              <w:widowControl/>
              <w:rPr>
                <w:rFonts w:ascii="Arial" w:hAnsi="Arial" w:cs="Arial"/>
                <w:sz w:val="22"/>
              </w:rPr>
            </w:pPr>
            <w:r w:rsidRPr="008629B6">
              <w:rPr>
                <w:rFonts w:ascii="Arial" w:hAnsi="Arial" w:cs="Arial"/>
                <w:sz w:val="22"/>
              </w:rPr>
              <w:t>(i) Amount paid $3,000</w:t>
            </w:r>
          </w:p>
          <w:p w14:paraId="4F15AF32" w14:textId="77777777" w:rsidR="00F90419" w:rsidRPr="008629B6" w:rsidRDefault="00F90419" w:rsidP="00A214C0">
            <w:pPr>
              <w:widowControl/>
              <w:jc w:val="both"/>
              <w:rPr>
                <w:rFonts w:ascii="Arial" w:hAnsi="Arial" w:cs="Arial"/>
                <w:sz w:val="22"/>
              </w:rPr>
            </w:pPr>
            <w:r w:rsidRPr="008629B6">
              <w:rPr>
                <w:rFonts w:ascii="Arial" w:hAnsi="Arial" w:cs="Arial"/>
                <w:sz w:val="22"/>
              </w:rPr>
              <w:t>(ii) $300 x 365/30 = $3,650</w:t>
            </w:r>
          </w:p>
        </w:tc>
        <w:tc>
          <w:tcPr>
            <w:tcW w:w="1012" w:type="dxa"/>
          </w:tcPr>
          <w:p w14:paraId="0DEEE802" w14:textId="77777777" w:rsidR="00F90419" w:rsidRPr="008629B6" w:rsidRDefault="00F90419" w:rsidP="00A214C0">
            <w:pPr>
              <w:widowControl/>
              <w:contextualSpacing/>
              <w:jc w:val="right"/>
              <w:rPr>
                <w:rFonts w:ascii="Arial" w:hAnsi="Arial" w:cs="Arial"/>
                <w:sz w:val="22"/>
              </w:rPr>
            </w:pPr>
          </w:p>
          <w:p w14:paraId="21475C36"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3,000</w:t>
            </w:r>
          </w:p>
        </w:tc>
        <w:tc>
          <w:tcPr>
            <w:tcW w:w="1133" w:type="dxa"/>
          </w:tcPr>
          <w:p w14:paraId="49A94208" w14:textId="77777777" w:rsidR="00F90419" w:rsidRPr="008629B6" w:rsidRDefault="00F90419" w:rsidP="00A214C0">
            <w:pPr>
              <w:widowControl/>
              <w:contextualSpacing/>
              <w:jc w:val="right"/>
              <w:rPr>
                <w:rFonts w:ascii="Arial" w:hAnsi="Arial" w:cs="Arial"/>
                <w:sz w:val="22"/>
              </w:rPr>
            </w:pPr>
          </w:p>
          <w:p w14:paraId="7D571281"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8(1)(j)</w:t>
            </w:r>
          </w:p>
          <w:p w14:paraId="106DEAC2"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67.2</w:t>
            </w:r>
          </w:p>
        </w:tc>
      </w:tr>
      <w:tr w:rsidR="00F90419" w:rsidRPr="008629B6" w14:paraId="44ABFBE8" w14:textId="77777777" w:rsidTr="00A214C0">
        <w:tc>
          <w:tcPr>
            <w:tcW w:w="1455" w:type="dxa"/>
          </w:tcPr>
          <w:p w14:paraId="4F62A509" w14:textId="77777777" w:rsidR="00F90419" w:rsidRPr="008629B6" w:rsidRDefault="00F90419" w:rsidP="00A214C0">
            <w:pPr>
              <w:widowControl/>
              <w:contextualSpacing/>
              <w:rPr>
                <w:rFonts w:ascii="Arial" w:hAnsi="Arial" w:cs="Arial"/>
                <w:sz w:val="22"/>
              </w:rPr>
            </w:pPr>
            <w:r w:rsidRPr="008629B6">
              <w:rPr>
                <w:rFonts w:ascii="Arial" w:hAnsi="Arial" w:cs="Arial"/>
                <w:sz w:val="22"/>
              </w:rPr>
              <w:t>Gasoline</w:t>
            </w:r>
          </w:p>
        </w:tc>
        <w:tc>
          <w:tcPr>
            <w:tcW w:w="4337" w:type="dxa"/>
          </w:tcPr>
          <w:p w14:paraId="16622875" w14:textId="77777777" w:rsidR="00F90419" w:rsidRPr="008629B6" w:rsidRDefault="00F90419" w:rsidP="00A214C0">
            <w:pPr>
              <w:widowControl/>
              <w:contextualSpacing/>
              <w:rPr>
                <w:rFonts w:ascii="Arial" w:hAnsi="Arial" w:cs="Arial"/>
                <w:sz w:val="22"/>
              </w:rPr>
            </w:pPr>
          </w:p>
        </w:tc>
        <w:tc>
          <w:tcPr>
            <w:tcW w:w="1012" w:type="dxa"/>
          </w:tcPr>
          <w:p w14:paraId="4EB6D058"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5,000</w:t>
            </w:r>
          </w:p>
        </w:tc>
        <w:tc>
          <w:tcPr>
            <w:tcW w:w="1133" w:type="dxa"/>
          </w:tcPr>
          <w:p w14:paraId="56639084"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8(1)(h.1)</w:t>
            </w:r>
          </w:p>
        </w:tc>
      </w:tr>
      <w:tr w:rsidR="00F90419" w:rsidRPr="008629B6" w14:paraId="47032A4F" w14:textId="77777777" w:rsidTr="00A214C0">
        <w:tc>
          <w:tcPr>
            <w:tcW w:w="1455" w:type="dxa"/>
          </w:tcPr>
          <w:p w14:paraId="14EBD8F6" w14:textId="77777777" w:rsidR="00F90419" w:rsidRPr="008629B6" w:rsidRDefault="00F90419" w:rsidP="00A214C0">
            <w:pPr>
              <w:widowControl/>
              <w:contextualSpacing/>
              <w:rPr>
                <w:rFonts w:ascii="Arial" w:hAnsi="Arial" w:cs="Arial"/>
                <w:sz w:val="22"/>
              </w:rPr>
            </w:pPr>
            <w:r w:rsidRPr="008629B6">
              <w:rPr>
                <w:rFonts w:ascii="Arial" w:hAnsi="Arial" w:cs="Arial"/>
                <w:sz w:val="22"/>
              </w:rPr>
              <w:t>Insurance</w:t>
            </w:r>
          </w:p>
        </w:tc>
        <w:tc>
          <w:tcPr>
            <w:tcW w:w="4337" w:type="dxa"/>
          </w:tcPr>
          <w:p w14:paraId="36EF1B80" w14:textId="77777777" w:rsidR="00F90419" w:rsidRPr="008629B6" w:rsidRDefault="00F90419" w:rsidP="00A214C0">
            <w:pPr>
              <w:widowControl/>
              <w:contextualSpacing/>
              <w:rPr>
                <w:rFonts w:ascii="Arial" w:hAnsi="Arial" w:cs="Arial"/>
                <w:sz w:val="22"/>
              </w:rPr>
            </w:pPr>
          </w:p>
        </w:tc>
        <w:tc>
          <w:tcPr>
            <w:tcW w:w="1012" w:type="dxa"/>
          </w:tcPr>
          <w:p w14:paraId="0DFED7F1" w14:textId="77777777" w:rsidR="00F90419" w:rsidRPr="008629B6" w:rsidRDefault="00F90419" w:rsidP="00A214C0">
            <w:pPr>
              <w:widowControl/>
              <w:contextualSpacing/>
              <w:jc w:val="right"/>
              <w:rPr>
                <w:rFonts w:ascii="Arial" w:hAnsi="Arial" w:cs="Arial"/>
                <w:sz w:val="22"/>
                <w:u w:val="single"/>
              </w:rPr>
            </w:pPr>
            <w:r w:rsidRPr="008629B6">
              <w:rPr>
                <w:rFonts w:ascii="Arial" w:hAnsi="Arial" w:cs="Arial"/>
                <w:sz w:val="22"/>
                <w:u w:val="single"/>
              </w:rPr>
              <w:t xml:space="preserve">   2,000</w:t>
            </w:r>
          </w:p>
        </w:tc>
        <w:tc>
          <w:tcPr>
            <w:tcW w:w="1133" w:type="dxa"/>
          </w:tcPr>
          <w:p w14:paraId="04AEF53F" w14:textId="77777777" w:rsidR="00F90419" w:rsidRPr="008629B6" w:rsidRDefault="00F90419" w:rsidP="00A214C0">
            <w:pPr>
              <w:widowControl/>
              <w:contextualSpacing/>
              <w:jc w:val="right"/>
              <w:rPr>
                <w:rFonts w:ascii="Arial" w:hAnsi="Arial" w:cs="Arial"/>
                <w:sz w:val="22"/>
              </w:rPr>
            </w:pPr>
            <w:r w:rsidRPr="008629B6">
              <w:rPr>
                <w:rFonts w:ascii="Arial" w:hAnsi="Arial" w:cs="Arial"/>
                <w:sz w:val="22"/>
              </w:rPr>
              <w:t>8(1)(h.1)</w:t>
            </w:r>
          </w:p>
        </w:tc>
      </w:tr>
      <w:tr w:rsidR="00F90419" w:rsidRPr="008629B6" w14:paraId="174917EE" w14:textId="77777777" w:rsidTr="00A214C0">
        <w:tc>
          <w:tcPr>
            <w:tcW w:w="1455" w:type="dxa"/>
          </w:tcPr>
          <w:p w14:paraId="5F7AE9EB" w14:textId="77777777" w:rsidR="00F90419" w:rsidRPr="008629B6" w:rsidRDefault="00F90419" w:rsidP="00A214C0">
            <w:pPr>
              <w:widowControl/>
              <w:contextualSpacing/>
              <w:rPr>
                <w:rFonts w:ascii="Arial" w:hAnsi="Arial" w:cs="Arial"/>
                <w:sz w:val="22"/>
              </w:rPr>
            </w:pPr>
          </w:p>
        </w:tc>
        <w:tc>
          <w:tcPr>
            <w:tcW w:w="4337" w:type="dxa"/>
          </w:tcPr>
          <w:p w14:paraId="096CD8AE" w14:textId="77777777" w:rsidR="00F90419" w:rsidRPr="008629B6" w:rsidRDefault="00F90419" w:rsidP="00A214C0">
            <w:pPr>
              <w:widowControl/>
              <w:contextualSpacing/>
              <w:rPr>
                <w:rFonts w:ascii="Arial" w:hAnsi="Arial" w:cs="Arial"/>
                <w:sz w:val="22"/>
              </w:rPr>
            </w:pPr>
          </w:p>
        </w:tc>
        <w:tc>
          <w:tcPr>
            <w:tcW w:w="1012" w:type="dxa"/>
          </w:tcPr>
          <w:p w14:paraId="2FC14BCD" w14:textId="77777777" w:rsidR="00F90419" w:rsidRPr="008629B6" w:rsidRDefault="00F90419" w:rsidP="00A214C0">
            <w:pPr>
              <w:widowControl/>
              <w:contextualSpacing/>
              <w:jc w:val="right"/>
              <w:rPr>
                <w:rFonts w:ascii="Arial" w:hAnsi="Arial" w:cs="Arial"/>
                <w:sz w:val="22"/>
                <w:u w:val="double"/>
              </w:rPr>
            </w:pPr>
            <w:r w:rsidRPr="008629B6">
              <w:rPr>
                <w:rFonts w:ascii="Arial" w:hAnsi="Arial" w:cs="Arial"/>
                <w:sz w:val="22"/>
                <w:u w:val="double"/>
              </w:rPr>
              <w:t>$21,250</w:t>
            </w:r>
          </w:p>
        </w:tc>
        <w:tc>
          <w:tcPr>
            <w:tcW w:w="1133" w:type="dxa"/>
          </w:tcPr>
          <w:p w14:paraId="2585C0FB" w14:textId="77777777" w:rsidR="00F90419" w:rsidRPr="008629B6" w:rsidRDefault="00F90419" w:rsidP="00A214C0">
            <w:pPr>
              <w:widowControl/>
              <w:contextualSpacing/>
              <w:jc w:val="right"/>
              <w:rPr>
                <w:rFonts w:ascii="Arial" w:hAnsi="Arial" w:cs="Arial"/>
                <w:sz w:val="22"/>
              </w:rPr>
            </w:pPr>
          </w:p>
        </w:tc>
      </w:tr>
      <w:tr w:rsidR="00F90419" w:rsidRPr="008629B6" w14:paraId="3ED9D763" w14:textId="77777777" w:rsidTr="00A214C0">
        <w:tc>
          <w:tcPr>
            <w:tcW w:w="1455" w:type="dxa"/>
          </w:tcPr>
          <w:p w14:paraId="6A27C885" w14:textId="77777777" w:rsidR="00F90419" w:rsidRPr="008629B6" w:rsidRDefault="00F90419" w:rsidP="00A214C0">
            <w:pPr>
              <w:widowControl/>
              <w:contextualSpacing/>
              <w:rPr>
                <w:rFonts w:ascii="Arial" w:hAnsi="Arial" w:cs="Arial"/>
                <w:sz w:val="22"/>
              </w:rPr>
            </w:pPr>
          </w:p>
        </w:tc>
        <w:tc>
          <w:tcPr>
            <w:tcW w:w="4337" w:type="dxa"/>
          </w:tcPr>
          <w:p w14:paraId="134485F6" w14:textId="77777777" w:rsidR="00F90419" w:rsidRPr="008629B6" w:rsidRDefault="00F90419" w:rsidP="00A214C0">
            <w:pPr>
              <w:widowControl/>
              <w:contextualSpacing/>
              <w:rPr>
                <w:rFonts w:ascii="Arial" w:hAnsi="Arial" w:cs="Arial"/>
                <w:sz w:val="22"/>
              </w:rPr>
            </w:pPr>
          </w:p>
        </w:tc>
        <w:tc>
          <w:tcPr>
            <w:tcW w:w="1012" w:type="dxa"/>
          </w:tcPr>
          <w:p w14:paraId="46D3FA92" w14:textId="77777777" w:rsidR="00F90419" w:rsidRPr="008629B6" w:rsidRDefault="00F90419" w:rsidP="00A214C0">
            <w:pPr>
              <w:widowControl/>
              <w:contextualSpacing/>
              <w:jc w:val="right"/>
              <w:rPr>
                <w:rFonts w:ascii="Arial" w:hAnsi="Arial" w:cs="Arial"/>
                <w:sz w:val="22"/>
              </w:rPr>
            </w:pPr>
          </w:p>
        </w:tc>
        <w:tc>
          <w:tcPr>
            <w:tcW w:w="1133" w:type="dxa"/>
          </w:tcPr>
          <w:p w14:paraId="4D408276" w14:textId="77777777" w:rsidR="00F90419" w:rsidRPr="008629B6" w:rsidRDefault="00F90419" w:rsidP="00A214C0">
            <w:pPr>
              <w:widowControl/>
              <w:contextualSpacing/>
              <w:rPr>
                <w:rFonts w:ascii="Arial" w:hAnsi="Arial" w:cs="Arial"/>
                <w:sz w:val="22"/>
              </w:rPr>
            </w:pPr>
          </w:p>
        </w:tc>
      </w:tr>
      <w:tr w:rsidR="00F90419" w:rsidRPr="008629B6" w14:paraId="523844BF" w14:textId="77777777" w:rsidTr="00A214C0">
        <w:tc>
          <w:tcPr>
            <w:tcW w:w="1455" w:type="dxa"/>
          </w:tcPr>
          <w:p w14:paraId="4628C7BB" w14:textId="77777777" w:rsidR="00F90419" w:rsidRPr="008629B6" w:rsidRDefault="00F90419" w:rsidP="00A214C0">
            <w:pPr>
              <w:widowControl/>
              <w:contextualSpacing/>
              <w:rPr>
                <w:rFonts w:ascii="Arial" w:hAnsi="Arial" w:cs="Arial"/>
                <w:sz w:val="22"/>
              </w:rPr>
            </w:pPr>
          </w:p>
        </w:tc>
        <w:tc>
          <w:tcPr>
            <w:tcW w:w="4337" w:type="dxa"/>
          </w:tcPr>
          <w:p w14:paraId="258337D0" w14:textId="77777777" w:rsidR="00F90419" w:rsidRPr="008629B6" w:rsidRDefault="00F90419" w:rsidP="00A214C0">
            <w:pPr>
              <w:widowControl/>
              <w:contextualSpacing/>
              <w:rPr>
                <w:rFonts w:ascii="Arial" w:hAnsi="Arial" w:cs="Arial"/>
                <w:sz w:val="22"/>
              </w:rPr>
            </w:pPr>
            <w:r w:rsidRPr="008629B6">
              <w:rPr>
                <w:rFonts w:ascii="Arial" w:hAnsi="Arial" w:cs="Arial"/>
                <w:sz w:val="22"/>
              </w:rPr>
              <w:t xml:space="preserve">Employment usage </w:t>
            </w:r>
            <w:r>
              <w:rPr>
                <w:rFonts w:ascii="Arial" w:hAnsi="Arial" w:cs="Arial"/>
                <w:sz w:val="22"/>
              </w:rPr>
              <w:t>10,000/30,000</w:t>
            </w:r>
          </w:p>
        </w:tc>
        <w:tc>
          <w:tcPr>
            <w:tcW w:w="1012" w:type="dxa"/>
          </w:tcPr>
          <w:p w14:paraId="3600E91A" w14:textId="77777777" w:rsidR="00F90419" w:rsidRPr="008629B6" w:rsidRDefault="00F90419" w:rsidP="00A214C0">
            <w:pPr>
              <w:widowControl/>
              <w:contextualSpacing/>
              <w:jc w:val="right"/>
              <w:rPr>
                <w:rFonts w:ascii="Arial" w:hAnsi="Arial" w:cs="Arial"/>
                <w:sz w:val="22"/>
                <w:u w:val="double"/>
              </w:rPr>
            </w:pPr>
            <w:r w:rsidRPr="008629B6">
              <w:rPr>
                <w:rFonts w:ascii="Arial" w:hAnsi="Arial" w:cs="Arial"/>
                <w:sz w:val="22"/>
                <w:u w:val="double"/>
              </w:rPr>
              <w:t>$</w:t>
            </w:r>
            <w:r>
              <w:rPr>
                <w:rFonts w:ascii="Arial" w:hAnsi="Arial" w:cs="Arial"/>
                <w:sz w:val="22"/>
                <w:u w:val="double"/>
              </w:rPr>
              <w:t>7,083</w:t>
            </w:r>
          </w:p>
        </w:tc>
        <w:tc>
          <w:tcPr>
            <w:tcW w:w="1133" w:type="dxa"/>
          </w:tcPr>
          <w:p w14:paraId="5BFB494F" w14:textId="77777777" w:rsidR="00F90419" w:rsidRPr="008629B6" w:rsidRDefault="00F90419" w:rsidP="00A214C0">
            <w:pPr>
              <w:widowControl/>
              <w:contextualSpacing/>
              <w:rPr>
                <w:rFonts w:ascii="Arial" w:hAnsi="Arial" w:cs="Arial"/>
                <w:sz w:val="22"/>
              </w:rPr>
            </w:pPr>
          </w:p>
        </w:tc>
      </w:tr>
    </w:tbl>
    <w:p w14:paraId="53B2468D" w14:textId="77777777" w:rsidR="00F90419" w:rsidRPr="008629B6" w:rsidRDefault="00F90419" w:rsidP="00F90419">
      <w:pPr>
        <w:widowControl/>
        <w:spacing w:after="160" w:line="259" w:lineRule="auto"/>
        <w:ind w:left="720"/>
        <w:contextualSpacing/>
        <w:rPr>
          <w:rFonts w:ascii="Arial" w:eastAsiaTheme="minorHAnsi" w:hAnsi="Arial" w:cs="Arial"/>
          <w:snapToGrid/>
          <w:sz w:val="22"/>
          <w:szCs w:val="22"/>
        </w:rPr>
      </w:pPr>
    </w:p>
    <w:p w14:paraId="79497007" w14:textId="77777777" w:rsidR="00F90419" w:rsidRPr="008629B6" w:rsidRDefault="00F90419" w:rsidP="00F90419">
      <w:pPr>
        <w:widowControl/>
        <w:numPr>
          <w:ilvl w:val="0"/>
          <w:numId w:val="17"/>
        </w:numPr>
        <w:spacing w:after="160" w:line="259" w:lineRule="auto"/>
        <w:contextualSpacing/>
        <w:rPr>
          <w:rFonts w:ascii="Arial" w:eastAsiaTheme="minorHAnsi" w:hAnsi="Arial" w:cs="Arial"/>
          <w:snapToGrid/>
          <w:sz w:val="22"/>
          <w:szCs w:val="22"/>
        </w:rPr>
      </w:pPr>
      <w:r w:rsidRPr="008629B6">
        <w:rPr>
          <w:rFonts w:ascii="Arial" w:eastAsiaTheme="minorHAnsi" w:hAnsi="Arial" w:cs="Arial"/>
          <w:snapToGrid/>
          <w:sz w:val="22"/>
          <w:szCs w:val="22"/>
        </w:rPr>
        <w:t>Offer of employment from DEF Co.</w:t>
      </w:r>
    </w:p>
    <w:p w14:paraId="115BB076" w14:textId="77777777" w:rsidR="00F90419" w:rsidRPr="008629B6" w:rsidRDefault="00F90419" w:rsidP="00F90419">
      <w:pPr>
        <w:widowControl/>
        <w:spacing w:after="160" w:line="259" w:lineRule="auto"/>
        <w:ind w:left="720"/>
        <w:contextualSpacing/>
        <w:rPr>
          <w:rFonts w:ascii="Arial" w:eastAsiaTheme="minorHAnsi" w:hAnsi="Arial" w:cs="Arial"/>
          <w:snapToGrid/>
          <w:sz w:val="22"/>
          <w:szCs w:val="22"/>
        </w:rPr>
      </w:pPr>
    </w:p>
    <w:p w14:paraId="058D5259" w14:textId="77777777" w:rsidR="00F90419" w:rsidRPr="008629B6" w:rsidRDefault="00F90419" w:rsidP="00F90419">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eastAsiaTheme="minorHAnsi" w:hAnsi="Arial" w:cs="Arial"/>
          <w:snapToGrid/>
          <w:sz w:val="22"/>
          <w:szCs w:val="22"/>
        </w:rPr>
        <w:t xml:space="preserve">Salary </w:t>
      </w:r>
      <w:r w:rsidRPr="008629B6">
        <w:rPr>
          <w:rFonts w:ascii="Arial" w:hAnsi="Arial" w:cs="Arial"/>
          <w:snapToGrid/>
          <w:color w:val="000000"/>
          <w:sz w:val="22"/>
          <w:szCs w:val="22"/>
          <w:lang w:val="en-US"/>
        </w:rPr>
        <w:t>of $60,000 is included in income when received [ITA 5(1)].</w:t>
      </w:r>
    </w:p>
    <w:p w14:paraId="199CCBA5" w14:textId="77777777" w:rsidR="00F90419" w:rsidRPr="008629B6" w:rsidRDefault="00F90419" w:rsidP="00F90419">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group term life insurance premiums are included in income [ITA 6(4)].</w:t>
      </w:r>
    </w:p>
    <w:p w14:paraId="2F3D2BF8" w14:textId="77777777" w:rsidR="00F90419" w:rsidRPr="008629B6" w:rsidRDefault="00F90419" w:rsidP="00F90419">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The fitness club membership results in a taxable benefit [ITA 6(1)(a)].</w:t>
      </w:r>
      <w:r w:rsidRPr="008629B6">
        <w:rPr>
          <w:rFonts w:ascii="Arial" w:eastAsiaTheme="minorHAnsi" w:hAnsi="Arial" w:cs="Arial"/>
          <w:snapToGrid/>
          <w:color w:val="000000"/>
          <w:sz w:val="22"/>
          <w:szCs w:val="22"/>
          <w:lang w:val="en-US"/>
        </w:rPr>
        <w:t xml:space="preserve"> </w:t>
      </w:r>
    </w:p>
    <w:p w14:paraId="58CC9751" w14:textId="77777777" w:rsidR="00F90419" w:rsidRPr="008629B6" w:rsidRDefault="00F90419" w:rsidP="00F90419">
      <w:pPr>
        <w:widowControl/>
        <w:numPr>
          <w:ilvl w:val="0"/>
          <w:numId w:val="20"/>
        </w:numPr>
        <w:spacing w:after="160" w:line="259" w:lineRule="auto"/>
        <w:contextualSpacing/>
        <w:jc w:val="both"/>
        <w:rPr>
          <w:rFonts w:ascii="Arial" w:hAnsi="Arial" w:cs="Arial"/>
          <w:snapToGrid/>
          <w:color w:val="000000"/>
          <w:sz w:val="22"/>
          <w:szCs w:val="22"/>
          <w:lang w:val="en-US"/>
        </w:rPr>
      </w:pPr>
      <w:r w:rsidRPr="008629B6">
        <w:rPr>
          <w:rFonts w:ascii="Arial" w:hAnsi="Arial" w:cs="Arial"/>
          <w:snapToGrid/>
          <w:color w:val="000000"/>
          <w:sz w:val="22"/>
          <w:szCs w:val="22"/>
          <w:lang w:val="en-US"/>
        </w:rPr>
        <w:t>The phone is a capital asset and therefore CCA cannot be claimed for the purposes of computing employment income.</w:t>
      </w:r>
    </w:p>
    <w:p w14:paraId="3BD5F08B" w14:textId="77777777" w:rsidR="00F90419" w:rsidRPr="008629B6" w:rsidRDefault="00F90419" w:rsidP="00F90419">
      <w:pPr>
        <w:widowControl/>
        <w:numPr>
          <w:ilvl w:val="0"/>
          <w:numId w:val="20"/>
        </w:numPr>
        <w:spacing w:after="160" w:line="259" w:lineRule="auto"/>
        <w:contextualSpacing/>
        <w:rPr>
          <w:rFonts w:ascii="Arial" w:hAnsi="Arial" w:cs="Arial"/>
          <w:snapToGrid/>
          <w:color w:val="000000"/>
          <w:sz w:val="22"/>
          <w:szCs w:val="22"/>
          <w:lang w:val="en-US"/>
        </w:rPr>
      </w:pPr>
      <w:r w:rsidRPr="008629B6">
        <w:rPr>
          <w:rFonts w:ascii="Arial" w:hAnsi="Arial" w:cs="Arial"/>
          <w:snapToGrid/>
          <w:color w:val="000000"/>
          <w:sz w:val="22"/>
          <w:szCs w:val="22"/>
          <w:lang w:val="en-US"/>
        </w:rPr>
        <w:t xml:space="preserve">Taxable benefit with respect to the car is calculated below for </w:t>
      </w:r>
      <w:r>
        <w:rPr>
          <w:rFonts w:ascii="Arial" w:hAnsi="Arial" w:cs="Arial"/>
          <w:snapToGrid/>
          <w:color w:val="000000"/>
          <w:sz w:val="22"/>
          <w:szCs w:val="22"/>
          <w:lang w:val="en-US"/>
        </w:rPr>
        <w:t>20X8</w:t>
      </w:r>
      <w:r w:rsidRPr="008629B6">
        <w:rPr>
          <w:rFonts w:ascii="Arial" w:hAnsi="Arial" w:cs="Arial"/>
          <w:snapToGrid/>
          <w:color w:val="000000"/>
          <w:sz w:val="22"/>
          <w:szCs w:val="22"/>
          <w:lang w:val="en-US"/>
        </w:rPr>
        <w:t xml:space="preserve"> and 20X9.</w:t>
      </w:r>
    </w:p>
    <w:p w14:paraId="1979D07A" w14:textId="77777777" w:rsidR="00F90419" w:rsidRPr="008629B6" w:rsidRDefault="00F90419" w:rsidP="00F90419">
      <w:pPr>
        <w:widowControl/>
        <w:ind w:left="1080"/>
        <w:contextualSpacing/>
        <w:rPr>
          <w:rFonts w:ascii="Arial" w:hAnsi="Arial" w:cs="Arial"/>
          <w:snapToGrid/>
          <w:color w:val="000000"/>
          <w:sz w:val="22"/>
          <w:szCs w:val="22"/>
          <w:lang w:val="en-US"/>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0"/>
        <w:gridCol w:w="983"/>
        <w:gridCol w:w="987"/>
      </w:tblGrid>
      <w:tr w:rsidR="00F90419" w:rsidRPr="008629B6" w14:paraId="30CBC9A5" w14:textId="77777777" w:rsidTr="00A214C0">
        <w:tc>
          <w:tcPr>
            <w:tcW w:w="6273" w:type="dxa"/>
          </w:tcPr>
          <w:p w14:paraId="713F92D6" w14:textId="77777777" w:rsidR="00F90419" w:rsidRPr="008629B6" w:rsidRDefault="00F90419" w:rsidP="00A214C0">
            <w:pPr>
              <w:widowControl/>
              <w:contextualSpacing/>
              <w:rPr>
                <w:rFonts w:ascii="Arial" w:hAnsi="Arial" w:cs="Arial"/>
                <w:color w:val="000000"/>
                <w:sz w:val="22"/>
                <w:lang w:val="en-US"/>
              </w:rPr>
            </w:pPr>
          </w:p>
        </w:tc>
        <w:tc>
          <w:tcPr>
            <w:tcW w:w="992" w:type="dxa"/>
          </w:tcPr>
          <w:p w14:paraId="2EF116A0" w14:textId="77777777" w:rsidR="00F90419" w:rsidRPr="008629B6" w:rsidRDefault="00F90419" w:rsidP="00A214C0">
            <w:pPr>
              <w:widowControl/>
              <w:contextualSpacing/>
              <w:jc w:val="right"/>
              <w:rPr>
                <w:rFonts w:ascii="Arial" w:hAnsi="Arial" w:cs="Arial"/>
                <w:b/>
                <w:color w:val="000000"/>
                <w:sz w:val="22"/>
                <w:lang w:val="en-US"/>
              </w:rPr>
            </w:pPr>
            <w:r w:rsidRPr="008629B6">
              <w:rPr>
                <w:rFonts w:ascii="Arial" w:hAnsi="Arial" w:cs="Arial"/>
                <w:b/>
                <w:color w:val="000000"/>
                <w:sz w:val="22"/>
                <w:lang w:val="en-US"/>
              </w:rPr>
              <w:t>20X8</w:t>
            </w:r>
          </w:p>
        </w:tc>
        <w:tc>
          <w:tcPr>
            <w:tcW w:w="991" w:type="dxa"/>
          </w:tcPr>
          <w:p w14:paraId="71FDCDC4" w14:textId="77777777" w:rsidR="00F90419" w:rsidRPr="008629B6" w:rsidRDefault="00F90419" w:rsidP="00A214C0">
            <w:pPr>
              <w:widowControl/>
              <w:contextualSpacing/>
              <w:jc w:val="right"/>
              <w:rPr>
                <w:rFonts w:ascii="Arial" w:hAnsi="Arial" w:cs="Arial"/>
                <w:b/>
                <w:color w:val="000000"/>
                <w:sz w:val="22"/>
                <w:lang w:val="en-US"/>
              </w:rPr>
            </w:pPr>
            <w:r w:rsidRPr="008629B6">
              <w:rPr>
                <w:rFonts w:ascii="Arial" w:hAnsi="Arial" w:cs="Arial"/>
                <w:b/>
                <w:color w:val="000000"/>
                <w:sz w:val="22"/>
                <w:lang w:val="en-US"/>
              </w:rPr>
              <w:t>20X9</w:t>
            </w:r>
          </w:p>
        </w:tc>
      </w:tr>
      <w:tr w:rsidR="00F90419" w:rsidRPr="008629B6" w14:paraId="68A4B851" w14:textId="77777777" w:rsidTr="00A214C0">
        <w:tc>
          <w:tcPr>
            <w:tcW w:w="6273" w:type="dxa"/>
          </w:tcPr>
          <w:p w14:paraId="15039915"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Monthly lease payments</w:t>
            </w:r>
          </w:p>
        </w:tc>
        <w:tc>
          <w:tcPr>
            <w:tcW w:w="992" w:type="dxa"/>
          </w:tcPr>
          <w:p w14:paraId="461481D0"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c>
          <w:tcPr>
            <w:tcW w:w="991" w:type="dxa"/>
          </w:tcPr>
          <w:p w14:paraId="1BC4D178"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$700</w:t>
            </w:r>
          </w:p>
        </w:tc>
      </w:tr>
      <w:tr w:rsidR="00F90419" w:rsidRPr="008629B6" w14:paraId="47A02181" w14:textId="77777777" w:rsidTr="00A214C0">
        <w:tc>
          <w:tcPr>
            <w:tcW w:w="6273" w:type="dxa"/>
          </w:tcPr>
          <w:p w14:paraId="123FDF75" w14:textId="77777777" w:rsidR="00F90419" w:rsidRPr="008629B6" w:rsidRDefault="00F90419" w:rsidP="00A214C0">
            <w:pPr>
              <w:widowControl/>
              <w:contextualSpacing/>
              <w:rPr>
                <w:rFonts w:ascii="Arial" w:hAnsi="Arial" w:cs="Arial"/>
                <w:color w:val="000000"/>
                <w:sz w:val="22"/>
                <w:lang w:val="en-US"/>
              </w:rPr>
            </w:pPr>
          </w:p>
        </w:tc>
        <w:tc>
          <w:tcPr>
            <w:tcW w:w="992" w:type="dxa"/>
          </w:tcPr>
          <w:p w14:paraId="376C51CA"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c>
          <w:tcPr>
            <w:tcW w:w="991" w:type="dxa"/>
          </w:tcPr>
          <w:p w14:paraId="518A7465"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X 2/3</w:t>
            </w:r>
          </w:p>
        </w:tc>
      </w:tr>
      <w:tr w:rsidR="00F90419" w:rsidRPr="008629B6" w14:paraId="72508586" w14:textId="77777777" w:rsidTr="00A214C0">
        <w:tc>
          <w:tcPr>
            <w:tcW w:w="6273" w:type="dxa"/>
          </w:tcPr>
          <w:p w14:paraId="65323165"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Number of months car available</w:t>
            </w:r>
          </w:p>
        </w:tc>
        <w:tc>
          <w:tcPr>
            <w:tcW w:w="992" w:type="dxa"/>
          </w:tcPr>
          <w:p w14:paraId="519DE03C"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1</w:t>
            </w:r>
          </w:p>
        </w:tc>
        <w:tc>
          <w:tcPr>
            <w:tcW w:w="991" w:type="dxa"/>
          </w:tcPr>
          <w:p w14:paraId="30B030E5"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 xml:space="preserve">       12</w:t>
            </w:r>
          </w:p>
        </w:tc>
      </w:tr>
      <w:tr w:rsidR="00F90419" w:rsidRPr="008629B6" w14:paraId="07780F39" w14:textId="77777777" w:rsidTr="00A214C0">
        <w:tc>
          <w:tcPr>
            <w:tcW w:w="6273" w:type="dxa"/>
          </w:tcPr>
          <w:p w14:paraId="161F58B3"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 xml:space="preserve">            Standby Charge</w:t>
            </w:r>
          </w:p>
        </w:tc>
        <w:tc>
          <w:tcPr>
            <w:tcW w:w="992" w:type="dxa"/>
          </w:tcPr>
          <w:p w14:paraId="4B9A779C"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$467</w:t>
            </w:r>
          </w:p>
        </w:tc>
        <w:tc>
          <w:tcPr>
            <w:tcW w:w="991" w:type="dxa"/>
          </w:tcPr>
          <w:p w14:paraId="7FEB786E"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$5,600</w:t>
            </w:r>
          </w:p>
        </w:tc>
      </w:tr>
      <w:tr w:rsidR="00F90419" w:rsidRPr="008629B6" w14:paraId="618E74D6" w14:textId="77777777" w:rsidTr="00A214C0">
        <w:tc>
          <w:tcPr>
            <w:tcW w:w="6273" w:type="dxa"/>
          </w:tcPr>
          <w:p w14:paraId="23ECA98B" w14:textId="77777777" w:rsidR="00F90419" w:rsidRPr="008629B6" w:rsidRDefault="00F90419" w:rsidP="00A214C0">
            <w:pPr>
              <w:widowControl/>
              <w:contextualSpacing/>
              <w:rPr>
                <w:rFonts w:ascii="Arial" w:hAnsi="Arial" w:cs="Arial"/>
                <w:color w:val="000000"/>
                <w:sz w:val="22"/>
                <w:lang w:val="en-US"/>
              </w:rPr>
            </w:pPr>
          </w:p>
        </w:tc>
        <w:tc>
          <w:tcPr>
            <w:tcW w:w="992" w:type="dxa"/>
          </w:tcPr>
          <w:p w14:paraId="4930F6F0" w14:textId="77777777" w:rsidR="00F90419" w:rsidRPr="008629B6" w:rsidRDefault="00F90419" w:rsidP="00A214C0">
            <w:pPr>
              <w:widowControl/>
              <w:contextualSpacing/>
              <w:jc w:val="right"/>
              <w:rPr>
                <w:rFonts w:ascii="Arial" w:hAnsi="Arial" w:cs="Arial"/>
                <w:color w:val="000000"/>
                <w:sz w:val="22"/>
                <w:lang w:val="en-US"/>
              </w:rPr>
            </w:pPr>
          </w:p>
        </w:tc>
        <w:tc>
          <w:tcPr>
            <w:tcW w:w="991" w:type="dxa"/>
          </w:tcPr>
          <w:p w14:paraId="767E2CED" w14:textId="77777777" w:rsidR="00F90419" w:rsidRPr="008629B6" w:rsidRDefault="00F90419" w:rsidP="00A214C0">
            <w:pPr>
              <w:widowControl/>
              <w:contextualSpacing/>
              <w:jc w:val="right"/>
              <w:rPr>
                <w:rFonts w:ascii="Arial" w:hAnsi="Arial" w:cs="Arial"/>
                <w:color w:val="000000"/>
                <w:sz w:val="22"/>
                <w:lang w:val="en-US"/>
              </w:rPr>
            </w:pPr>
          </w:p>
        </w:tc>
      </w:tr>
      <w:tr w:rsidR="00F90419" w:rsidRPr="008629B6" w14:paraId="13E1F197" w14:textId="77777777" w:rsidTr="00A214C0">
        <w:tc>
          <w:tcPr>
            <w:tcW w:w="6273" w:type="dxa"/>
          </w:tcPr>
          <w:p w14:paraId="31250F95"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Personal kilometers</w:t>
            </w:r>
          </w:p>
        </w:tc>
        <w:tc>
          <w:tcPr>
            <w:tcW w:w="992" w:type="dxa"/>
          </w:tcPr>
          <w:p w14:paraId="75D398CC"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1,200</w:t>
            </w:r>
          </w:p>
        </w:tc>
        <w:tc>
          <w:tcPr>
            <w:tcW w:w="991" w:type="dxa"/>
          </w:tcPr>
          <w:p w14:paraId="5199C9DD" w14:textId="77777777" w:rsidR="00F90419" w:rsidRPr="008629B6" w:rsidRDefault="00F90419" w:rsidP="00A214C0">
            <w:pPr>
              <w:widowControl/>
              <w:contextualSpacing/>
              <w:jc w:val="right"/>
              <w:rPr>
                <w:rFonts w:ascii="Arial" w:hAnsi="Arial" w:cs="Arial"/>
                <w:color w:val="000000"/>
                <w:sz w:val="22"/>
                <w:lang w:val="en-US"/>
              </w:rPr>
            </w:pPr>
            <w:r w:rsidRPr="008629B6">
              <w:rPr>
                <w:rFonts w:ascii="Arial" w:hAnsi="Arial" w:cs="Arial"/>
                <w:color w:val="000000"/>
                <w:sz w:val="22"/>
                <w:lang w:val="en-US"/>
              </w:rPr>
              <w:t>14,400</w:t>
            </w:r>
          </w:p>
        </w:tc>
      </w:tr>
      <w:tr w:rsidR="00F90419" w:rsidRPr="008629B6" w14:paraId="7FEA4725" w14:textId="77777777" w:rsidTr="00A214C0">
        <w:tc>
          <w:tcPr>
            <w:tcW w:w="6273" w:type="dxa"/>
          </w:tcPr>
          <w:p w14:paraId="5DFDDA36"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 xml:space="preserve">Operating expense benefit at (2018 = $0.26; 2019 = $0.28) </w:t>
            </w:r>
          </w:p>
        </w:tc>
        <w:tc>
          <w:tcPr>
            <w:tcW w:w="992" w:type="dxa"/>
          </w:tcPr>
          <w:p w14:paraId="6EA937D6"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$312</w:t>
            </w:r>
          </w:p>
        </w:tc>
        <w:tc>
          <w:tcPr>
            <w:tcW w:w="991" w:type="dxa"/>
          </w:tcPr>
          <w:p w14:paraId="6CCFEDFF" w14:textId="77777777" w:rsidR="00F90419" w:rsidRPr="008629B6" w:rsidRDefault="00F90419" w:rsidP="00A214C0">
            <w:pPr>
              <w:widowControl/>
              <w:contextualSpacing/>
              <w:jc w:val="right"/>
              <w:rPr>
                <w:rFonts w:ascii="Arial" w:hAnsi="Arial" w:cs="Arial"/>
                <w:color w:val="000000"/>
                <w:sz w:val="22"/>
                <w:u w:val="single"/>
                <w:lang w:val="en-US"/>
              </w:rPr>
            </w:pPr>
            <w:r w:rsidRPr="008629B6">
              <w:rPr>
                <w:rFonts w:ascii="Arial" w:hAnsi="Arial" w:cs="Arial"/>
                <w:color w:val="000000"/>
                <w:sz w:val="22"/>
                <w:u w:val="single"/>
                <w:lang w:val="en-US"/>
              </w:rPr>
              <w:t>$</w:t>
            </w:r>
            <w:r>
              <w:rPr>
                <w:rFonts w:ascii="Arial" w:hAnsi="Arial" w:cs="Arial"/>
                <w:color w:val="000000"/>
                <w:sz w:val="22"/>
                <w:u w:val="single"/>
                <w:lang w:val="en-US"/>
              </w:rPr>
              <w:t>4,032</w:t>
            </w:r>
          </w:p>
        </w:tc>
      </w:tr>
      <w:tr w:rsidR="00F90419" w:rsidRPr="008629B6" w14:paraId="53D02184" w14:textId="77777777" w:rsidTr="00A214C0">
        <w:tc>
          <w:tcPr>
            <w:tcW w:w="6273" w:type="dxa"/>
          </w:tcPr>
          <w:p w14:paraId="59B84BDA" w14:textId="77777777" w:rsidR="00F90419" w:rsidRPr="008629B6" w:rsidRDefault="00F90419" w:rsidP="00A214C0">
            <w:pPr>
              <w:widowControl/>
              <w:contextualSpacing/>
              <w:rPr>
                <w:rFonts w:ascii="Arial" w:hAnsi="Arial" w:cs="Arial"/>
                <w:color w:val="000000"/>
                <w:sz w:val="22"/>
                <w:lang w:val="en-US"/>
              </w:rPr>
            </w:pPr>
          </w:p>
        </w:tc>
        <w:tc>
          <w:tcPr>
            <w:tcW w:w="992" w:type="dxa"/>
          </w:tcPr>
          <w:p w14:paraId="0E42DC51" w14:textId="77777777" w:rsidR="00F90419" w:rsidRPr="008629B6" w:rsidRDefault="00F90419" w:rsidP="00A214C0">
            <w:pPr>
              <w:widowControl/>
              <w:contextualSpacing/>
              <w:jc w:val="right"/>
              <w:rPr>
                <w:rFonts w:ascii="Arial" w:hAnsi="Arial" w:cs="Arial"/>
                <w:color w:val="000000"/>
                <w:sz w:val="22"/>
                <w:lang w:val="en-US"/>
              </w:rPr>
            </w:pPr>
          </w:p>
        </w:tc>
        <w:tc>
          <w:tcPr>
            <w:tcW w:w="991" w:type="dxa"/>
          </w:tcPr>
          <w:p w14:paraId="360AB50A" w14:textId="77777777" w:rsidR="00F90419" w:rsidRPr="008629B6" w:rsidRDefault="00F90419" w:rsidP="00A214C0">
            <w:pPr>
              <w:widowControl/>
              <w:contextualSpacing/>
              <w:jc w:val="right"/>
              <w:rPr>
                <w:rFonts w:ascii="Arial" w:hAnsi="Arial" w:cs="Arial"/>
                <w:color w:val="000000"/>
                <w:sz w:val="22"/>
                <w:lang w:val="en-US"/>
              </w:rPr>
            </w:pPr>
          </w:p>
        </w:tc>
      </w:tr>
      <w:tr w:rsidR="00F90419" w:rsidRPr="008629B6" w14:paraId="1A928F0B" w14:textId="77777777" w:rsidTr="00A214C0">
        <w:tc>
          <w:tcPr>
            <w:tcW w:w="6273" w:type="dxa"/>
          </w:tcPr>
          <w:p w14:paraId="72A29978" w14:textId="77777777" w:rsidR="00F90419" w:rsidRPr="008629B6" w:rsidRDefault="00F90419" w:rsidP="00A214C0">
            <w:pPr>
              <w:widowControl/>
              <w:contextualSpacing/>
              <w:rPr>
                <w:rFonts w:ascii="Arial" w:hAnsi="Arial" w:cs="Arial"/>
                <w:color w:val="000000"/>
                <w:sz w:val="22"/>
                <w:lang w:val="en-US"/>
              </w:rPr>
            </w:pPr>
            <w:r w:rsidRPr="008629B6">
              <w:rPr>
                <w:rFonts w:ascii="Arial" w:hAnsi="Arial" w:cs="Arial"/>
                <w:color w:val="000000"/>
                <w:sz w:val="22"/>
                <w:lang w:val="en-US"/>
              </w:rPr>
              <w:t xml:space="preserve">   TOTAL</w:t>
            </w:r>
          </w:p>
        </w:tc>
        <w:tc>
          <w:tcPr>
            <w:tcW w:w="992" w:type="dxa"/>
          </w:tcPr>
          <w:p w14:paraId="62E68C99" w14:textId="77777777" w:rsidR="00F90419" w:rsidRPr="008629B6" w:rsidRDefault="00F90419" w:rsidP="00A214C0">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$779</w:t>
            </w:r>
          </w:p>
        </w:tc>
        <w:tc>
          <w:tcPr>
            <w:tcW w:w="991" w:type="dxa"/>
          </w:tcPr>
          <w:p w14:paraId="41ACBB19" w14:textId="77777777" w:rsidR="00F90419" w:rsidRPr="008629B6" w:rsidRDefault="00F90419" w:rsidP="00A214C0">
            <w:pPr>
              <w:widowControl/>
              <w:contextualSpacing/>
              <w:jc w:val="right"/>
              <w:rPr>
                <w:rFonts w:ascii="Arial" w:hAnsi="Arial" w:cs="Arial"/>
                <w:color w:val="000000"/>
                <w:sz w:val="22"/>
                <w:u w:val="double"/>
                <w:lang w:val="en-US"/>
              </w:rPr>
            </w:pPr>
            <w:r w:rsidRPr="008629B6">
              <w:rPr>
                <w:rFonts w:ascii="Arial" w:hAnsi="Arial" w:cs="Arial"/>
                <w:color w:val="000000"/>
                <w:sz w:val="22"/>
                <w:u w:val="double"/>
                <w:lang w:val="en-US"/>
              </w:rPr>
              <w:t>$9,632</w:t>
            </w:r>
          </w:p>
        </w:tc>
      </w:tr>
    </w:tbl>
    <w:p w14:paraId="03864E20" w14:textId="77777777" w:rsidR="00F90419" w:rsidRPr="008629B6" w:rsidRDefault="00F90419" w:rsidP="00F90419">
      <w:pPr>
        <w:widowControl/>
        <w:ind w:left="1080"/>
        <w:contextualSpacing/>
        <w:rPr>
          <w:rFonts w:ascii="Arial" w:hAnsi="Arial" w:cs="Arial"/>
          <w:snapToGrid/>
          <w:color w:val="000000"/>
          <w:sz w:val="22"/>
          <w:szCs w:val="22"/>
          <w:lang w:val="en-US"/>
        </w:rPr>
      </w:pPr>
    </w:p>
    <w:p w14:paraId="526FCCC8" w14:textId="77777777" w:rsidR="00F90419" w:rsidRPr="008629B6" w:rsidRDefault="00F90419" w:rsidP="00F90419">
      <w:pPr>
        <w:widowControl/>
        <w:spacing w:after="160" w:line="259" w:lineRule="auto"/>
        <w:ind w:left="1080"/>
        <w:contextualSpacing/>
        <w:jc w:val="both"/>
        <w:rPr>
          <w:rFonts w:ascii="Arial" w:eastAsiaTheme="minorHAnsi" w:hAnsi="Arial" w:cs="Arial"/>
          <w:snapToGrid/>
          <w:sz w:val="22"/>
          <w:szCs w:val="22"/>
        </w:rPr>
      </w:pPr>
      <w:r w:rsidRPr="008629B6">
        <w:rPr>
          <w:rFonts w:ascii="Arial" w:eastAsiaTheme="minorHAnsi" w:hAnsi="Arial" w:cs="Arial"/>
          <w:snapToGrid/>
          <w:sz w:val="22"/>
          <w:szCs w:val="22"/>
        </w:rPr>
        <w:t>The reduced standby charge is not available because the car is not used primarily for employment purposes.</w:t>
      </w:r>
    </w:p>
    <w:p w14:paraId="26100679" w14:textId="77777777" w:rsidR="00F90419" w:rsidRPr="008629B6" w:rsidRDefault="00F90419" w:rsidP="00F90419">
      <w:pPr>
        <w:widowControl/>
        <w:rPr>
          <w:rFonts w:ascii="Arial" w:eastAsiaTheme="minorHAnsi" w:hAnsi="Arial" w:cs="Arial"/>
          <w:snapToGrid/>
          <w:sz w:val="22"/>
          <w:szCs w:val="22"/>
        </w:rPr>
      </w:pPr>
    </w:p>
    <w:p w14:paraId="4FD5266C" w14:textId="77777777" w:rsidR="00F90419" w:rsidRPr="008629B6" w:rsidRDefault="00F90419" w:rsidP="00F90419">
      <w:pPr>
        <w:widowControl/>
        <w:jc w:val="both"/>
        <w:rPr>
          <w:rFonts w:ascii="Arial" w:eastAsiaTheme="minorHAnsi" w:hAnsi="Arial" w:cs="Arial"/>
          <w:snapToGrid/>
          <w:sz w:val="22"/>
          <w:szCs w:val="22"/>
        </w:rPr>
      </w:pPr>
      <w:r w:rsidRPr="008629B6">
        <w:rPr>
          <w:rFonts w:ascii="Arial" w:eastAsiaTheme="minorHAnsi" w:hAnsi="Arial" w:cs="Arial"/>
          <w:snapToGrid/>
          <w:sz w:val="22"/>
          <w:szCs w:val="22"/>
        </w:rPr>
        <w:t>The employment offer that provides John with the greatest amount of disposable income after tax should be accepted.</w:t>
      </w:r>
    </w:p>
    <w:p w14:paraId="3F2FEE9A" w14:textId="77777777" w:rsidR="00F90419" w:rsidRPr="008629B6" w:rsidRDefault="00F90419" w:rsidP="00F90419">
      <w:pPr>
        <w:widowControl/>
        <w:rPr>
          <w:rFonts w:ascii="Arial" w:eastAsiaTheme="minorHAnsi" w:hAnsi="Arial" w:cs="Arial"/>
          <w:snapToGrid/>
          <w:sz w:val="22"/>
          <w:szCs w:val="22"/>
        </w:rPr>
      </w:pPr>
    </w:p>
    <w:p w14:paraId="2CE15CF8" w14:textId="77777777" w:rsidR="00F90419" w:rsidRPr="008629B6" w:rsidRDefault="00F90419" w:rsidP="00F90419">
      <w:pPr>
        <w:widowControl/>
        <w:rPr>
          <w:rFonts w:ascii="Arial" w:hAnsi="Arial" w:cs="Arial"/>
          <w:i/>
          <w:iCs/>
          <w:snapToGrid/>
          <w:color w:val="000000"/>
          <w:sz w:val="22"/>
          <w:szCs w:val="22"/>
          <w:u w:val="single"/>
          <w:lang w:val="en-US"/>
        </w:rPr>
      </w:pPr>
      <w:r w:rsidRPr="008629B6">
        <w:rPr>
          <w:rFonts w:ascii="Arial" w:hAnsi="Arial" w:cs="Arial"/>
          <w:i/>
          <w:iCs/>
          <w:snapToGrid/>
          <w:color w:val="000000"/>
          <w:sz w:val="22"/>
          <w:szCs w:val="22"/>
          <w:u w:val="single"/>
          <w:lang w:val="en-US"/>
        </w:rPr>
        <w:t xml:space="preserve">Discussion with Bob Johnson, CFO of GHI Inc. </w:t>
      </w:r>
    </w:p>
    <w:p w14:paraId="5CB85375" w14:textId="77777777" w:rsidR="00F90419" w:rsidRPr="008629B6" w:rsidRDefault="00F90419" w:rsidP="00F90419">
      <w:pPr>
        <w:widowControl/>
        <w:rPr>
          <w:rFonts w:ascii="Arial" w:eastAsiaTheme="minorHAnsi" w:hAnsi="Arial" w:cs="Arial"/>
          <w:snapToGrid/>
          <w:sz w:val="22"/>
          <w:szCs w:val="22"/>
        </w:rPr>
      </w:pPr>
    </w:p>
    <w:p w14:paraId="3592F4F1" w14:textId="2666A6A4" w:rsidR="00067299" w:rsidRPr="00F90419" w:rsidRDefault="00F90419" w:rsidP="00F90419">
      <w:r w:rsidRPr="008629B6">
        <w:rPr>
          <w:rFonts w:ascii="Arial" w:hAnsi="Arial" w:cs="Arial"/>
          <w:snapToGrid/>
          <w:color w:val="000000"/>
          <w:sz w:val="22"/>
          <w:szCs w:val="22"/>
          <w:lang w:val="en-US"/>
        </w:rPr>
        <w:t>Stock-based compensation is not deductible [ITA 7(3)(b)]. The bonuses declared by GHI Inc. in 20X7 will not be deductible in 20X7 because they were not paid in 20X7 or by June 29, 20X8 (180 days [ITA 78(4)]. The bonuses will be deductible in 20X8 when paid.</w:t>
      </w:r>
    </w:p>
    <w:sectPr w:rsidR="00067299" w:rsidRPr="00F90419" w:rsidSect="006440AA">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720" w:right="1200" w:bottom="720" w:left="1920" w:header="96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23024" w14:textId="77777777" w:rsidR="007E798D" w:rsidRDefault="007E798D">
      <w:r>
        <w:separator/>
      </w:r>
    </w:p>
  </w:endnote>
  <w:endnote w:type="continuationSeparator" w:id="0">
    <w:p w14:paraId="77CD16C4" w14:textId="77777777" w:rsidR="007E798D" w:rsidRDefault="007E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62D67" w14:textId="77777777" w:rsidR="005A3933" w:rsidRDefault="005A3933" w:rsidP="000672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88E8D" w14:textId="77777777" w:rsidR="005A3933" w:rsidRDefault="005A3933" w:rsidP="000672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E373" w14:textId="5F8A0F21" w:rsidR="005A3933" w:rsidRPr="00F14F4B" w:rsidRDefault="005A3933" w:rsidP="00067299">
    <w:pPr>
      <w:pStyle w:val="Footer"/>
      <w:framePr w:wrap="around" w:vAnchor="text" w:hAnchor="margin" w:xAlign="right" w:y="1"/>
      <w:rPr>
        <w:rStyle w:val="PageNumber"/>
        <w:sz w:val="20"/>
      </w:rPr>
    </w:pPr>
    <w:r w:rsidRPr="00F14F4B">
      <w:rPr>
        <w:rStyle w:val="PageNumber"/>
        <w:sz w:val="20"/>
      </w:rPr>
      <w:fldChar w:fldCharType="begin"/>
    </w:r>
    <w:r w:rsidRPr="00F14F4B">
      <w:rPr>
        <w:rStyle w:val="PageNumber"/>
        <w:sz w:val="20"/>
      </w:rPr>
      <w:instrText xml:space="preserve">PAGE  </w:instrText>
    </w:r>
    <w:r w:rsidRPr="00F14F4B">
      <w:rPr>
        <w:rStyle w:val="PageNumber"/>
        <w:sz w:val="20"/>
      </w:rPr>
      <w:fldChar w:fldCharType="separate"/>
    </w:r>
    <w:r w:rsidR="00F334F6">
      <w:rPr>
        <w:rStyle w:val="PageNumber"/>
        <w:noProof/>
        <w:sz w:val="20"/>
      </w:rPr>
      <w:t>1</w:t>
    </w:r>
    <w:r w:rsidRPr="00F14F4B">
      <w:rPr>
        <w:rStyle w:val="PageNumber"/>
        <w:sz w:val="20"/>
      </w:rPr>
      <w:fldChar w:fldCharType="end"/>
    </w:r>
  </w:p>
  <w:p w14:paraId="378B9190" w14:textId="69DA3A23" w:rsidR="005A3933" w:rsidRDefault="005A3933" w:rsidP="00067299">
    <w:pPr>
      <w:spacing w:line="240" w:lineRule="exact"/>
      <w:ind w:right="360"/>
      <w:rPr>
        <w:sz w:val="20"/>
        <w:u w:val="single"/>
      </w:rPr>
    </w:pPr>
    <w:r w:rsidRPr="00B510C4">
      <w:rPr>
        <w:sz w:val="20"/>
        <w:u w:val="single"/>
      </w:rPr>
      <w:t>Copyright ©</w:t>
    </w:r>
    <w:r>
      <w:rPr>
        <w:sz w:val="20"/>
        <w:u w:val="single"/>
      </w:rPr>
      <w:t xml:space="preserve"> 20</w:t>
    </w:r>
    <w:r w:rsidR="00F334F6">
      <w:rPr>
        <w:sz w:val="20"/>
        <w:u w:val="single"/>
      </w:rPr>
      <w:t>20</w:t>
    </w:r>
    <w:r>
      <w:rPr>
        <w:sz w:val="20"/>
        <w:u w:val="single"/>
      </w:rPr>
      <w:t xml:space="preserve"> McGraw-Hill Education Ltd.</w:t>
    </w:r>
  </w:p>
  <w:p w14:paraId="005C1E01" w14:textId="77777777" w:rsidR="005A3933" w:rsidRPr="00F14F4B" w:rsidRDefault="005A3933" w:rsidP="00067299">
    <w:pPr>
      <w:spacing w:line="240" w:lineRule="exact"/>
      <w:ind w:right="360"/>
      <w:rPr>
        <w:sz w:val="20"/>
      </w:rPr>
    </w:pPr>
    <w:r>
      <w:rPr>
        <w:sz w:val="20"/>
      </w:rPr>
      <w:t>Instructor</w:t>
    </w:r>
    <w:r w:rsidRPr="00F14F4B">
      <w:rPr>
        <w:sz w:val="20"/>
      </w:rPr>
      <w:t xml:space="preserve"> Solutions Manual Comprehensive Cases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3941E" w14:textId="77777777" w:rsidR="00F334F6" w:rsidRDefault="00F33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32DED" w14:textId="77777777" w:rsidR="007E798D" w:rsidRDefault="007E798D">
      <w:r>
        <w:separator/>
      </w:r>
    </w:p>
  </w:footnote>
  <w:footnote w:type="continuationSeparator" w:id="0">
    <w:p w14:paraId="0171433F" w14:textId="77777777" w:rsidR="007E798D" w:rsidRDefault="007E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1BB32" w14:textId="77777777" w:rsidR="00F334F6" w:rsidRDefault="00F334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3F2D6" w14:textId="5077302B" w:rsidR="005A3933" w:rsidRDefault="005A3933" w:rsidP="00067299">
    <w:pPr>
      <w:ind w:right="-360"/>
      <w:jc w:val="center"/>
      <w:rPr>
        <w:sz w:val="20"/>
      </w:rPr>
    </w:pPr>
    <w:r w:rsidRPr="00B510C4">
      <w:rPr>
        <w:sz w:val="20"/>
      </w:rPr>
      <w:t>Buckwold</w:t>
    </w:r>
    <w:r>
      <w:rPr>
        <w:sz w:val="20"/>
      </w:rPr>
      <w:t>, Kitunen</w:t>
    </w:r>
    <w:r w:rsidRPr="00B510C4">
      <w:rPr>
        <w:sz w:val="20"/>
      </w:rPr>
      <w:t xml:space="preserve"> and</w:t>
    </w:r>
    <w:r>
      <w:rPr>
        <w:sz w:val="20"/>
      </w:rPr>
      <w:t xml:space="preserve"> Roman</w:t>
    </w:r>
    <w:r w:rsidRPr="00B510C4">
      <w:rPr>
        <w:i/>
        <w:sz w:val="20"/>
      </w:rPr>
      <w:t xml:space="preserve">, Canadian Income Taxation, </w:t>
    </w:r>
    <w:r>
      <w:rPr>
        <w:sz w:val="20"/>
      </w:rPr>
      <w:t>2019</w:t>
    </w:r>
    <w:r w:rsidRPr="00B510C4">
      <w:rPr>
        <w:sz w:val="20"/>
      </w:rPr>
      <w:t>-</w:t>
    </w:r>
    <w:r>
      <w:rPr>
        <w:sz w:val="20"/>
      </w:rPr>
      <w:t>2020</w:t>
    </w:r>
    <w:r w:rsidRPr="00B510C4">
      <w:rPr>
        <w:sz w:val="20"/>
      </w:rPr>
      <w:t xml:space="preserve"> Ed.</w:t>
    </w:r>
  </w:p>
  <w:p w14:paraId="6917A5ED" w14:textId="77777777" w:rsidR="005A3933" w:rsidRDefault="005A3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FA610" w14:textId="77777777" w:rsidR="00F334F6" w:rsidRDefault="00F33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3644C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055C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570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A7F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3148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FE08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3E3824"/>
    <w:multiLevelType w:val="hybridMultilevel"/>
    <w:tmpl w:val="C70835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DE6A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DCA34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E01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27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623800"/>
    <w:multiLevelType w:val="hybridMultilevel"/>
    <w:tmpl w:val="167E21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DC48E5"/>
    <w:multiLevelType w:val="hybridMultilevel"/>
    <w:tmpl w:val="68842D0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533261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E674F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0F85E78"/>
    <w:multiLevelType w:val="hybridMultilevel"/>
    <w:tmpl w:val="D0E0B08E"/>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15:restartNumberingAfterBreak="0">
    <w:nsid w:val="65E70933"/>
    <w:multiLevelType w:val="hybridMultilevel"/>
    <w:tmpl w:val="BAFCE8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04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F93C33"/>
    <w:multiLevelType w:val="hybridMultilevel"/>
    <w:tmpl w:val="3EEAE654"/>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9" w15:restartNumberingAfterBreak="0">
    <w:nsid w:val="74605B36"/>
    <w:multiLevelType w:val="hybridMultilevel"/>
    <w:tmpl w:val="A344D712"/>
    <w:lvl w:ilvl="0" w:tplc="6EA2D42E">
      <w:start w:val="1"/>
      <w:numFmt w:val="lowerLetter"/>
      <w:lvlText w:val="%1)"/>
      <w:lvlJc w:val="left"/>
      <w:pPr>
        <w:ind w:left="1080" w:hanging="360"/>
      </w:pPr>
      <w:rPr>
        <w:rFonts w:ascii="Arial" w:eastAsiaTheme="minorHAnsi" w:hAnsi="Arial" w:cs="Arial"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B263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9146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EB10D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FD8532F"/>
    <w:multiLevelType w:val="hybridMultilevel"/>
    <w:tmpl w:val="059EC5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9"/>
  </w:num>
  <w:num w:numId="4">
    <w:abstractNumId w:val="3"/>
  </w:num>
  <w:num w:numId="5">
    <w:abstractNumId w:val="22"/>
  </w:num>
  <w:num w:numId="6">
    <w:abstractNumId w:val="2"/>
  </w:num>
  <w:num w:numId="7">
    <w:abstractNumId w:val="7"/>
  </w:num>
  <w:num w:numId="8">
    <w:abstractNumId w:val="10"/>
  </w:num>
  <w:num w:numId="9">
    <w:abstractNumId w:val="20"/>
  </w:num>
  <w:num w:numId="10">
    <w:abstractNumId w:val="5"/>
  </w:num>
  <w:num w:numId="11">
    <w:abstractNumId w:val="13"/>
  </w:num>
  <w:num w:numId="12">
    <w:abstractNumId w:val="4"/>
  </w:num>
  <w:num w:numId="13">
    <w:abstractNumId w:val="8"/>
  </w:num>
  <w:num w:numId="14">
    <w:abstractNumId w:val="17"/>
  </w:num>
  <w:num w:numId="15">
    <w:abstractNumId w:val="21"/>
  </w:num>
  <w:num w:numId="16">
    <w:abstractNumId w:val="0"/>
  </w:num>
  <w:num w:numId="17">
    <w:abstractNumId w:val="11"/>
  </w:num>
  <w:num w:numId="18">
    <w:abstractNumId w:val="15"/>
  </w:num>
  <w:num w:numId="19">
    <w:abstractNumId w:val="18"/>
  </w:num>
  <w:num w:numId="20">
    <w:abstractNumId w:val="19"/>
  </w:num>
  <w:num w:numId="21">
    <w:abstractNumId w:val="23"/>
  </w:num>
  <w:num w:numId="22">
    <w:abstractNumId w:val="6"/>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9F7"/>
    <w:rsid w:val="00013D6B"/>
    <w:rsid w:val="00020D60"/>
    <w:rsid w:val="00032818"/>
    <w:rsid w:val="00067299"/>
    <w:rsid w:val="00090557"/>
    <w:rsid w:val="00090B22"/>
    <w:rsid w:val="000917F0"/>
    <w:rsid w:val="000C68AF"/>
    <w:rsid w:val="000E6AAE"/>
    <w:rsid w:val="000F151B"/>
    <w:rsid w:val="00100FCA"/>
    <w:rsid w:val="00101F6E"/>
    <w:rsid w:val="00104CBB"/>
    <w:rsid w:val="00107DBE"/>
    <w:rsid w:val="00116E4C"/>
    <w:rsid w:val="00126621"/>
    <w:rsid w:val="001336B5"/>
    <w:rsid w:val="00133B22"/>
    <w:rsid w:val="00142F97"/>
    <w:rsid w:val="001567B0"/>
    <w:rsid w:val="00161BBB"/>
    <w:rsid w:val="0017016D"/>
    <w:rsid w:val="0017554C"/>
    <w:rsid w:val="00195FA2"/>
    <w:rsid w:val="001E4762"/>
    <w:rsid w:val="001E70BA"/>
    <w:rsid w:val="001F78F2"/>
    <w:rsid w:val="0020188B"/>
    <w:rsid w:val="00207240"/>
    <w:rsid w:val="002133A2"/>
    <w:rsid w:val="002319BA"/>
    <w:rsid w:val="00233A35"/>
    <w:rsid w:val="00240A71"/>
    <w:rsid w:val="0024241F"/>
    <w:rsid w:val="002730B0"/>
    <w:rsid w:val="002736E1"/>
    <w:rsid w:val="002B2615"/>
    <w:rsid w:val="002C1515"/>
    <w:rsid w:val="002C5345"/>
    <w:rsid w:val="002E7753"/>
    <w:rsid w:val="00304D86"/>
    <w:rsid w:val="003054C8"/>
    <w:rsid w:val="003165A4"/>
    <w:rsid w:val="00322D69"/>
    <w:rsid w:val="00367888"/>
    <w:rsid w:val="00386D1A"/>
    <w:rsid w:val="00393952"/>
    <w:rsid w:val="003A009A"/>
    <w:rsid w:val="003A71ED"/>
    <w:rsid w:val="003B4FC9"/>
    <w:rsid w:val="003B604D"/>
    <w:rsid w:val="003B7C82"/>
    <w:rsid w:val="003C04EE"/>
    <w:rsid w:val="003E3309"/>
    <w:rsid w:val="003F707D"/>
    <w:rsid w:val="0040336E"/>
    <w:rsid w:val="00406927"/>
    <w:rsid w:val="004116AE"/>
    <w:rsid w:val="00412FEC"/>
    <w:rsid w:val="004447B0"/>
    <w:rsid w:val="00447639"/>
    <w:rsid w:val="00461E90"/>
    <w:rsid w:val="004749C6"/>
    <w:rsid w:val="004D1CBC"/>
    <w:rsid w:val="004E69EB"/>
    <w:rsid w:val="004F10F0"/>
    <w:rsid w:val="004F17B0"/>
    <w:rsid w:val="00500049"/>
    <w:rsid w:val="005128D2"/>
    <w:rsid w:val="005501D3"/>
    <w:rsid w:val="00554847"/>
    <w:rsid w:val="00570969"/>
    <w:rsid w:val="005815A6"/>
    <w:rsid w:val="005A3933"/>
    <w:rsid w:val="005B342A"/>
    <w:rsid w:val="005B5C8D"/>
    <w:rsid w:val="005C02EC"/>
    <w:rsid w:val="005C3B03"/>
    <w:rsid w:val="005F0BAE"/>
    <w:rsid w:val="00603333"/>
    <w:rsid w:val="006251C5"/>
    <w:rsid w:val="0063733C"/>
    <w:rsid w:val="00640942"/>
    <w:rsid w:val="006440AA"/>
    <w:rsid w:val="006442B3"/>
    <w:rsid w:val="006822DC"/>
    <w:rsid w:val="0069146B"/>
    <w:rsid w:val="006925DF"/>
    <w:rsid w:val="006961A0"/>
    <w:rsid w:val="006A291D"/>
    <w:rsid w:val="006D1EF4"/>
    <w:rsid w:val="006D64EB"/>
    <w:rsid w:val="006E2D56"/>
    <w:rsid w:val="006E4996"/>
    <w:rsid w:val="006E5226"/>
    <w:rsid w:val="00711D00"/>
    <w:rsid w:val="00775F80"/>
    <w:rsid w:val="0077646C"/>
    <w:rsid w:val="007B40AA"/>
    <w:rsid w:val="007B7393"/>
    <w:rsid w:val="007E798D"/>
    <w:rsid w:val="007F5FCD"/>
    <w:rsid w:val="008012C1"/>
    <w:rsid w:val="0081065C"/>
    <w:rsid w:val="00824B4D"/>
    <w:rsid w:val="0082563A"/>
    <w:rsid w:val="00833CE3"/>
    <w:rsid w:val="00855A26"/>
    <w:rsid w:val="00856C50"/>
    <w:rsid w:val="008629B6"/>
    <w:rsid w:val="00894B9A"/>
    <w:rsid w:val="0089614D"/>
    <w:rsid w:val="008A0025"/>
    <w:rsid w:val="008A122D"/>
    <w:rsid w:val="008A4C20"/>
    <w:rsid w:val="008A5C62"/>
    <w:rsid w:val="008B257A"/>
    <w:rsid w:val="008D6135"/>
    <w:rsid w:val="008D6E5F"/>
    <w:rsid w:val="008E0969"/>
    <w:rsid w:val="008F45E3"/>
    <w:rsid w:val="009009A8"/>
    <w:rsid w:val="00917987"/>
    <w:rsid w:val="00943179"/>
    <w:rsid w:val="00972314"/>
    <w:rsid w:val="0097441C"/>
    <w:rsid w:val="009813B6"/>
    <w:rsid w:val="009A0506"/>
    <w:rsid w:val="009C65AB"/>
    <w:rsid w:val="009D6CC0"/>
    <w:rsid w:val="00A138BE"/>
    <w:rsid w:val="00A153CD"/>
    <w:rsid w:val="00A15E2D"/>
    <w:rsid w:val="00A3144B"/>
    <w:rsid w:val="00A32A4D"/>
    <w:rsid w:val="00A512EE"/>
    <w:rsid w:val="00A526CE"/>
    <w:rsid w:val="00A57819"/>
    <w:rsid w:val="00A64F39"/>
    <w:rsid w:val="00A7138A"/>
    <w:rsid w:val="00A915E4"/>
    <w:rsid w:val="00AA3717"/>
    <w:rsid w:val="00AA703D"/>
    <w:rsid w:val="00AB1D0E"/>
    <w:rsid w:val="00AC26D3"/>
    <w:rsid w:val="00AD61DE"/>
    <w:rsid w:val="00AE545B"/>
    <w:rsid w:val="00AE75EE"/>
    <w:rsid w:val="00AF4E69"/>
    <w:rsid w:val="00B0276A"/>
    <w:rsid w:val="00B35E1D"/>
    <w:rsid w:val="00B470B1"/>
    <w:rsid w:val="00B82EE0"/>
    <w:rsid w:val="00B8553E"/>
    <w:rsid w:val="00B97833"/>
    <w:rsid w:val="00BB1211"/>
    <w:rsid w:val="00BB2B7B"/>
    <w:rsid w:val="00BE6583"/>
    <w:rsid w:val="00C05560"/>
    <w:rsid w:val="00C07053"/>
    <w:rsid w:val="00C3455E"/>
    <w:rsid w:val="00C35AFD"/>
    <w:rsid w:val="00C51577"/>
    <w:rsid w:val="00C80CA2"/>
    <w:rsid w:val="00CB2102"/>
    <w:rsid w:val="00CD2816"/>
    <w:rsid w:val="00CE4F42"/>
    <w:rsid w:val="00CF6003"/>
    <w:rsid w:val="00D0172D"/>
    <w:rsid w:val="00D10F0B"/>
    <w:rsid w:val="00D53195"/>
    <w:rsid w:val="00D66B12"/>
    <w:rsid w:val="00D72E51"/>
    <w:rsid w:val="00D73762"/>
    <w:rsid w:val="00DD2954"/>
    <w:rsid w:val="00DF12DE"/>
    <w:rsid w:val="00DF7CF9"/>
    <w:rsid w:val="00E03836"/>
    <w:rsid w:val="00E038BF"/>
    <w:rsid w:val="00E06260"/>
    <w:rsid w:val="00E21027"/>
    <w:rsid w:val="00E2120C"/>
    <w:rsid w:val="00E27A6A"/>
    <w:rsid w:val="00E32DF2"/>
    <w:rsid w:val="00E47BEC"/>
    <w:rsid w:val="00E47FA3"/>
    <w:rsid w:val="00E529F7"/>
    <w:rsid w:val="00E54338"/>
    <w:rsid w:val="00E56146"/>
    <w:rsid w:val="00E561DE"/>
    <w:rsid w:val="00E8267D"/>
    <w:rsid w:val="00E830EA"/>
    <w:rsid w:val="00E83353"/>
    <w:rsid w:val="00E85336"/>
    <w:rsid w:val="00E859CD"/>
    <w:rsid w:val="00EA09FE"/>
    <w:rsid w:val="00ED3BEA"/>
    <w:rsid w:val="00ED6961"/>
    <w:rsid w:val="00F32D7C"/>
    <w:rsid w:val="00F334F6"/>
    <w:rsid w:val="00F60F02"/>
    <w:rsid w:val="00F90419"/>
    <w:rsid w:val="00FA3354"/>
    <w:rsid w:val="00FB36E2"/>
    <w:rsid w:val="00FC17A2"/>
    <w:rsid w:val="00FC3FDF"/>
    <w:rsid w:val="00FC6819"/>
    <w:rsid w:val="00FE1227"/>
    <w:rsid w:val="00FF02A5"/>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7038A1"/>
  <w15:docId w15:val="{466228CF-AB4F-4F85-B389-0CC253E7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29F7"/>
    <w:pPr>
      <w:widowControl w:val="0"/>
    </w:pPr>
    <w:rPr>
      <w:snapToGrid w:val="0"/>
      <w:sz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4E14C1"/>
    <w:pPr>
      <w:framePr w:wrap="around" w:vAnchor="text" w:hAnchor="text" w:y="1"/>
      <w:shd w:val="clear" w:color="auto" w:fill="000080"/>
      <w:jc w:val="center"/>
    </w:pPr>
    <w:rPr>
      <w:rFonts w:cs="Arial"/>
      <w:b/>
      <w:bCs/>
      <w:i/>
      <w:sz w:val="32"/>
      <w:szCs w:val="32"/>
    </w:rPr>
  </w:style>
  <w:style w:type="paragraph" w:styleId="Header">
    <w:name w:val="header"/>
    <w:basedOn w:val="Normal"/>
    <w:rsid w:val="00E529F7"/>
    <w:pPr>
      <w:tabs>
        <w:tab w:val="center" w:pos="4320"/>
        <w:tab w:val="right" w:pos="8640"/>
      </w:tabs>
    </w:pPr>
  </w:style>
  <w:style w:type="paragraph" w:customStyle="1" w:styleId="FH">
    <w:name w:val="FH"/>
    <w:basedOn w:val="Normal"/>
    <w:rsid w:val="00E529F7"/>
    <w:pPr>
      <w:tabs>
        <w:tab w:val="left" w:pos="600"/>
      </w:tabs>
      <w:ind w:left="600" w:hanging="600"/>
    </w:pPr>
    <w:rPr>
      <w:rFonts w:ascii="Courier New" w:hAnsi="Courier New"/>
    </w:rPr>
  </w:style>
  <w:style w:type="paragraph" w:customStyle="1" w:styleId="Boxesflush">
    <w:name w:val="Boxes flush"/>
    <w:basedOn w:val="Normal"/>
    <w:rsid w:val="00E529F7"/>
    <w:pPr>
      <w:tabs>
        <w:tab w:val="left" w:pos="384"/>
      </w:tabs>
      <w:ind w:left="384" w:hanging="384"/>
    </w:pPr>
    <w:rPr>
      <w:rFonts w:ascii="Courier New" w:hAnsi="Courier New"/>
    </w:rPr>
  </w:style>
  <w:style w:type="paragraph" w:customStyle="1" w:styleId="add9">
    <w:name w:val="add9"/>
    <w:basedOn w:val="FH"/>
    <w:rsid w:val="00E529F7"/>
    <w:pPr>
      <w:spacing w:line="180" w:lineRule="exact"/>
    </w:pPr>
  </w:style>
  <w:style w:type="character" w:styleId="Hyperlink">
    <w:name w:val="Hyperlink"/>
    <w:rsid w:val="00E529F7"/>
    <w:rPr>
      <w:color w:val="0000FF"/>
      <w:u w:val="single"/>
    </w:rPr>
  </w:style>
  <w:style w:type="paragraph" w:styleId="Footer">
    <w:name w:val="footer"/>
    <w:basedOn w:val="Normal"/>
    <w:rsid w:val="00E529F7"/>
    <w:pPr>
      <w:tabs>
        <w:tab w:val="center" w:pos="4320"/>
        <w:tab w:val="right" w:pos="8640"/>
      </w:tabs>
    </w:pPr>
  </w:style>
  <w:style w:type="character" w:styleId="PageNumber">
    <w:name w:val="page number"/>
    <w:basedOn w:val="DefaultParagraphFont"/>
    <w:rsid w:val="00E529F7"/>
  </w:style>
  <w:style w:type="paragraph" w:styleId="BalloonText">
    <w:name w:val="Balloon Text"/>
    <w:basedOn w:val="Normal"/>
    <w:link w:val="BalloonTextChar"/>
    <w:rsid w:val="000D3712"/>
    <w:rPr>
      <w:rFonts w:ascii="Tahoma" w:hAnsi="Tahoma"/>
      <w:sz w:val="16"/>
      <w:szCs w:val="16"/>
      <w:lang w:val="en-US"/>
    </w:rPr>
  </w:style>
  <w:style w:type="character" w:customStyle="1" w:styleId="BalloonTextChar">
    <w:name w:val="Balloon Text Char"/>
    <w:link w:val="BalloonText"/>
    <w:rsid w:val="000D3712"/>
    <w:rPr>
      <w:rFonts w:ascii="Tahoma" w:hAnsi="Tahoma" w:cs="Tahoma"/>
      <w:snapToGrid w:val="0"/>
      <w:sz w:val="16"/>
      <w:szCs w:val="16"/>
      <w:lang w:val="en-US" w:eastAsia="en-US"/>
    </w:rPr>
  </w:style>
  <w:style w:type="table" w:styleId="TableGrid">
    <w:name w:val="Table Grid"/>
    <w:basedOn w:val="TableNormal"/>
    <w:uiPriority w:val="39"/>
    <w:rsid w:val="00AA371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6442B3"/>
    <w:pPr>
      <w:ind w:left="720"/>
      <w:contextualSpacing/>
    </w:pPr>
  </w:style>
  <w:style w:type="character" w:styleId="CommentReference">
    <w:name w:val="annotation reference"/>
    <w:basedOn w:val="DefaultParagraphFont"/>
    <w:semiHidden/>
    <w:unhideWhenUsed/>
    <w:rsid w:val="00B35E1D"/>
    <w:rPr>
      <w:sz w:val="16"/>
      <w:szCs w:val="16"/>
    </w:rPr>
  </w:style>
  <w:style w:type="paragraph" w:styleId="CommentText">
    <w:name w:val="annotation text"/>
    <w:basedOn w:val="Normal"/>
    <w:link w:val="CommentTextChar"/>
    <w:semiHidden/>
    <w:unhideWhenUsed/>
    <w:rsid w:val="00B35E1D"/>
    <w:rPr>
      <w:sz w:val="20"/>
    </w:rPr>
  </w:style>
  <w:style w:type="character" w:customStyle="1" w:styleId="CommentTextChar">
    <w:name w:val="Comment Text Char"/>
    <w:basedOn w:val="DefaultParagraphFont"/>
    <w:link w:val="CommentText"/>
    <w:semiHidden/>
    <w:rsid w:val="00B35E1D"/>
    <w:rPr>
      <w:snapToGrid w:val="0"/>
      <w:lang w:val="en-CA"/>
    </w:rPr>
  </w:style>
  <w:style w:type="paragraph" w:styleId="CommentSubject">
    <w:name w:val="annotation subject"/>
    <w:basedOn w:val="CommentText"/>
    <w:next w:val="CommentText"/>
    <w:link w:val="CommentSubjectChar"/>
    <w:semiHidden/>
    <w:unhideWhenUsed/>
    <w:rsid w:val="00B35E1D"/>
    <w:rPr>
      <w:b/>
      <w:bCs/>
    </w:rPr>
  </w:style>
  <w:style w:type="character" w:customStyle="1" w:styleId="CommentSubjectChar">
    <w:name w:val="Comment Subject Char"/>
    <w:basedOn w:val="CommentTextChar"/>
    <w:link w:val="CommentSubject"/>
    <w:semiHidden/>
    <w:rsid w:val="00B35E1D"/>
    <w:rPr>
      <w:b/>
      <w:bCs/>
      <w:snapToGrid w:val="0"/>
      <w:lang w:val="en-CA"/>
    </w:rPr>
  </w:style>
  <w:style w:type="paragraph" w:styleId="Revision">
    <w:name w:val="Revision"/>
    <w:hidden/>
    <w:uiPriority w:val="71"/>
    <w:semiHidden/>
    <w:rsid w:val="00B35E1D"/>
    <w:rPr>
      <w:snapToGrid w:val="0"/>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21954">
      <w:bodyDiv w:val="1"/>
      <w:marLeft w:val="0"/>
      <w:marRight w:val="0"/>
      <w:marTop w:val="0"/>
      <w:marBottom w:val="0"/>
      <w:divBdr>
        <w:top w:val="none" w:sz="0" w:space="0" w:color="auto"/>
        <w:left w:val="none" w:sz="0" w:space="0" w:color="auto"/>
        <w:bottom w:val="none" w:sz="0" w:space="0" w:color="auto"/>
        <w:right w:val="none" w:sz="0" w:space="0" w:color="auto"/>
      </w:divBdr>
    </w:div>
    <w:div w:id="87628797">
      <w:bodyDiv w:val="1"/>
      <w:marLeft w:val="0"/>
      <w:marRight w:val="0"/>
      <w:marTop w:val="0"/>
      <w:marBottom w:val="0"/>
      <w:divBdr>
        <w:top w:val="none" w:sz="0" w:space="0" w:color="auto"/>
        <w:left w:val="none" w:sz="0" w:space="0" w:color="auto"/>
        <w:bottom w:val="none" w:sz="0" w:space="0" w:color="auto"/>
        <w:right w:val="none" w:sz="0" w:space="0" w:color="auto"/>
      </w:divBdr>
    </w:div>
    <w:div w:id="401290744">
      <w:bodyDiv w:val="1"/>
      <w:marLeft w:val="0"/>
      <w:marRight w:val="0"/>
      <w:marTop w:val="0"/>
      <w:marBottom w:val="0"/>
      <w:divBdr>
        <w:top w:val="none" w:sz="0" w:space="0" w:color="auto"/>
        <w:left w:val="none" w:sz="0" w:space="0" w:color="auto"/>
        <w:bottom w:val="none" w:sz="0" w:space="0" w:color="auto"/>
        <w:right w:val="none" w:sz="0" w:space="0" w:color="auto"/>
      </w:divBdr>
    </w:div>
    <w:div w:id="457577957">
      <w:bodyDiv w:val="1"/>
      <w:marLeft w:val="0"/>
      <w:marRight w:val="0"/>
      <w:marTop w:val="0"/>
      <w:marBottom w:val="0"/>
      <w:divBdr>
        <w:top w:val="none" w:sz="0" w:space="0" w:color="auto"/>
        <w:left w:val="none" w:sz="0" w:space="0" w:color="auto"/>
        <w:bottom w:val="none" w:sz="0" w:space="0" w:color="auto"/>
        <w:right w:val="none" w:sz="0" w:space="0" w:color="auto"/>
      </w:divBdr>
    </w:div>
    <w:div w:id="660423814">
      <w:bodyDiv w:val="1"/>
      <w:marLeft w:val="0"/>
      <w:marRight w:val="0"/>
      <w:marTop w:val="0"/>
      <w:marBottom w:val="0"/>
      <w:divBdr>
        <w:top w:val="none" w:sz="0" w:space="0" w:color="auto"/>
        <w:left w:val="none" w:sz="0" w:space="0" w:color="auto"/>
        <w:bottom w:val="none" w:sz="0" w:space="0" w:color="auto"/>
        <w:right w:val="none" w:sz="0" w:space="0" w:color="auto"/>
      </w:divBdr>
    </w:div>
    <w:div w:id="1035151873">
      <w:bodyDiv w:val="1"/>
      <w:marLeft w:val="0"/>
      <w:marRight w:val="0"/>
      <w:marTop w:val="0"/>
      <w:marBottom w:val="0"/>
      <w:divBdr>
        <w:top w:val="none" w:sz="0" w:space="0" w:color="auto"/>
        <w:left w:val="none" w:sz="0" w:space="0" w:color="auto"/>
        <w:bottom w:val="none" w:sz="0" w:space="0" w:color="auto"/>
        <w:right w:val="none" w:sz="0" w:space="0" w:color="auto"/>
      </w:divBdr>
    </w:div>
    <w:div w:id="1226919149">
      <w:bodyDiv w:val="1"/>
      <w:marLeft w:val="0"/>
      <w:marRight w:val="0"/>
      <w:marTop w:val="0"/>
      <w:marBottom w:val="0"/>
      <w:divBdr>
        <w:top w:val="none" w:sz="0" w:space="0" w:color="auto"/>
        <w:left w:val="none" w:sz="0" w:space="0" w:color="auto"/>
        <w:bottom w:val="none" w:sz="0" w:space="0" w:color="auto"/>
        <w:right w:val="none" w:sz="0" w:space="0" w:color="auto"/>
      </w:divBdr>
    </w:div>
    <w:div w:id="1507748714">
      <w:bodyDiv w:val="1"/>
      <w:marLeft w:val="0"/>
      <w:marRight w:val="0"/>
      <w:marTop w:val="0"/>
      <w:marBottom w:val="0"/>
      <w:divBdr>
        <w:top w:val="none" w:sz="0" w:space="0" w:color="auto"/>
        <w:left w:val="none" w:sz="0" w:space="0" w:color="auto"/>
        <w:bottom w:val="none" w:sz="0" w:space="0" w:color="auto"/>
        <w:right w:val="none" w:sz="0" w:space="0" w:color="auto"/>
      </w:divBdr>
    </w:div>
    <w:div w:id="1667172366">
      <w:bodyDiv w:val="1"/>
      <w:marLeft w:val="0"/>
      <w:marRight w:val="0"/>
      <w:marTop w:val="0"/>
      <w:marBottom w:val="0"/>
      <w:divBdr>
        <w:top w:val="none" w:sz="0" w:space="0" w:color="auto"/>
        <w:left w:val="none" w:sz="0" w:space="0" w:color="auto"/>
        <w:bottom w:val="none" w:sz="0" w:space="0" w:color="auto"/>
        <w:right w:val="none" w:sz="0" w:space="0" w:color="auto"/>
      </w:divBdr>
    </w:div>
    <w:div w:id="1909683875">
      <w:bodyDiv w:val="1"/>
      <w:marLeft w:val="0"/>
      <w:marRight w:val="0"/>
      <w:marTop w:val="0"/>
      <w:marBottom w:val="0"/>
      <w:divBdr>
        <w:top w:val="none" w:sz="0" w:space="0" w:color="auto"/>
        <w:left w:val="none" w:sz="0" w:space="0" w:color="auto"/>
        <w:bottom w:val="none" w:sz="0" w:space="0" w:color="auto"/>
        <w:right w:val="none" w:sz="0" w:space="0" w:color="auto"/>
      </w:divBdr>
    </w:div>
    <w:div w:id="204120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761D2-158A-428E-BDA1-74082F120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COMPREHENSIVE CASE SOLUTIONS – CHAPTERS 12 - 21</vt:lpstr>
    </vt:vector>
  </TitlesOfParts>
  <Company>The McGraw-Hill Companies</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CASE SOLUTIONS – CHAPTERS 12 - 21</dc:title>
  <dc:creator>marcia_luke</dc:creator>
  <cp:lastModifiedBy>Thar Adale</cp:lastModifiedBy>
  <cp:revision>4</cp:revision>
  <cp:lastPrinted>2019-05-20T13:20:00Z</cp:lastPrinted>
  <dcterms:created xsi:type="dcterms:W3CDTF">2019-05-21T21:12:00Z</dcterms:created>
  <dcterms:modified xsi:type="dcterms:W3CDTF">2020-06-29T20:56:00Z</dcterms:modified>
</cp:coreProperties>
</file>