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64E" w:rsidRDefault="0099164E">
      <w:pPr>
        <w:pStyle w:val="Footer"/>
        <w:tabs>
          <w:tab w:val="clear" w:pos="4320"/>
          <w:tab w:val="clear" w:pos="8640"/>
        </w:tabs>
      </w:pPr>
      <w:bookmarkStart w:id="0" w:name="_GoBack"/>
      <w:bookmarkEnd w:id="0"/>
    </w:p>
    <w:tbl>
      <w:tblPr>
        <w:tblW w:w="0" w:type="auto"/>
        <w:tblLayout w:type="fixed"/>
        <w:tblLook w:val="0000" w:firstRow="0" w:lastRow="0" w:firstColumn="0" w:lastColumn="0" w:noHBand="0" w:noVBand="0"/>
      </w:tblPr>
      <w:tblGrid>
        <w:gridCol w:w="4788"/>
        <w:gridCol w:w="4788"/>
      </w:tblGrid>
      <w:tr w:rsidR="0099164E">
        <w:tc>
          <w:tcPr>
            <w:tcW w:w="4788" w:type="dxa"/>
          </w:tcPr>
          <w:p w:rsidR="0099164E" w:rsidRDefault="0099164E">
            <w:pPr>
              <w:pStyle w:val="Heading1"/>
            </w:pPr>
            <w:r>
              <w:t>Chem-Med Company</w:t>
            </w:r>
          </w:p>
        </w:tc>
        <w:tc>
          <w:tcPr>
            <w:tcW w:w="4788" w:type="dxa"/>
          </w:tcPr>
          <w:p w:rsidR="0099164E" w:rsidRDefault="0099164E">
            <w:pPr>
              <w:pStyle w:val="Heading1"/>
              <w:jc w:val="right"/>
              <w:rPr>
                <w:b w:val="0"/>
              </w:rPr>
            </w:pPr>
            <w:r>
              <w:rPr>
                <w:b w:val="0"/>
              </w:rPr>
              <w:t>Case 2</w:t>
            </w:r>
          </w:p>
        </w:tc>
      </w:tr>
    </w:tbl>
    <w:p w:rsidR="0099164E" w:rsidRDefault="0099164E"/>
    <w:p w:rsidR="0099164E" w:rsidRDefault="0099164E">
      <w:pPr>
        <w:pStyle w:val="Heading2"/>
        <w:ind w:left="360" w:hanging="360"/>
        <w:jc w:val="center"/>
      </w:pPr>
      <w:r>
        <w:t>Ratio Analysis</w:t>
      </w:r>
    </w:p>
    <w:p w:rsidR="0099164E" w:rsidRDefault="0099164E">
      <w:r>
        <w:t>Purpose:  The case allows the student to go into financial analyses in more depth than in possible with end-of-chapter problems.  In addition to computing a series of ratios, the student must consider industry data and trends for the purpose of evaluating relative performance.  The student must also make use of the Du Pont system of analysis.  Of special interest are the debt and performance covenants established by the potential financier.  Finally, the student is forced to identify the impact of extraordinary income on ratio analysis and how it can distort one year’s performance.</w:t>
      </w:r>
    </w:p>
    <w:p w:rsidR="0099164E" w:rsidRDefault="0099164E">
      <w:pPr>
        <w:ind w:left="360" w:hanging="360"/>
      </w:pPr>
    </w:p>
    <w:p w:rsidR="0099164E" w:rsidRDefault="0099164E">
      <w:pPr>
        <w:ind w:left="360" w:hanging="360"/>
      </w:pPr>
      <w:r>
        <w:t>Relation to Text:  The case should follow Chapter 3.</w:t>
      </w:r>
    </w:p>
    <w:p w:rsidR="0099164E" w:rsidRDefault="0099164E">
      <w:pPr>
        <w:ind w:left="360" w:hanging="360"/>
      </w:pPr>
    </w:p>
    <w:p w:rsidR="0099164E" w:rsidRDefault="0099164E">
      <w:pPr>
        <w:ind w:left="360" w:hanging="360"/>
      </w:pPr>
      <w:r>
        <w:t>Complexity:  The case is moderately complex.  It should require 1-1½ hours.</w:t>
      </w:r>
    </w:p>
    <w:p w:rsidR="0099164E" w:rsidRDefault="0099164E">
      <w:pPr>
        <w:pStyle w:val="Heading2"/>
        <w:ind w:left="360" w:hanging="360"/>
      </w:pPr>
      <w:r>
        <w:br w:type="page"/>
      </w:r>
      <w:r>
        <w:lastRenderedPageBreak/>
        <w:t>Solutions</w:t>
      </w:r>
    </w:p>
    <w:p w:rsidR="0099164E" w:rsidRDefault="0099164E">
      <w:pPr>
        <w:numPr>
          <w:ilvl w:val="0"/>
          <w:numId w:val="1"/>
        </w:numPr>
      </w:pPr>
      <w:r>
        <w:t>Sales Growth = (Sales this year – Sales last year) / Sales last year</w:t>
      </w:r>
    </w:p>
    <w:tbl>
      <w:tblPr>
        <w:tblW w:w="0" w:type="auto"/>
        <w:tblInd w:w="378" w:type="dxa"/>
        <w:tblLayout w:type="fixed"/>
        <w:tblLook w:val="0000" w:firstRow="0" w:lastRow="0" w:firstColumn="0" w:lastColumn="0" w:noHBand="0" w:noVBand="0"/>
      </w:tblPr>
      <w:tblGrid>
        <w:gridCol w:w="990"/>
        <w:gridCol w:w="1080"/>
        <w:gridCol w:w="270"/>
        <w:gridCol w:w="900"/>
        <w:gridCol w:w="270"/>
        <w:gridCol w:w="900"/>
        <w:gridCol w:w="270"/>
        <w:gridCol w:w="270"/>
        <w:gridCol w:w="630"/>
      </w:tblGrid>
      <w:tr w:rsidR="0099164E">
        <w:tc>
          <w:tcPr>
            <w:tcW w:w="990" w:type="dxa"/>
          </w:tcPr>
          <w:p w:rsidR="0099164E" w:rsidRDefault="0099164E" w:rsidP="00B91534">
            <w:pPr>
              <w:ind w:left="360" w:hanging="360"/>
            </w:pPr>
            <w:r>
              <w:t>for 20</w:t>
            </w:r>
            <w:r w:rsidR="00B91534">
              <w:t>10</w:t>
            </w:r>
          </w:p>
        </w:tc>
        <w:tc>
          <w:tcPr>
            <w:tcW w:w="1080" w:type="dxa"/>
          </w:tcPr>
          <w:p w:rsidR="0099164E" w:rsidRDefault="0099164E">
            <w:pPr>
              <w:ind w:left="360" w:hanging="360"/>
              <w:jc w:val="right"/>
            </w:pPr>
            <w:r>
              <w:t>$</w:t>
            </w:r>
            <w:r>
              <w:t> </w:t>
            </w:r>
            <w:r>
              <w:t>3,814</w:t>
            </w:r>
          </w:p>
        </w:tc>
        <w:tc>
          <w:tcPr>
            <w:tcW w:w="270" w:type="dxa"/>
          </w:tcPr>
          <w:p w:rsidR="0099164E" w:rsidRDefault="0099164E">
            <w:pPr>
              <w:ind w:left="360" w:hanging="360"/>
              <w:jc w:val="right"/>
            </w:pPr>
            <w:r>
              <w:t>–</w:t>
            </w:r>
          </w:p>
        </w:tc>
        <w:tc>
          <w:tcPr>
            <w:tcW w:w="900" w:type="dxa"/>
          </w:tcPr>
          <w:p w:rsidR="0099164E" w:rsidRDefault="0099164E">
            <w:pPr>
              <w:ind w:left="360" w:hanging="360"/>
              <w:jc w:val="right"/>
            </w:pPr>
            <w:r>
              <w:t>$3,051</w:t>
            </w:r>
          </w:p>
        </w:tc>
        <w:tc>
          <w:tcPr>
            <w:tcW w:w="270" w:type="dxa"/>
          </w:tcPr>
          <w:p w:rsidR="0099164E" w:rsidRDefault="0099164E">
            <w:pPr>
              <w:ind w:left="360" w:hanging="360"/>
              <w:jc w:val="center"/>
            </w:pPr>
            <w:r>
              <w:t>/</w:t>
            </w:r>
          </w:p>
        </w:tc>
        <w:tc>
          <w:tcPr>
            <w:tcW w:w="900" w:type="dxa"/>
          </w:tcPr>
          <w:p w:rsidR="0099164E" w:rsidRDefault="0099164E">
            <w:pPr>
              <w:ind w:left="360" w:hanging="360"/>
              <w:jc w:val="right"/>
            </w:pPr>
            <w:r>
              <w:t>$3,051</w:t>
            </w:r>
          </w:p>
        </w:tc>
        <w:tc>
          <w:tcPr>
            <w:tcW w:w="270" w:type="dxa"/>
          </w:tcPr>
          <w:p w:rsidR="0099164E" w:rsidRDefault="0099164E">
            <w:pPr>
              <w:ind w:left="360" w:hanging="360"/>
              <w:jc w:val="right"/>
            </w:pPr>
            <w:r>
              <w:t>=</w:t>
            </w:r>
          </w:p>
        </w:tc>
        <w:tc>
          <w:tcPr>
            <w:tcW w:w="270" w:type="dxa"/>
          </w:tcPr>
          <w:p w:rsidR="0099164E" w:rsidRDefault="0099164E">
            <w:pPr>
              <w:ind w:left="360" w:hanging="360"/>
              <w:jc w:val="right"/>
            </w:pPr>
            <w:r>
              <w:t>+</w:t>
            </w:r>
          </w:p>
        </w:tc>
        <w:tc>
          <w:tcPr>
            <w:tcW w:w="630" w:type="dxa"/>
          </w:tcPr>
          <w:p w:rsidR="0099164E" w:rsidRDefault="0099164E">
            <w:pPr>
              <w:ind w:left="360" w:hanging="360"/>
              <w:jc w:val="right"/>
            </w:pPr>
            <w:r>
              <w:t>25%</w:t>
            </w:r>
          </w:p>
        </w:tc>
      </w:tr>
      <w:tr w:rsidR="0099164E">
        <w:tc>
          <w:tcPr>
            <w:tcW w:w="990" w:type="dxa"/>
          </w:tcPr>
          <w:p w:rsidR="0099164E" w:rsidRDefault="0099164E" w:rsidP="00B91534">
            <w:pPr>
              <w:ind w:left="360" w:hanging="360"/>
            </w:pPr>
            <w:r>
              <w:t>for 20</w:t>
            </w:r>
            <w:r w:rsidR="00B91534">
              <w:t>11</w:t>
            </w:r>
          </w:p>
        </w:tc>
        <w:tc>
          <w:tcPr>
            <w:tcW w:w="1080" w:type="dxa"/>
          </w:tcPr>
          <w:p w:rsidR="0099164E" w:rsidRDefault="0099164E">
            <w:pPr>
              <w:ind w:left="360" w:hanging="360"/>
              <w:jc w:val="right"/>
            </w:pPr>
            <w:r>
              <w:t>5,340</w:t>
            </w:r>
          </w:p>
        </w:tc>
        <w:tc>
          <w:tcPr>
            <w:tcW w:w="270" w:type="dxa"/>
          </w:tcPr>
          <w:p w:rsidR="0099164E" w:rsidRDefault="0099164E">
            <w:pPr>
              <w:ind w:left="360" w:hanging="360"/>
              <w:jc w:val="right"/>
            </w:pPr>
            <w:r>
              <w:t>–</w:t>
            </w:r>
          </w:p>
        </w:tc>
        <w:tc>
          <w:tcPr>
            <w:tcW w:w="900" w:type="dxa"/>
          </w:tcPr>
          <w:p w:rsidR="0099164E" w:rsidRDefault="0099164E">
            <w:pPr>
              <w:ind w:left="360" w:hanging="360"/>
              <w:jc w:val="right"/>
            </w:pPr>
            <w:r>
              <w:t>3,814</w:t>
            </w:r>
          </w:p>
        </w:tc>
        <w:tc>
          <w:tcPr>
            <w:tcW w:w="270" w:type="dxa"/>
          </w:tcPr>
          <w:p w:rsidR="0099164E" w:rsidRDefault="0099164E">
            <w:pPr>
              <w:ind w:left="360" w:hanging="360"/>
              <w:jc w:val="center"/>
            </w:pPr>
            <w:r>
              <w:t>/</w:t>
            </w:r>
          </w:p>
        </w:tc>
        <w:tc>
          <w:tcPr>
            <w:tcW w:w="900" w:type="dxa"/>
          </w:tcPr>
          <w:p w:rsidR="0099164E" w:rsidRDefault="0099164E">
            <w:pPr>
              <w:ind w:left="360" w:hanging="360"/>
              <w:jc w:val="right"/>
            </w:pPr>
            <w:r>
              <w:t>3,814</w:t>
            </w:r>
          </w:p>
        </w:tc>
        <w:tc>
          <w:tcPr>
            <w:tcW w:w="270" w:type="dxa"/>
          </w:tcPr>
          <w:p w:rsidR="0099164E" w:rsidRDefault="0099164E">
            <w:pPr>
              <w:ind w:left="360" w:hanging="360"/>
              <w:jc w:val="right"/>
            </w:pPr>
            <w:r>
              <w:t>=</w:t>
            </w:r>
          </w:p>
        </w:tc>
        <w:tc>
          <w:tcPr>
            <w:tcW w:w="270" w:type="dxa"/>
          </w:tcPr>
          <w:p w:rsidR="0099164E" w:rsidRDefault="0099164E">
            <w:pPr>
              <w:ind w:left="360" w:hanging="360"/>
              <w:jc w:val="right"/>
            </w:pPr>
            <w:r>
              <w:t>+</w:t>
            </w:r>
          </w:p>
        </w:tc>
        <w:tc>
          <w:tcPr>
            <w:tcW w:w="630" w:type="dxa"/>
          </w:tcPr>
          <w:p w:rsidR="0099164E" w:rsidRDefault="0099164E">
            <w:pPr>
              <w:ind w:left="360" w:hanging="360"/>
              <w:jc w:val="right"/>
            </w:pPr>
            <w:r>
              <w:t>40%</w:t>
            </w:r>
          </w:p>
        </w:tc>
      </w:tr>
      <w:tr w:rsidR="0099164E">
        <w:tc>
          <w:tcPr>
            <w:tcW w:w="990" w:type="dxa"/>
          </w:tcPr>
          <w:p w:rsidR="0099164E" w:rsidRDefault="0099164E" w:rsidP="00B91534">
            <w:pPr>
              <w:ind w:left="360" w:hanging="360"/>
            </w:pPr>
            <w:r>
              <w:t>for 20</w:t>
            </w:r>
            <w:r w:rsidR="00B91534">
              <w:t>12</w:t>
            </w:r>
          </w:p>
        </w:tc>
        <w:tc>
          <w:tcPr>
            <w:tcW w:w="1080" w:type="dxa"/>
          </w:tcPr>
          <w:p w:rsidR="0099164E" w:rsidRDefault="0099164E">
            <w:pPr>
              <w:ind w:left="360" w:hanging="360"/>
              <w:jc w:val="right"/>
            </w:pPr>
            <w:r>
              <w:t>7,475</w:t>
            </w:r>
          </w:p>
        </w:tc>
        <w:tc>
          <w:tcPr>
            <w:tcW w:w="270" w:type="dxa"/>
          </w:tcPr>
          <w:p w:rsidR="0099164E" w:rsidRDefault="0099164E">
            <w:pPr>
              <w:ind w:left="360" w:hanging="360"/>
              <w:jc w:val="right"/>
            </w:pPr>
            <w:r>
              <w:t>–</w:t>
            </w:r>
          </w:p>
        </w:tc>
        <w:tc>
          <w:tcPr>
            <w:tcW w:w="900" w:type="dxa"/>
          </w:tcPr>
          <w:p w:rsidR="0099164E" w:rsidRDefault="0099164E">
            <w:pPr>
              <w:ind w:left="360" w:hanging="360"/>
              <w:jc w:val="right"/>
            </w:pPr>
            <w:r>
              <w:t>5,340</w:t>
            </w:r>
          </w:p>
        </w:tc>
        <w:tc>
          <w:tcPr>
            <w:tcW w:w="270" w:type="dxa"/>
          </w:tcPr>
          <w:p w:rsidR="0099164E" w:rsidRDefault="0099164E">
            <w:pPr>
              <w:ind w:left="360" w:hanging="360"/>
              <w:jc w:val="center"/>
            </w:pPr>
            <w:r>
              <w:t>/</w:t>
            </w:r>
          </w:p>
        </w:tc>
        <w:tc>
          <w:tcPr>
            <w:tcW w:w="900" w:type="dxa"/>
          </w:tcPr>
          <w:p w:rsidR="0099164E" w:rsidRDefault="0099164E">
            <w:pPr>
              <w:ind w:left="360" w:hanging="360"/>
              <w:jc w:val="right"/>
            </w:pPr>
            <w:r>
              <w:t>5,340</w:t>
            </w:r>
          </w:p>
        </w:tc>
        <w:tc>
          <w:tcPr>
            <w:tcW w:w="270" w:type="dxa"/>
          </w:tcPr>
          <w:p w:rsidR="0099164E" w:rsidRDefault="0099164E">
            <w:pPr>
              <w:ind w:left="360" w:hanging="360"/>
              <w:jc w:val="right"/>
            </w:pPr>
            <w:r>
              <w:t>=</w:t>
            </w:r>
          </w:p>
        </w:tc>
        <w:tc>
          <w:tcPr>
            <w:tcW w:w="270" w:type="dxa"/>
          </w:tcPr>
          <w:p w:rsidR="0099164E" w:rsidRDefault="0099164E">
            <w:pPr>
              <w:ind w:left="360" w:hanging="360"/>
              <w:jc w:val="right"/>
            </w:pPr>
            <w:r>
              <w:t>+</w:t>
            </w:r>
          </w:p>
        </w:tc>
        <w:tc>
          <w:tcPr>
            <w:tcW w:w="630" w:type="dxa"/>
          </w:tcPr>
          <w:p w:rsidR="0099164E" w:rsidRDefault="0099164E">
            <w:pPr>
              <w:ind w:left="360" w:hanging="360"/>
              <w:jc w:val="right"/>
            </w:pPr>
            <w:r>
              <w:t>40%</w:t>
            </w:r>
          </w:p>
        </w:tc>
      </w:tr>
      <w:tr w:rsidR="0099164E">
        <w:tc>
          <w:tcPr>
            <w:tcW w:w="990" w:type="dxa"/>
          </w:tcPr>
          <w:p w:rsidR="0099164E" w:rsidRDefault="0099164E" w:rsidP="00B91534">
            <w:pPr>
              <w:ind w:left="360" w:hanging="360"/>
            </w:pPr>
            <w:r>
              <w:t>for 20</w:t>
            </w:r>
            <w:r w:rsidR="00F54184">
              <w:t>1</w:t>
            </w:r>
            <w:r w:rsidR="00B91534">
              <w:t>3</w:t>
            </w:r>
          </w:p>
        </w:tc>
        <w:tc>
          <w:tcPr>
            <w:tcW w:w="1080" w:type="dxa"/>
          </w:tcPr>
          <w:p w:rsidR="0099164E" w:rsidRDefault="0099164E">
            <w:pPr>
              <w:ind w:left="360" w:hanging="360"/>
              <w:jc w:val="right"/>
            </w:pPr>
            <w:r>
              <w:t>10,466</w:t>
            </w:r>
          </w:p>
        </w:tc>
        <w:tc>
          <w:tcPr>
            <w:tcW w:w="270" w:type="dxa"/>
          </w:tcPr>
          <w:p w:rsidR="0099164E" w:rsidRDefault="0099164E">
            <w:pPr>
              <w:ind w:left="360" w:hanging="360"/>
              <w:jc w:val="right"/>
            </w:pPr>
            <w:r>
              <w:t>–</w:t>
            </w:r>
          </w:p>
        </w:tc>
        <w:tc>
          <w:tcPr>
            <w:tcW w:w="900" w:type="dxa"/>
          </w:tcPr>
          <w:p w:rsidR="0099164E" w:rsidRDefault="0099164E">
            <w:pPr>
              <w:ind w:left="360" w:hanging="360"/>
              <w:jc w:val="right"/>
            </w:pPr>
            <w:r>
              <w:t>7,475</w:t>
            </w:r>
          </w:p>
        </w:tc>
        <w:tc>
          <w:tcPr>
            <w:tcW w:w="270" w:type="dxa"/>
          </w:tcPr>
          <w:p w:rsidR="0099164E" w:rsidRDefault="0099164E">
            <w:pPr>
              <w:ind w:left="360" w:hanging="360"/>
              <w:jc w:val="center"/>
            </w:pPr>
            <w:r>
              <w:t>/</w:t>
            </w:r>
          </w:p>
        </w:tc>
        <w:tc>
          <w:tcPr>
            <w:tcW w:w="900" w:type="dxa"/>
          </w:tcPr>
          <w:p w:rsidR="0099164E" w:rsidRDefault="0099164E">
            <w:pPr>
              <w:ind w:left="360" w:hanging="360"/>
              <w:jc w:val="right"/>
            </w:pPr>
            <w:r>
              <w:t>7,475</w:t>
            </w:r>
          </w:p>
        </w:tc>
        <w:tc>
          <w:tcPr>
            <w:tcW w:w="270" w:type="dxa"/>
          </w:tcPr>
          <w:p w:rsidR="0099164E" w:rsidRDefault="0099164E">
            <w:pPr>
              <w:ind w:left="360" w:hanging="360"/>
              <w:jc w:val="right"/>
            </w:pPr>
            <w:r>
              <w:t>=</w:t>
            </w:r>
          </w:p>
        </w:tc>
        <w:tc>
          <w:tcPr>
            <w:tcW w:w="270" w:type="dxa"/>
          </w:tcPr>
          <w:p w:rsidR="0099164E" w:rsidRDefault="0099164E">
            <w:pPr>
              <w:ind w:left="360" w:hanging="360"/>
              <w:jc w:val="right"/>
            </w:pPr>
            <w:r>
              <w:t>+</w:t>
            </w:r>
          </w:p>
        </w:tc>
        <w:tc>
          <w:tcPr>
            <w:tcW w:w="630" w:type="dxa"/>
          </w:tcPr>
          <w:p w:rsidR="0099164E" w:rsidRDefault="0099164E">
            <w:pPr>
              <w:ind w:left="360" w:hanging="360"/>
              <w:jc w:val="right"/>
            </w:pPr>
            <w:r>
              <w:t>40%</w:t>
            </w:r>
          </w:p>
        </w:tc>
      </w:tr>
    </w:tbl>
    <w:p w:rsidR="0099164E" w:rsidRDefault="0099164E">
      <w:pPr>
        <w:ind w:left="360" w:hanging="360"/>
      </w:pPr>
    </w:p>
    <w:p w:rsidR="0099164E" w:rsidRDefault="0099164E">
      <w:pPr>
        <w:numPr>
          <w:ilvl w:val="0"/>
          <w:numId w:val="1"/>
        </w:numPr>
      </w:pPr>
      <w:r>
        <w:t>Net income growth = (Net income this year – Net income last year) / Net Income last year</w:t>
      </w:r>
    </w:p>
    <w:tbl>
      <w:tblPr>
        <w:tblW w:w="0" w:type="auto"/>
        <w:tblInd w:w="378" w:type="dxa"/>
        <w:tblLayout w:type="fixed"/>
        <w:tblLook w:val="0000" w:firstRow="0" w:lastRow="0" w:firstColumn="0" w:lastColumn="0" w:noHBand="0" w:noVBand="0"/>
      </w:tblPr>
      <w:tblGrid>
        <w:gridCol w:w="990"/>
        <w:gridCol w:w="900"/>
        <w:gridCol w:w="270"/>
        <w:gridCol w:w="900"/>
        <w:gridCol w:w="270"/>
        <w:gridCol w:w="900"/>
        <w:gridCol w:w="270"/>
        <w:gridCol w:w="270"/>
        <w:gridCol w:w="630"/>
      </w:tblGrid>
      <w:tr w:rsidR="00752335">
        <w:tc>
          <w:tcPr>
            <w:tcW w:w="990" w:type="dxa"/>
          </w:tcPr>
          <w:p w:rsidR="00752335" w:rsidRDefault="00F54184" w:rsidP="00B91534">
            <w:pPr>
              <w:ind w:left="360" w:hanging="360"/>
            </w:pPr>
            <w:r>
              <w:t>for 20</w:t>
            </w:r>
            <w:r w:rsidR="00B91534">
              <w:t>10</w:t>
            </w:r>
          </w:p>
        </w:tc>
        <w:tc>
          <w:tcPr>
            <w:tcW w:w="900" w:type="dxa"/>
          </w:tcPr>
          <w:p w:rsidR="00752335" w:rsidRDefault="00752335">
            <w:pPr>
              <w:ind w:left="360" w:hanging="360"/>
              <w:jc w:val="right"/>
            </w:pPr>
            <w:r>
              <w:t>$1,150</w:t>
            </w:r>
          </w:p>
        </w:tc>
        <w:tc>
          <w:tcPr>
            <w:tcW w:w="270" w:type="dxa"/>
          </w:tcPr>
          <w:p w:rsidR="00752335" w:rsidRDefault="00752335" w:rsidP="00AB6F1B">
            <w:pPr>
              <w:ind w:left="360" w:hanging="360"/>
              <w:jc w:val="right"/>
            </w:pPr>
            <w:r>
              <w:t>–</w:t>
            </w:r>
          </w:p>
        </w:tc>
        <w:tc>
          <w:tcPr>
            <w:tcW w:w="900" w:type="dxa"/>
          </w:tcPr>
          <w:p w:rsidR="00752335" w:rsidRDefault="00752335">
            <w:pPr>
              <w:ind w:left="360" w:hanging="360"/>
              <w:jc w:val="right"/>
            </w:pPr>
            <w:r>
              <w:t>$   766</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   766</w:t>
            </w:r>
          </w:p>
        </w:tc>
        <w:tc>
          <w:tcPr>
            <w:tcW w:w="270" w:type="dxa"/>
          </w:tcPr>
          <w:p w:rsidR="00752335" w:rsidRDefault="00752335">
            <w:pPr>
              <w:ind w:left="360" w:hanging="360"/>
              <w:jc w:val="right"/>
            </w:pPr>
            <w:r>
              <w:t>=</w:t>
            </w:r>
          </w:p>
        </w:tc>
        <w:tc>
          <w:tcPr>
            <w:tcW w:w="270" w:type="dxa"/>
          </w:tcPr>
          <w:p w:rsidR="00752335" w:rsidRDefault="00752335" w:rsidP="00AB6F1B">
            <w:pPr>
              <w:ind w:left="360" w:hanging="360"/>
              <w:jc w:val="right"/>
            </w:pPr>
            <w:r>
              <w:t>+</w:t>
            </w:r>
          </w:p>
        </w:tc>
        <w:tc>
          <w:tcPr>
            <w:tcW w:w="630" w:type="dxa"/>
          </w:tcPr>
          <w:p w:rsidR="00752335" w:rsidRDefault="00752335">
            <w:pPr>
              <w:ind w:left="360" w:hanging="360"/>
              <w:jc w:val="right"/>
            </w:pPr>
            <w:r>
              <w:t>50%</w:t>
            </w:r>
          </w:p>
        </w:tc>
      </w:tr>
      <w:tr w:rsidR="00752335">
        <w:tc>
          <w:tcPr>
            <w:tcW w:w="990" w:type="dxa"/>
          </w:tcPr>
          <w:p w:rsidR="00752335" w:rsidRDefault="00F54184" w:rsidP="00B91534">
            <w:pPr>
              <w:ind w:left="360" w:hanging="360"/>
            </w:pPr>
            <w:r>
              <w:t>for 20</w:t>
            </w:r>
            <w:r w:rsidR="00B91534">
              <w:t>11</w:t>
            </w:r>
          </w:p>
        </w:tc>
        <w:tc>
          <w:tcPr>
            <w:tcW w:w="900" w:type="dxa"/>
          </w:tcPr>
          <w:p w:rsidR="00752335" w:rsidRDefault="00752335">
            <w:pPr>
              <w:ind w:left="360" w:hanging="360"/>
              <w:jc w:val="right"/>
            </w:pPr>
            <w:r>
              <w:t>1,609</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1,150</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1,150</w:t>
            </w:r>
          </w:p>
        </w:tc>
        <w:tc>
          <w:tcPr>
            <w:tcW w:w="270" w:type="dxa"/>
          </w:tcPr>
          <w:p w:rsidR="00752335" w:rsidRDefault="00752335">
            <w:pPr>
              <w:ind w:left="360" w:hanging="360"/>
              <w:jc w:val="right"/>
            </w:pPr>
            <w:r>
              <w:t>=</w:t>
            </w:r>
          </w:p>
        </w:tc>
        <w:tc>
          <w:tcPr>
            <w:tcW w:w="270" w:type="dxa"/>
          </w:tcPr>
          <w:p w:rsidR="00752335" w:rsidRDefault="00752335">
            <w:pPr>
              <w:ind w:left="360" w:hanging="360"/>
              <w:jc w:val="right"/>
            </w:pPr>
            <w:r>
              <w:t>+</w:t>
            </w:r>
          </w:p>
        </w:tc>
        <w:tc>
          <w:tcPr>
            <w:tcW w:w="630" w:type="dxa"/>
          </w:tcPr>
          <w:p w:rsidR="00752335" w:rsidRDefault="00752335">
            <w:pPr>
              <w:ind w:left="360" w:hanging="360"/>
              <w:jc w:val="right"/>
            </w:pPr>
            <w:r>
              <w:t>40%</w:t>
            </w:r>
          </w:p>
        </w:tc>
      </w:tr>
      <w:tr w:rsidR="00752335">
        <w:tc>
          <w:tcPr>
            <w:tcW w:w="990" w:type="dxa"/>
          </w:tcPr>
          <w:p w:rsidR="00752335" w:rsidRDefault="00F54184" w:rsidP="00B91534">
            <w:pPr>
              <w:ind w:left="360" w:hanging="360"/>
            </w:pPr>
            <w:r>
              <w:t>for 20</w:t>
            </w:r>
            <w:r w:rsidR="00B91534">
              <w:t>12</w:t>
            </w:r>
          </w:p>
        </w:tc>
        <w:tc>
          <w:tcPr>
            <w:tcW w:w="900" w:type="dxa"/>
          </w:tcPr>
          <w:p w:rsidR="00752335" w:rsidRDefault="00752335">
            <w:pPr>
              <w:ind w:left="360" w:hanging="360"/>
              <w:jc w:val="right"/>
            </w:pPr>
            <w:r>
              <w:t>1,943</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1,609</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1,609</w:t>
            </w:r>
          </w:p>
        </w:tc>
        <w:tc>
          <w:tcPr>
            <w:tcW w:w="270" w:type="dxa"/>
          </w:tcPr>
          <w:p w:rsidR="00752335" w:rsidRDefault="00752335">
            <w:pPr>
              <w:ind w:left="360" w:hanging="360"/>
              <w:jc w:val="right"/>
            </w:pPr>
            <w:r>
              <w:t>=</w:t>
            </w:r>
          </w:p>
        </w:tc>
        <w:tc>
          <w:tcPr>
            <w:tcW w:w="270" w:type="dxa"/>
          </w:tcPr>
          <w:p w:rsidR="00752335" w:rsidRDefault="00752335">
            <w:pPr>
              <w:ind w:left="360" w:hanging="360"/>
              <w:jc w:val="right"/>
            </w:pPr>
            <w:r>
              <w:t>+</w:t>
            </w:r>
          </w:p>
        </w:tc>
        <w:tc>
          <w:tcPr>
            <w:tcW w:w="630" w:type="dxa"/>
          </w:tcPr>
          <w:p w:rsidR="00752335" w:rsidRDefault="00752335">
            <w:pPr>
              <w:ind w:left="360" w:hanging="360"/>
              <w:jc w:val="right"/>
            </w:pPr>
            <w:r>
              <w:t>21%</w:t>
            </w:r>
          </w:p>
        </w:tc>
      </w:tr>
      <w:tr w:rsidR="00752335">
        <w:tc>
          <w:tcPr>
            <w:tcW w:w="990" w:type="dxa"/>
          </w:tcPr>
          <w:p w:rsidR="00752335" w:rsidRDefault="00F54184" w:rsidP="00B91534">
            <w:pPr>
              <w:ind w:left="360" w:hanging="360"/>
            </w:pPr>
            <w:r>
              <w:t>for 20</w:t>
            </w:r>
            <w:r w:rsidR="00B91534">
              <w:t>13</w:t>
            </w:r>
          </w:p>
        </w:tc>
        <w:tc>
          <w:tcPr>
            <w:tcW w:w="900" w:type="dxa"/>
          </w:tcPr>
          <w:p w:rsidR="00752335" w:rsidRDefault="00752335">
            <w:pPr>
              <w:ind w:left="360" w:hanging="360"/>
              <w:jc w:val="right"/>
            </w:pPr>
            <w:r>
              <w:t>2,903</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1,943</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1,943</w:t>
            </w:r>
          </w:p>
        </w:tc>
        <w:tc>
          <w:tcPr>
            <w:tcW w:w="270" w:type="dxa"/>
          </w:tcPr>
          <w:p w:rsidR="00752335" w:rsidRDefault="00752335">
            <w:pPr>
              <w:ind w:left="360" w:hanging="360"/>
              <w:jc w:val="right"/>
            </w:pPr>
            <w:r>
              <w:t>=</w:t>
            </w:r>
          </w:p>
        </w:tc>
        <w:tc>
          <w:tcPr>
            <w:tcW w:w="270" w:type="dxa"/>
          </w:tcPr>
          <w:p w:rsidR="00752335" w:rsidRDefault="00752335">
            <w:pPr>
              <w:ind w:left="360" w:hanging="360"/>
              <w:jc w:val="right"/>
            </w:pPr>
            <w:r>
              <w:t>+</w:t>
            </w:r>
          </w:p>
        </w:tc>
        <w:tc>
          <w:tcPr>
            <w:tcW w:w="630" w:type="dxa"/>
          </w:tcPr>
          <w:p w:rsidR="00752335" w:rsidRDefault="00752335">
            <w:pPr>
              <w:ind w:left="360" w:hanging="360"/>
              <w:jc w:val="right"/>
            </w:pPr>
            <w:r>
              <w:t>49%</w:t>
            </w:r>
          </w:p>
        </w:tc>
      </w:tr>
    </w:tbl>
    <w:p w:rsidR="0099164E" w:rsidRDefault="0099164E">
      <w:pPr>
        <w:ind w:left="360" w:hanging="360"/>
      </w:pPr>
    </w:p>
    <w:p w:rsidR="0099164E" w:rsidRDefault="0099164E">
      <w:pPr>
        <w:pStyle w:val="BodyTextIndent"/>
      </w:pPr>
      <w:r>
        <w:t xml:space="preserve">According to Dr. Swan’s estimates net income growth will </w:t>
      </w:r>
      <w:r w:rsidR="00F54184">
        <w:t>exceed sales growth in 20</w:t>
      </w:r>
      <w:r w:rsidR="00B91534">
        <w:t>10</w:t>
      </w:r>
      <w:r w:rsidR="00752335">
        <w:t xml:space="preserve">, </w:t>
      </w:r>
      <w:r>
        <w:t>match sales growth in 20</w:t>
      </w:r>
      <w:r w:rsidR="00B91534">
        <w:t>11</w:t>
      </w:r>
      <w:r>
        <w:t>, t</w:t>
      </w:r>
      <w:r w:rsidR="00F54184">
        <w:t>hen slack off and rebound in 201</w:t>
      </w:r>
      <w:r w:rsidR="00B91534">
        <w:t>3</w:t>
      </w:r>
      <w:r>
        <w:t>.  However, Dr. Swan’s figures are misleading: in 20</w:t>
      </w:r>
      <w:r w:rsidR="00B91534">
        <w:t>11</w:t>
      </w:r>
      <w:r>
        <w:t xml:space="preserve"> they include $500,000 worth of extraordinary income expected to be received from the settlement of the suit with Pharmacia.  The astute analyst will realize that this amount should be excluded from his/her calculations because (1) receiving the amount is by no means certain, and (2) it is a one-time event which has nothing to do with the operations of the company.  When the amount is excluded from 20</w:t>
      </w:r>
      <w:r w:rsidR="00B91534">
        <w:t>11</w:t>
      </w:r>
      <w:r>
        <w:t>’s figures we see that net income growth for 20</w:t>
      </w:r>
      <w:r w:rsidR="00B91534">
        <w:t>11</w:t>
      </w:r>
      <w:r>
        <w:t xml:space="preserve"> is actually considerably less than 40%.</w:t>
      </w:r>
    </w:p>
    <w:p w:rsidR="0099164E" w:rsidRDefault="0099164E">
      <w:pPr>
        <w:ind w:left="360" w:hanging="360"/>
      </w:pPr>
    </w:p>
    <w:p w:rsidR="0099164E" w:rsidRDefault="0099164E">
      <w:pPr>
        <w:ind w:left="360"/>
      </w:pPr>
      <w:r>
        <w:t xml:space="preserve">Aftertax effect of removing $500,000 from gross income = $500 x (1 – tax rate) = $500 x </w:t>
      </w:r>
      <w:r>
        <w:br/>
        <w:t>(1 – .33) = – $3</w:t>
      </w:r>
      <w:r w:rsidR="00752335">
        <w:t>3</w:t>
      </w:r>
      <w:r>
        <w:t>5</w:t>
      </w:r>
    </w:p>
    <w:p w:rsidR="0099164E" w:rsidRDefault="0099164E">
      <w:pPr>
        <w:ind w:left="360" w:hanging="360"/>
      </w:pPr>
    </w:p>
    <w:p w:rsidR="0099164E" w:rsidRDefault="0099164E">
      <w:pPr>
        <w:ind w:left="360"/>
      </w:pPr>
      <w:r>
        <w:t>New net income = $1,609 – $335 = $1,274</w:t>
      </w:r>
    </w:p>
    <w:tbl>
      <w:tblPr>
        <w:tblW w:w="0" w:type="auto"/>
        <w:tblInd w:w="378" w:type="dxa"/>
        <w:tblLayout w:type="fixed"/>
        <w:tblLook w:val="0000" w:firstRow="0" w:lastRow="0" w:firstColumn="0" w:lastColumn="0" w:noHBand="0" w:noVBand="0"/>
      </w:tblPr>
      <w:tblGrid>
        <w:gridCol w:w="3960"/>
        <w:gridCol w:w="1620"/>
        <w:gridCol w:w="2790"/>
      </w:tblGrid>
      <w:tr w:rsidR="0099164E">
        <w:tc>
          <w:tcPr>
            <w:tcW w:w="3960" w:type="dxa"/>
          </w:tcPr>
          <w:p w:rsidR="0099164E" w:rsidRDefault="0099164E" w:rsidP="00B91534">
            <w:pPr>
              <w:ind w:left="360" w:hanging="360"/>
            </w:pPr>
            <w:r>
              <w:t xml:space="preserve">Appropriate net income growth for </w:t>
            </w:r>
            <w:r w:rsidR="00752335">
              <w:t>20</w:t>
            </w:r>
            <w:r w:rsidR="00B91534">
              <w:t>11</w:t>
            </w:r>
          </w:p>
        </w:tc>
        <w:tc>
          <w:tcPr>
            <w:tcW w:w="4410" w:type="dxa"/>
            <w:gridSpan w:val="2"/>
          </w:tcPr>
          <w:p w:rsidR="0099164E" w:rsidRDefault="0099164E">
            <w:pPr>
              <w:ind w:left="360" w:hanging="360"/>
            </w:pPr>
            <w:r>
              <w:t>= ($1,274 – $1,150) / $1,150</w:t>
            </w:r>
          </w:p>
        </w:tc>
      </w:tr>
      <w:tr w:rsidR="0099164E">
        <w:tc>
          <w:tcPr>
            <w:tcW w:w="3960" w:type="dxa"/>
          </w:tcPr>
          <w:p w:rsidR="0099164E" w:rsidRDefault="0099164E">
            <w:pPr>
              <w:ind w:left="360" w:hanging="360"/>
            </w:pPr>
          </w:p>
        </w:tc>
        <w:tc>
          <w:tcPr>
            <w:tcW w:w="4410" w:type="dxa"/>
            <w:gridSpan w:val="2"/>
          </w:tcPr>
          <w:p w:rsidR="0099164E" w:rsidRDefault="0099164E">
            <w:pPr>
              <w:ind w:left="360" w:hanging="360"/>
            </w:pPr>
            <w:r>
              <w:t>= + 11%</w:t>
            </w:r>
          </w:p>
        </w:tc>
      </w:tr>
      <w:tr w:rsidR="008A2ED1" w:rsidTr="008A2ED1">
        <w:tc>
          <w:tcPr>
            <w:tcW w:w="3960" w:type="dxa"/>
          </w:tcPr>
          <w:p w:rsidR="008A2ED1" w:rsidRDefault="00F54184" w:rsidP="00B91534">
            <w:pPr>
              <w:ind w:left="360" w:hanging="360"/>
            </w:pPr>
            <w:r>
              <w:t>Also changes 20</w:t>
            </w:r>
            <w:r w:rsidR="00B91534">
              <w:t>12</w:t>
            </w:r>
            <w:r w:rsidR="008A2ED1">
              <w:t xml:space="preserve"> net income growth</w:t>
            </w:r>
          </w:p>
        </w:tc>
        <w:tc>
          <w:tcPr>
            <w:tcW w:w="1620" w:type="dxa"/>
          </w:tcPr>
          <w:p w:rsidR="008A2ED1" w:rsidRDefault="008A2ED1" w:rsidP="00AB6F1B">
            <w:pPr>
              <w:ind w:left="360" w:hanging="360"/>
            </w:pPr>
            <w:r>
              <w:t xml:space="preserve">= </w:t>
            </w:r>
            <w:r w:rsidRPr="008A2ED1">
              <w:rPr>
                <w:u w:val="single"/>
              </w:rPr>
              <w:t>1,943 – 1,274</w:t>
            </w:r>
          </w:p>
        </w:tc>
        <w:tc>
          <w:tcPr>
            <w:tcW w:w="2790" w:type="dxa"/>
            <w:vMerge w:val="restart"/>
            <w:vAlign w:val="center"/>
          </w:tcPr>
          <w:p w:rsidR="008A2ED1" w:rsidRDefault="008A2ED1" w:rsidP="00AB6F1B">
            <w:pPr>
              <w:ind w:left="360" w:hanging="360"/>
            </w:pPr>
            <w:r>
              <w:t>= + 53%</w:t>
            </w:r>
          </w:p>
        </w:tc>
      </w:tr>
      <w:tr w:rsidR="008A2ED1" w:rsidTr="008A2ED1">
        <w:tc>
          <w:tcPr>
            <w:tcW w:w="3960" w:type="dxa"/>
          </w:tcPr>
          <w:p w:rsidR="008A2ED1" w:rsidRDefault="008A2ED1" w:rsidP="00AB6F1B">
            <w:pPr>
              <w:ind w:left="360" w:hanging="360"/>
            </w:pPr>
          </w:p>
        </w:tc>
        <w:tc>
          <w:tcPr>
            <w:tcW w:w="1620" w:type="dxa"/>
          </w:tcPr>
          <w:p w:rsidR="008A2ED1" w:rsidRDefault="008A2ED1" w:rsidP="008A2ED1">
            <w:pPr>
              <w:ind w:left="1080" w:hanging="558"/>
            </w:pPr>
            <w:r>
              <w:t>1,274</w:t>
            </w:r>
          </w:p>
        </w:tc>
        <w:tc>
          <w:tcPr>
            <w:tcW w:w="2790" w:type="dxa"/>
            <w:vMerge/>
          </w:tcPr>
          <w:p w:rsidR="008A2ED1" w:rsidRDefault="008A2ED1" w:rsidP="008A2ED1">
            <w:pPr>
              <w:ind w:left="1080" w:hanging="558"/>
            </w:pPr>
          </w:p>
        </w:tc>
      </w:tr>
    </w:tbl>
    <w:p w:rsidR="0099164E" w:rsidRDefault="0099164E">
      <w:pPr>
        <w:ind w:left="360" w:hanging="360"/>
      </w:pPr>
    </w:p>
    <w:p w:rsidR="0099164E" w:rsidRDefault="0099164E">
      <w:pPr>
        <w:ind w:left="360"/>
      </w:pPr>
      <w:r>
        <w:t>Failing to exclude the extraordinary amount has the effect of obscuring the “real” profitability ratios—ROE in 20</w:t>
      </w:r>
      <w:r w:rsidR="00B91534">
        <w:t>11</w:t>
      </w:r>
      <w:r>
        <w:t xml:space="preserve"> would be 23%, not 29%.  Net profit margin would be 24%, not 30%.  These are facts a potential investor would want to know.</w:t>
      </w:r>
    </w:p>
    <w:p w:rsidR="0099164E" w:rsidRDefault="0099164E">
      <w:pPr>
        <w:ind w:left="360" w:hanging="360"/>
      </w:pPr>
    </w:p>
    <w:p w:rsidR="0099164E" w:rsidRDefault="0099164E">
      <w:pPr>
        <w:numPr>
          <w:ilvl w:val="0"/>
          <w:numId w:val="1"/>
        </w:numPr>
      </w:pPr>
      <w:r>
        <w:t>Chem-Med’s current ratio = Current Assets / Current Liabilities:</w:t>
      </w:r>
    </w:p>
    <w:tbl>
      <w:tblPr>
        <w:tblW w:w="0" w:type="auto"/>
        <w:tblInd w:w="378" w:type="dxa"/>
        <w:tblLayout w:type="fixed"/>
        <w:tblLook w:val="0000" w:firstRow="0" w:lastRow="0" w:firstColumn="0" w:lastColumn="0" w:noHBand="0" w:noVBand="0"/>
      </w:tblPr>
      <w:tblGrid>
        <w:gridCol w:w="990"/>
        <w:gridCol w:w="360"/>
        <w:gridCol w:w="900"/>
        <w:gridCol w:w="360"/>
        <w:gridCol w:w="900"/>
        <w:gridCol w:w="360"/>
        <w:gridCol w:w="630"/>
      </w:tblGrid>
      <w:tr w:rsidR="0099164E">
        <w:tc>
          <w:tcPr>
            <w:tcW w:w="990" w:type="dxa"/>
          </w:tcPr>
          <w:p w:rsidR="0099164E" w:rsidRDefault="0099164E" w:rsidP="00B91534">
            <w:pPr>
              <w:ind w:left="360" w:hanging="360"/>
            </w:pPr>
            <w:r>
              <w:t>for 20</w:t>
            </w:r>
            <w:r w:rsidR="00B91534">
              <w:t>10</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$1,720</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   593</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2.90</w:t>
            </w:r>
          </w:p>
        </w:tc>
      </w:tr>
      <w:tr w:rsidR="0099164E">
        <w:tc>
          <w:tcPr>
            <w:tcW w:w="990" w:type="dxa"/>
          </w:tcPr>
          <w:p w:rsidR="0099164E" w:rsidRDefault="0099164E" w:rsidP="00B91534">
            <w:pPr>
              <w:ind w:left="360" w:hanging="360"/>
            </w:pPr>
            <w:r>
              <w:t>for 20</w:t>
            </w:r>
            <w:r w:rsidR="00F54184">
              <w:t>1</w:t>
            </w:r>
            <w:r w:rsidR="00B91534">
              <w:t>3</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$3,261</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$1,647</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1.98</w:t>
            </w:r>
          </w:p>
        </w:tc>
      </w:tr>
    </w:tbl>
    <w:p w:rsidR="0099164E" w:rsidRDefault="0099164E">
      <w:pPr>
        <w:ind w:left="360" w:hanging="360"/>
      </w:pPr>
    </w:p>
    <w:p w:rsidR="0099164E" w:rsidRDefault="0099164E">
      <w:pPr>
        <w:pStyle w:val="BodyTextIndent"/>
      </w:pPr>
      <w:r>
        <w:t>Pharmacia had a current ratio in 20</w:t>
      </w:r>
      <w:r w:rsidR="00B91534">
        <w:t>10</w:t>
      </w:r>
      <w:r>
        <w:t xml:space="preserve"> of 2.8, and the industry average was 2.4.  Chem-Med, therefore, in 20</w:t>
      </w:r>
      <w:r w:rsidR="00B91534">
        <w:t>10</w:t>
      </w:r>
      <w:r>
        <w:t xml:space="preserve"> was slightly more liquid than the average company.  This would probably be looked upon favorably by someone considering loaning money to the company; however, the banker with whom Dr. Swan had lunch would have a problem with </w:t>
      </w:r>
      <w:r w:rsidR="00F54184">
        <w:t>Chem-Med’s current ratio for 201</w:t>
      </w:r>
      <w:r w:rsidR="00B91534">
        <w:t>3</w:t>
      </w:r>
      <w:r>
        <w:t>: it falls below the 2.25 to 1 limit he would establish as a restrictive covenant.  In view of that, Dr. Swan needs to revise his financial plan for 2</w:t>
      </w:r>
      <w:r w:rsidR="00F54184">
        <w:t>01</w:t>
      </w:r>
      <w:r w:rsidR="00B91534">
        <w:t>3</w:t>
      </w:r>
      <w:r>
        <w:t xml:space="preserve"> in such a way that less money is invested in fixed assets, and more is held in cash &amp; equivalents (or, alternatively, shift some current liabilities to long-term debt and/or equity).</w:t>
      </w:r>
    </w:p>
    <w:p w:rsidR="0099164E" w:rsidRDefault="0099164E">
      <w:pPr>
        <w:pStyle w:val="BodyTextIndent"/>
        <w:ind w:hanging="360"/>
      </w:pPr>
    </w:p>
    <w:p w:rsidR="0099164E" w:rsidRDefault="008A2ED1">
      <w:pPr>
        <w:numPr>
          <w:ilvl w:val="0"/>
          <w:numId w:val="1"/>
        </w:numPr>
      </w:pPr>
      <w:r>
        <w:br w:type="page"/>
      </w:r>
      <w:r w:rsidR="0099164E">
        <w:lastRenderedPageBreak/>
        <w:t>Chem-Med’s total debt to assets ratio = total liabilities / total assets</w:t>
      </w:r>
    </w:p>
    <w:tbl>
      <w:tblPr>
        <w:tblW w:w="0" w:type="auto"/>
        <w:tblInd w:w="378" w:type="dxa"/>
        <w:tblLayout w:type="fixed"/>
        <w:tblLook w:val="0000" w:firstRow="0" w:lastRow="0" w:firstColumn="0" w:lastColumn="0" w:noHBand="0" w:noVBand="0"/>
      </w:tblPr>
      <w:tblGrid>
        <w:gridCol w:w="990"/>
        <w:gridCol w:w="360"/>
        <w:gridCol w:w="900"/>
        <w:gridCol w:w="360"/>
        <w:gridCol w:w="990"/>
        <w:gridCol w:w="360"/>
        <w:gridCol w:w="630"/>
      </w:tblGrid>
      <w:tr w:rsidR="0099164E">
        <w:tc>
          <w:tcPr>
            <w:tcW w:w="990" w:type="dxa"/>
          </w:tcPr>
          <w:p w:rsidR="0099164E" w:rsidRDefault="0099164E" w:rsidP="00B91534">
            <w:pPr>
              <w:ind w:left="360" w:hanging="360"/>
            </w:pPr>
            <w:r>
              <w:t>for 20</w:t>
            </w:r>
            <w:r w:rsidR="00B91534">
              <w:t>10</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w:t>
            </w:r>
            <w:r>
              <w:t> </w:t>
            </w:r>
            <w:r>
              <w:t xml:space="preserve"> 614</w:t>
            </w:r>
          </w:p>
        </w:tc>
        <w:tc>
          <w:tcPr>
            <w:tcW w:w="360" w:type="dxa"/>
          </w:tcPr>
          <w:p w:rsidR="0099164E" w:rsidRDefault="0099164E">
            <w:pPr>
              <w:ind w:left="360" w:hanging="360"/>
              <w:jc w:val="right"/>
            </w:pPr>
            <w:r>
              <w:t>/</w:t>
            </w:r>
          </w:p>
        </w:tc>
        <w:tc>
          <w:tcPr>
            <w:tcW w:w="990" w:type="dxa"/>
          </w:tcPr>
          <w:p w:rsidR="0099164E" w:rsidRDefault="0099164E">
            <w:pPr>
              <w:ind w:left="360" w:hanging="360"/>
              <w:jc w:val="right"/>
            </w:pPr>
            <w:r>
              <w:t>$</w:t>
            </w:r>
            <w:r>
              <w:t> </w:t>
            </w:r>
            <w:r>
              <w:t>4,491</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.137</w:t>
            </w:r>
          </w:p>
        </w:tc>
      </w:tr>
      <w:tr w:rsidR="0099164E">
        <w:tc>
          <w:tcPr>
            <w:tcW w:w="990" w:type="dxa"/>
          </w:tcPr>
          <w:p w:rsidR="0099164E" w:rsidRDefault="0099164E" w:rsidP="00B91534">
            <w:pPr>
              <w:ind w:left="360" w:hanging="360"/>
            </w:pPr>
            <w:r>
              <w:t>for 20</w:t>
            </w:r>
            <w:r w:rsidR="00B91534">
              <w:t>11</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w:t>
            </w:r>
            <w:r>
              <w:t> </w:t>
            </w:r>
            <w:r>
              <w:t xml:space="preserve"> 857</w:t>
            </w:r>
          </w:p>
        </w:tc>
        <w:tc>
          <w:tcPr>
            <w:tcW w:w="360" w:type="dxa"/>
          </w:tcPr>
          <w:p w:rsidR="0099164E" w:rsidRDefault="0099164E">
            <w:pPr>
              <w:ind w:left="360" w:hanging="360"/>
              <w:jc w:val="right"/>
            </w:pPr>
            <w:r>
              <w:t>/</w:t>
            </w:r>
          </w:p>
        </w:tc>
        <w:tc>
          <w:tcPr>
            <w:tcW w:w="990" w:type="dxa"/>
          </w:tcPr>
          <w:p w:rsidR="0099164E" w:rsidRDefault="0099164E">
            <w:pPr>
              <w:ind w:left="360" w:hanging="360"/>
              <w:jc w:val="right"/>
            </w:pPr>
            <w:r>
              <w:t>$</w:t>
            </w:r>
            <w:r>
              <w:t> </w:t>
            </w:r>
            <w:r>
              <w:t>6,343</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.135</w:t>
            </w:r>
          </w:p>
        </w:tc>
      </w:tr>
      <w:tr w:rsidR="0099164E">
        <w:tc>
          <w:tcPr>
            <w:tcW w:w="990" w:type="dxa"/>
          </w:tcPr>
          <w:p w:rsidR="0099164E" w:rsidRDefault="0099164E" w:rsidP="00B91534">
            <w:pPr>
              <w:ind w:left="360" w:hanging="360"/>
            </w:pPr>
            <w:r>
              <w:t>for 20</w:t>
            </w:r>
            <w:r w:rsidR="00B91534">
              <w:t>12</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$1,212</w:t>
            </w:r>
          </w:p>
        </w:tc>
        <w:tc>
          <w:tcPr>
            <w:tcW w:w="360" w:type="dxa"/>
          </w:tcPr>
          <w:p w:rsidR="0099164E" w:rsidRDefault="0099164E">
            <w:pPr>
              <w:ind w:left="360" w:hanging="360"/>
              <w:jc w:val="right"/>
            </w:pPr>
            <w:r>
              <w:t>/</w:t>
            </w:r>
          </w:p>
        </w:tc>
        <w:tc>
          <w:tcPr>
            <w:tcW w:w="990" w:type="dxa"/>
          </w:tcPr>
          <w:p w:rsidR="0099164E" w:rsidRDefault="0099164E">
            <w:pPr>
              <w:ind w:left="360" w:hanging="360"/>
              <w:jc w:val="right"/>
            </w:pPr>
            <w:r>
              <w:t>$</w:t>
            </w:r>
            <w:r>
              <w:t> </w:t>
            </w:r>
            <w:r>
              <w:t>8,641</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.140</w:t>
            </w:r>
          </w:p>
        </w:tc>
      </w:tr>
      <w:tr w:rsidR="0099164E">
        <w:tc>
          <w:tcPr>
            <w:tcW w:w="990" w:type="dxa"/>
          </w:tcPr>
          <w:p w:rsidR="0099164E" w:rsidRDefault="0099164E" w:rsidP="00B91534">
            <w:pPr>
              <w:ind w:left="360" w:hanging="360"/>
            </w:pPr>
            <w:r>
              <w:t>for 20</w:t>
            </w:r>
            <w:r w:rsidR="007056EA">
              <w:t>1</w:t>
            </w:r>
            <w:r w:rsidR="00B91534">
              <w:t>3</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$1,664</w:t>
            </w:r>
          </w:p>
        </w:tc>
        <w:tc>
          <w:tcPr>
            <w:tcW w:w="360" w:type="dxa"/>
          </w:tcPr>
          <w:p w:rsidR="0099164E" w:rsidRDefault="0099164E">
            <w:pPr>
              <w:ind w:left="360" w:hanging="360"/>
              <w:jc w:val="right"/>
            </w:pPr>
            <w:r>
              <w:t>/</w:t>
            </w:r>
          </w:p>
        </w:tc>
        <w:tc>
          <w:tcPr>
            <w:tcW w:w="990" w:type="dxa"/>
          </w:tcPr>
          <w:p w:rsidR="0099164E" w:rsidRDefault="0099164E">
            <w:pPr>
              <w:ind w:left="360" w:hanging="360"/>
              <w:jc w:val="right"/>
            </w:pPr>
            <w:r>
              <w:t>$11,995</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.139</w:t>
            </w:r>
          </w:p>
        </w:tc>
      </w:tr>
    </w:tbl>
    <w:p w:rsidR="0099164E" w:rsidRDefault="0099164E">
      <w:pPr>
        <w:ind w:left="360" w:hanging="360"/>
      </w:pPr>
    </w:p>
    <w:p w:rsidR="0099164E" w:rsidRDefault="0099164E">
      <w:pPr>
        <w:ind w:left="360"/>
      </w:pPr>
      <w:r>
        <w:t>The variation from year to year is small—no trend can be established, except, of course, that the ratio remains nearly constant, indicating that Chem-Med is doing a good job in managing its debt.  It was doing especially well in 20</w:t>
      </w:r>
      <w:r w:rsidR="00B91534">
        <w:t>10</w:t>
      </w:r>
      <w:r>
        <w:t xml:space="preserve"> compared to other companies in the industry, where the average debt to assets ratio was .52 (and Pharmacia’s was .55).  A potential investor in Chem-Med’s stock might be pleased or displeased depending on his/her tolerance for risk and outlook for the future.  (Chem-Med has much less financial risk than average, but the company, which is in a growth situation, might be considered to be underleveraged.)</w:t>
      </w:r>
    </w:p>
    <w:p w:rsidR="0099164E" w:rsidRDefault="0099164E">
      <w:pPr>
        <w:ind w:left="360" w:hanging="360"/>
      </w:pPr>
    </w:p>
    <w:p w:rsidR="0099164E" w:rsidRDefault="0099164E">
      <w:pPr>
        <w:numPr>
          <w:ilvl w:val="0"/>
          <w:numId w:val="1"/>
        </w:numPr>
      </w:pPr>
      <w:r>
        <w:t>Chem-Med’s average accounts receivable collection period = accounts receivable / sales per day</w:t>
      </w:r>
    </w:p>
    <w:p w:rsidR="0099164E" w:rsidRDefault="0099164E"/>
    <w:tbl>
      <w:tblPr>
        <w:tblW w:w="0" w:type="auto"/>
        <w:tblInd w:w="378" w:type="dxa"/>
        <w:tblLayout w:type="fixed"/>
        <w:tblLook w:val="0000" w:firstRow="0" w:lastRow="0" w:firstColumn="0" w:lastColumn="0" w:noHBand="0" w:noVBand="0"/>
      </w:tblPr>
      <w:tblGrid>
        <w:gridCol w:w="990"/>
        <w:gridCol w:w="360"/>
        <w:gridCol w:w="900"/>
        <w:gridCol w:w="270"/>
        <w:gridCol w:w="1530"/>
        <w:gridCol w:w="288"/>
        <w:gridCol w:w="1062"/>
      </w:tblGrid>
      <w:tr w:rsidR="0099164E">
        <w:tc>
          <w:tcPr>
            <w:tcW w:w="990" w:type="dxa"/>
          </w:tcPr>
          <w:p w:rsidR="0099164E" w:rsidRDefault="0099164E" w:rsidP="00B91534">
            <w:pPr>
              <w:ind w:left="360" w:hanging="360"/>
            </w:pPr>
            <w:r>
              <w:t>for 20</w:t>
            </w:r>
            <w:r w:rsidR="00B91534">
              <w:t>10</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w:t>
            </w:r>
            <w:r>
              <w:t> </w:t>
            </w:r>
            <w:r>
              <w:t xml:space="preserve"> 564</w:t>
            </w:r>
          </w:p>
        </w:tc>
        <w:tc>
          <w:tcPr>
            <w:tcW w:w="270" w:type="dxa"/>
          </w:tcPr>
          <w:p w:rsidR="0099164E" w:rsidRDefault="0099164E">
            <w:pPr>
              <w:ind w:left="360" w:hanging="360"/>
              <w:jc w:val="right"/>
            </w:pPr>
            <w:r>
              <w:t>/</w:t>
            </w:r>
          </w:p>
        </w:tc>
        <w:tc>
          <w:tcPr>
            <w:tcW w:w="1530" w:type="dxa"/>
          </w:tcPr>
          <w:p w:rsidR="0099164E" w:rsidRDefault="0099164E">
            <w:pPr>
              <w:ind w:left="360" w:hanging="360"/>
              <w:jc w:val="right"/>
            </w:pPr>
            <w:r>
              <w:t>($</w:t>
            </w:r>
            <w:r>
              <w:t> </w:t>
            </w:r>
            <w:r>
              <w:t>3,814/360)</w:t>
            </w:r>
          </w:p>
        </w:tc>
        <w:tc>
          <w:tcPr>
            <w:tcW w:w="288" w:type="dxa"/>
          </w:tcPr>
          <w:p w:rsidR="0099164E" w:rsidRDefault="0099164E">
            <w:pPr>
              <w:ind w:left="360" w:hanging="360"/>
              <w:jc w:val="center"/>
            </w:pPr>
            <w:r>
              <w:t>=</w:t>
            </w:r>
          </w:p>
        </w:tc>
        <w:tc>
          <w:tcPr>
            <w:tcW w:w="1062" w:type="dxa"/>
          </w:tcPr>
          <w:p w:rsidR="0099164E" w:rsidRDefault="0099164E">
            <w:pPr>
              <w:ind w:left="360" w:hanging="360"/>
            </w:pPr>
            <w:r>
              <w:t>53 days</w:t>
            </w:r>
          </w:p>
        </w:tc>
      </w:tr>
      <w:tr w:rsidR="0099164E">
        <w:tc>
          <w:tcPr>
            <w:tcW w:w="990" w:type="dxa"/>
          </w:tcPr>
          <w:p w:rsidR="0099164E" w:rsidRDefault="0099164E" w:rsidP="00B91534">
            <w:pPr>
              <w:ind w:left="360" w:hanging="360"/>
            </w:pPr>
            <w:r>
              <w:t>for 20</w:t>
            </w:r>
            <w:r w:rsidR="00B91534">
              <w:t>11</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w:t>
            </w:r>
            <w:r>
              <w:t> </w:t>
            </w:r>
            <w:r>
              <w:t xml:space="preserve"> 907</w:t>
            </w:r>
          </w:p>
        </w:tc>
        <w:tc>
          <w:tcPr>
            <w:tcW w:w="270" w:type="dxa"/>
          </w:tcPr>
          <w:p w:rsidR="0099164E" w:rsidRDefault="0099164E">
            <w:pPr>
              <w:ind w:left="360" w:hanging="360"/>
              <w:jc w:val="right"/>
            </w:pPr>
            <w:r>
              <w:t>/</w:t>
            </w:r>
          </w:p>
        </w:tc>
        <w:tc>
          <w:tcPr>
            <w:tcW w:w="1530" w:type="dxa"/>
          </w:tcPr>
          <w:p w:rsidR="0099164E" w:rsidRDefault="0099164E">
            <w:pPr>
              <w:ind w:left="360" w:hanging="360"/>
              <w:jc w:val="right"/>
            </w:pPr>
            <w:r>
              <w:t>($</w:t>
            </w:r>
            <w:r>
              <w:t> </w:t>
            </w:r>
            <w:r>
              <w:t>5,340/360)</w:t>
            </w:r>
          </w:p>
        </w:tc>
        <w:tc>
          <w:tcPr>
            <w:tcW w:w="288" w:type="dxa"/>
          </w:tcPr>
          <w:p w:rsidR="0099164E" w:rsidRDefault="0099164E">
            <w:pPr>
              <w:ind w:left="360" w:hanging="360"/>
              <w:jc w:val="center"/>
            </w:pPr>
            <w:r>
              <w:t>=</w:t>
            </w:r>
          </w:p>
        </w:tc>
        <w:tc>
          <w:tcPr>
            <w:tcW w:w="1062" w:type="dxa"/>
          </w:tcPr>
          <w:p w:rsidR="0099164E" w:rsidRDefault="0099164E">
            <w:pPr>
              <w:ind w:left="360" w:hanging="360"/>
            </w:pPr>
            <w:r>
              <w:t>61 days</w:t>
            </w:r>
          </w:p>
        </w:tc>
      </w:tr>
      <w:tr w:rsidR="0099164E">
        <w:tc>
          <w:tcPr>
            <w:tcW w:w="990" w:type="dxa"/>
          </w:tcPr>
          <w:p w:rsidR="0099164E" w:rsidRDefault="0099164E" w:rsidP="00B91534">
            <w:pPr>
              <w:ind w:left="360" w:hanging="360"/>
            </w:pPr>
            <w:r>
              <w:t>for 20</w:t>
            </w:r>
            <w:r w:rsidR="00B91534">
              <w:t>12</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$1,495</w:t>
            </w:r>
          </w:p>
        </w:tc>
        <w:tc>
          <w:tcPr>
            <w:tcW w:w="270" w:type="dxa"/>
          </w:tcPr>
          <w:p w:rsidR="0099164E" w:rsidRDefault="0099164E">
            <w:pPr>
              <w:ind w:left="360" w:hanging="360"/>
              <w:jc w:val="right"/>
            </w:pPr>
            <w:r>
              <w:t>/</w:t>
            </w:r>
          </w:p>
        </w:tc>
        <w:tc>
          <w:tcPr>
            <w:tcW w:w="1530" w:type="dxa"/>
          </w:tcPr>
          <w:p w:rsidR="0099164E" w:rsidRDefault="0099164E">
            <w:pPr>
              <w:ind w:left="360" w:hanging="360"/>
              <w:jc w:val="right"/>
            </w:pPr>
            <w:r>
              <w:t>($</w:t>
            </w:r>
            <w:r>
              <w:t> </w:t>
            </w:r>
            <w:r>
              <w:t>7,475/360)</w:t>
            </w:r>
          </w:p>
        </w:tc>
        <w:tc>
          <w:tcPr>
            <w:tcW w:w="288" w:type="dxa"/>
          </w:tcPr>
          <w:p w:rsidR="0099164E" w:rsidRDefault="0099164E">
            <w:pPr>
              <w:ind w:left="360" w:hanging="360"/>
              <w:jc w:val="center"/>
            </w:pPr>
            <w:r>
              <w:t>=</w:t>
            </w:r>
          </w:p>
        </w:tc>
        <w:tc>
          <w:tcPr>
            <w:tcW w:w="1062" w:type="dxa"/>
          </w:tcPr>
          <w:p w:rsidR="0099164E" w:rsidRDefault="0099164E">
            <w:pPr>
              <w:ind w:left="360" w:hanging="360"/>
            </w:pPr>
            <w:r>
              <w:t>72 days</w:t>
            </w:r>
          </w:p>
        </w:tc>
      </w:tr>
      <w:tr w:rsidR="0099164E">
        <w:tc>
          <w:tcPr>
            <w:tcW w:w="990" w:type="dxa"/>
          </w:tcPr>
          <w:p w:rsidR="0099164E" w:rsidRDefault="0099164E" w:rsidP="00B91534">
            <w:pPr>
              <w:ind w:left="360" w:hanging="360"/>
            </w:pPr>
            <w:r>
              <w:t>for 20</w:t>
            </w:r>
            <w:r w:rsidR="007056EA">
              <w:t>1</w:t>
            </w:r>
            <w:r w:rsidR="00B91534">
              <w:t>3</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$2,351</w:t>
            </w:r>
          </w:p>
        </w:tc>
        <w:tc>
          <w:tcPr>
            <w:tcW w:w="270" w:type="dxa"/>
          </w:tcPr>
          <w:p w:rsidR="0099164E" w:rsidRDefault="0099164E">
            <w:pPr>
              <w:ind w:left="360" w:hanging="360"/>
              <w:jc w:val="right"/>
            </w:pPr>
            <w:r>
              <w:t>/</w:t>
            </w:r>
          </w:p>
        </w:tc>
        <w:tc>
          <w:tcPr>
            <w:tcW w:w="1530" w:type="dxa"/>
          </w:tcPr>
          <w:p w:rsidR="0099164E" w:rsidRDefault="0099164E">
            <w:pPr>
              <w:ind w:left="360" w:hanging="360"/>
              <w:jc w:val="right"/>
            </w:pPr>
            <w:r>
              <w:t>($10,466/360)</w:t>
            </w:r>
          </w:p>
        </w:tc>
        <w:tc>
          <w:tcPr>
            <w:tcW w:w="288" w:type="dxa"/>
          </w:tcPr>
          <w:p w:rsidR="0099164E" w:rsidRDefault="0099164E">
            <w:pPr>
              <w:ind w:left="360" w:hanging="360"/>
              <w:jc w:val="center"/>
            </w:pPr>
            <w:r>
              <w:t>=</w:t>
            </w:r>
          </w:p>
        </w:tc>
        <w:tc>
          <w:tcPr>
            <w:tcW w:w="1062" w:type="dxa"/>
          </w:tcPr>
          <w:p w:rsidR="0099164E" w:rsidRDefault="0099164E">
            <w:pPr>
              <w:ind w:left="360" w:hanging="360"/>
            </w:pPr>
            <w:r>
              <w:t>81 days</w:t>
            </w:r>
          </w:p>
        </w:tc>
      </w:tr>
    </w:tbl>
    <w:p w:rsidR="0099164E" w:rsidRDefault="0099164E">
      <w:pPr>
        <w:ind w:left="360" w:hanging="360"/>
      </w:pPr>
    </w:p>
    <w:p w:rsidR="0099164E" w:rsidRDefault="0099164E">
      <w:pPr>
        <w:pStyle w:val="BodyTextIndent"/>
      </w:pPr>
      <w:r>
        <w:t>This is not a good sign.  The average length of time that Chem-Med’s customers are taking to pay for products they’ve bought is increasing steadily every year.  If Chem-Med’s credit policy is, say, 2/10, net 30, it is clear that very few customers are adhering to it, and the situation is getting worse.  Not only is Chem-Med, in effect, granting f</w:t>
      </w:r>
      <w:r w:rsidR="009F4804">
        <w:t>r</w:t>
      </w:r>
      <w:r>
        <w:t>ee credit to those customers by allowing them to delay payment for so long, it is paying for such credit itself.  The company’s higher balances of accounts receivable must be financed in some way, either through additional debt or equity, and these additions have a cost.</w:t>
      </w:r>
    </w:p>
    <w:p w:rsidR="0099164E" w:rsidRDefault="0099164E">
      <w:pPr>
        <w:ind w:left="360" w:hanging="360"/>
      </w:pPr>
    </w:p>
    <w:p w:rsidR="0099164E" w:rsidRDefault="0099164E">
      <w:pPr>
        <w:numPr>
          <w:ilvl w:val="0"/>
          <w:numId w:val="1"/>
        </w:numPr>
      </w:pPr>
      <w:r>
        <w:t xml:space="preserve">Chem-Med’s return on equity ratio = net income / total equity for </w:t>
      </w:r>
      <w:r w:rsidR="007056EA">
        <w:t>20</w:t>
      </w:r>
      <w:r w:rsidR="00B91534">
        <w:t>10</w:t>
      </w:r>
      <w:r>
        <w:t xml:space="preserve"> = $1,150 / $3,877 = 29.</w:t>
      </w:r>
      <w:r w:rsidR="009F4804">
        <w:t>7</w:t>
      </w:r>
      <w:r>
        <w:t>%</w:t>
      </w:r>
    </w:p>
    <w:p w:rsidR="0099164E" w:rsidRDefault="0099164E">
      <w:pPr>
        <w:ind w:left="360" w:hanging="360"/>
      </w:pPr>
    </w:p>
    <w:p w:rsidR="0099164E" w:rsidRDefault="0099164E">
      <w:pPr>
        <w:pStyle w:val="BodyTextIndent"/>
      </w:pPr>
      <w:r>
        <w:t>Pharmaci</w:t>
      </w:r>
      <w:r w:rsidR="00D50C0B">
        <w:t>a</w:t>
      </w:r>
      <w:r>
        <w:t>’s ROE in 20</w:t>
      </w:r>
      <w:r w:rsidR="00B91534">
        <w:t>10</w:t>
      </w:r>
      <w:r w:rsidR="007056EA">
        <w:t xml:space="preserve"> was 29.7</w:t>
      </w:r>
      <w:r>
        <w:t>%, and the industry average was only 12.3%.  A potential investor in Chem-Med would be very pleased; Chem-Med is offering a handsome return that’s almost two and a half times that of the average company in the industry.  Now, the investor will want to use the Du Pont method to look further at Chem-Med and Pharmacia to determine the source of this return.</w:t>
      </w:r>
    </w:p>
    <w:p w:rsidR="0099164E" w:rsidRDefault="0099164E">
      <w:pPr>
        <w:pStyle w:val="BodyTextIndent"/>
      </w:pPr>
    </w:p>
    <w:tbl>
      <w:tblPr>
        <w:tblW w:w="0" w:type="auto"/>
        <w:tblInd w:w="378" w:type="dxa"/>
        <w:tblLayout w:type="fixed"/>
        <w:tblLook w:val="0000" w:firstRow="0" w:lastRow="0" w:firstColumn="0" w:lastColumn="0" w:noHBand="0" w:noVBand="0"/>
      </w:tblPr>
      <w:tblGrid>
        <w:gridCol w:w="1800"/>
        <w:gridCol w:w="900"/>
        <w:gridCol w:w="360"/>
        <w:gridCol w:w="1440"/>
        <w:gridCol w:w="450"/>
        <w:gridCol w:w="1710"/>
        <w:gridCol w:w="360"/>
        <w:gridCol w:w="2070"/>
      </w:tblGrid>
      <w:tr w:rsidR="0099164E">
        <w:tc>
          <w:tcPr>
            <w:tcW w:w="1800" w:type="dxa"/>
            <w:vAlign w:val="bottom"/>
          </w:tcPr>
          <w:p w:rsidR="0099164E" w:rsidRDefault="0099164E"/>
        </w:tc>
        <w:tc>
          <w:tcPr>
            <w:tcW w:w="900" w:type="dxa"/>
            <w:vAlign w:val="bottom"/>
          </w:tcPr>
          <w:p w:rsidR="0099164E" w:rsidRDefault="0099164E">
            <w:pPr>
              <w:jc w:val="center"/>
            </w:pPr>
            <w:r>
              <w:t>ROE</w:t>
            </w:r>
          </w:p>
        </w:tc>
        <w:tc>
          <w:tcPr>
            <w:tcW w:w="360" w:type="dxa"/>
            <w:vAlign w:val="bottom"/>
          </w:tcPr>
          <w:p w:rsidR="0099164E" w:rsidRDefault="0099164E">
            <w:pPr>
              <w:jc w:val="center"/>
            </w:pPr>
            <w:r>
              <w:t>=</w:t>
            </w:r>
          </w:p>
        </w:tc>
        <w:tc>
          <w:tcPr>
            <w:tcW w:w="1440" w:type="dxa"/>
            <w:vAlign w:val="bottom"/>
          </w:tcPr>
          <w:p w:rsidR="0099164E" w:rsidRDefault="0099164E">
            <w:pPr>
              <w:jc w:val="center"/>
            </w:pPr>
            <w:r>
              <w:t>Profit Margin</w:t>
            </w:r>
          </w:p>
        </w:tc>
        <w:tc>
          <w:tcPr>
            <w:tcW w:w="450" w:type="dxa"/>
            <w:vAlign w:val="bottom"/>
          </w:tcPr>
          <w:p w:rsidR="0099164E" w:rsidRDefault="0099164E">
            <w:pPr>
              <w:jc w:val="center"/>
            </w:pPr>
            <w:r>
              <w:t>x</w:t>
            </w:r>
          </w:p>
        </w:tc>
        <w:tc>
          <w:tcPr>
            <w:tcW w:w="1710" w:type="dxa"/>
            <w:vAlign w:val="bottom"/>
          </w:tcPr>
          <w:p w:rsidR="0099164E" w:rsidRDefault="0099164E">
            <w:pPr>
              <w:jc w:val="center"/>
            </w:pPr>
            <w:r>
              <w:t>Asset Turnover</w:t>
            </w:r>
          </w:p>
        </w:tc>
        <w:tc>
          <w:tcPr>
            <w:tcW w:w="360" w:type="dxa"/>
            <w:vAlign w:val="bottom"/>
          </w:tcPr>
          <w:p w:rsidR="0099164E" w:rsidRDefault="0099164E">
            <w:pPr>
              <w:jc w:val="center"/>
            </w:pPr>
            <w:r>
              <w:t>/</w:t>
            </w:r>
          </w:p>
        </w:tc>
        <w:tc>
          <w:tcPr>
            <w:tcW w:w="2070" w:type="dxa"/>
            <w:vAlign w:val="bottom"/>
          </w:tcPr>
          <w:p w:rsidR="0099164E" w:rsidRDefault="0099164E">
            <w:r>
              <w:t>(1 – Debt to Assets)</w:t>
            </w:r>
          </w:p>
        </w:tc>
      </w:tr>
      <w:tr w:rsidR="0099164E">
        <w:tc>
          <w:tcPr>
            <w:tcW w:w="1800" w:type="dxa"/>
          </w:tcPr>
          <w:p w:rsidR="0099164E" w:rsidRDefault="0099164E" w:rsidP="00B91534">
            <w:r>
              <w:t>Chem-Med, 20</w:t>
            </w:r>
            <w:r w:rsidR="00B91534">
              <w:t>10</w:t>
            </w:r>
          </w:p>
        </w:tc>
        <w:tc>
          <w:tcPr>
            <w:tcW w:w="900" w:type="dxa"/>
          </w:tcPr>
          <w:p w:rsidR="0099164E" w:rsidRDefault="0099164E">
            <w:pPr>
              <w:jc w:val="center"/>
            </w:pPr>
            <w:r>
              <w:t>.2970</w:t>
            </w:r>
          </w:p>
        </w:tc>
        <w:tc>
          <w:tcPr>
            <w:tcW w:w="360" w:type="dxa"/>
          </w:tcPr>
          <w:p w:rsidR="0099164E" w:rsidRDefault="0099164E">
            <w:pPr>
              <w:jc w:val="center"/>
            </w:pPr>
            <w:r>
              <w:t>=</w:t>
            </w:r>
          </w:p>
        </w:tc>
        <w:tc>
          <w:tcPr>
            <w:tcW w:w="1440" w:type="dxa"/>
          </w:tcPr>
          <w:p w:rsidR="0099164E" w:rsidRDefault="0099164E">
            <w:pPr>
              <w:jc w:val="center"/>
            </w:pPr>
            <w:r>
              <w:t>.3015</w:t>
            </w:r>
          </w:p>
        </w:tc>
        <w:tc>
          <w:tcPr>
            <w:tcW w:w="450" w:type="dxa"/>
          </w:tcPr>
          <w:p w:rsidR="0099164E" w:rsidRDefault="0099164E">
            <w:pPr>
              <w:jc w:val="center"/>
            </w:pPr>
            <w:r>
              <w:t>x</w:t>
            </w:r>
          </w:p>
        </w:tc>
        <w:tc>
          <w:tcPr>
            <w:tcW w:w="1710" w:type="dxa"/>
          </w:tcPr>
          <w:p w:rsidR="0099164E" w:rsidRDefault="0099164E">
            <w:pPr>
              <w:jc w:val="center"/>
            </w:pPr>
            <w:r>
              <w:t>.85</w:t>
            </w:r>
          </w:p>
        </w:tc>
        <w:tc>
          <w:tcPr>
            <w:tcW w:w="360" w:type="dxa"/>
          </w:tcPr>
          <w:p w:rsidR="0099164E" w:rsidRDefault="0099164E">
            <w:pPr>
              <w:jc w:val="center"/>
            </w:pPr>
            <w:r>
              <w:t>/</w:t>
            </w:r>
          </w:p>
        </w:tc>
        <w:tc>
          <w:tcPr>
            <w:tcW w:w="2070" w:type="dxa"/>
          </w:tcPr>
          <w:p w:rsidR="0099164E" w:rsidRDefault="0099164E">
            <w:r>
              <w:t>(1 – .137)</w:t>
            </w:r>
          </w:p>
        </w:tc>
      </w:tr>
      <w:tr w:rsidR="0099164E">
        <w:tc>
          <w:tcPr>
            <w:tcW w:w="1800" w:type="dxa"/>
          </w:tcPr>
          <w:p w:rsidR="0099164E" w:rsidRDefault="0099164E">
            <w:r>
              <w:t>Pharmacia:</w:t>
            </w:r>
          </w:p>
        </w:tc>
        <w:tc>
          <w:tcPr>
            <w:tcW w:w="900" w:type="dxa"/>
          </w:tcPr>
          <w:p w:rsidR="0099164E" w:rsidRDefault="0099164E">
            <w:pPr>
              <w:jc w:val="center"/>
            </w:pPr>
            <w:r>
              <w:t>.2956</w:t>
            </w:r>
          </w:p>
        </w:tc>
        <w:tc>
          <w:tcPr>
            <w:tcW w:w="360" w:type="dxa"/>
          </w:tcPr>
          <w:p w:rsidR="0099164E" w:rsidRDefault="0099164E">
            <w:pPr>
              <w:jc w:val="center"/>
            </w:pPr>
            <w:r>
              <w:t>=</w:t>
            </w:r>
          </w:p>
        </w:tc>
        <w:tc>
          <w:tcPr>
            <w:tcW w:w="1440" w:type="dxa"/>
          </w:tcPr>
          <w:p w:rsidR="0099164E" w:rsidRDefault="0099164E">
            <w:pPr>
              <w:jc w:val="center"/>
            </w:pPr>
            <w:r>
              <w:t>.07</w:t>
            </w:r>
          </w:p>
        </w:tc>
        <w:tc>
          <w:tcPr>
            <w:tcW w:w="450" w:type="dxa"/>
          </w:tcPr>
          <w:p w:rsidR="0099164E" w:rsidRDefault="0099164E">
            <w:pPr>
              <w:jc w:val="center"/>
            </w:pPr>
            <w:r>
              <w:t>x</w:t>
            </w:r>
          </w:p>
        </w:tc>
        <w:tc>
          <w:tcPr>
            <w:tcW w:w="1710" w:type="dxa"/>
          </w:tcPr>
          <w:p w:rsidR="0099164E" w:rsidRDefault="0099164E">
            <w:pPr>
              <w:jc w:val="center"/>
            </w:pPr>
            <w:r>
              <w:t>1.9</w:t>
            </w:r>
          </w:p>
        </w:tc>
        <w:tc>
          <w:tcPr>
            <w:tcW w:w="360" w:type="dxa"/>
          </w:tcPr>
          <w:p w:rsidR="0099164E" w:rsidRDefault="0099164E">
            <w:pPr>
              <w:jc w:val="center"/>
            </w:pPr>
            <w:r>
              <w:t>/</w:t>
            </w:r>
          </w:p>
        </w:tc>
        <w:tc>
          <w:tcPr>
            <w:tcW w:w="2070" w:type="dxa"/>
          </w:tcPr>
          <w:p w:rsidR="0099164E" w:rsidRDefault="0099164E">
            <w:r>
              <w:t>(1 – .55)</w:t>
            </w:r>
          </w:p>
        </w:tc>
      </w:tr>
    </w:tbl>
    <w:p w:rsidR="0099164E" w:rsidRDefault="0099164E">
      <w:pPr>
        <w:ind w:left="360"/>
      </w:pPr>
    </w:p>
    <w:p w:rsidR="0099164E" w:rsidRDefault="0099164E">
      <w:pPr>
        <w:ind w:left="360"/>
      </w:pPr>
      <w:r>
        <w:t>Note the drastic difference in the operation of the two companies, even though their ROEs are nearly the same.  Chem-Med makes relatively few sales (low asset turnover), but makes a lot of money on each one (30%).  Pharmacia is just the opposite: it makes a lot of sales, and only a little profit (7%) on each one.  Pharmacia’s ROE is also being propped up by greater use of debt than Chem-Med (Pharmacia has relatively less equity; so the same amount of income will represent a greater return to Pharmacia’s equity holders than Chem-Med’s).  All other considerations being equal, a potential investor would probably prefer Chem-Med’s position, but it’s by no means certain (for example, it’s much more serious for Chem-Med to lose a sale).</w:t>
      </w:r>
    </w:p>
    <w:p w:rsidR="0099164E" w:rsidRDefault="0099164E">
      <w:pPr>
        <w:ind w:left="360" w:hanging="360"/>
      </w:pPr>
    </w:p>
    <w:sectPr w:rsidR="0099164E" w:rsidSect="007E4BD9">
      <w:footerReference w:type="even" r:id="rId8"/>
      <w:pgSz w:w="12240" w:h="15840"/>
      <w:pgMar w:top="1440" w:right="1440" w:bottom="1440" w:left="1440" w:header="720" w:footer="720" w:gutter="0"/>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FC5" w:rsidRDefault="00906FC5">
      <w:r>
        <w:separator/>
      </w:r>
    </w:p>
  </w:endnote>
  <w:endnote w:type="continuationSeparator" w:id="0">
    <w:p w:rsidR="00906FC5" w:rsidRDefault="00906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6EA" w:rsidRDefault="007056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056EA" w:rsidRDefault="007056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FC5" w:rsidRDefault="00906FC5">
      <w:r>
        <w:separator/>
      </w:r>
    </w:p>
  </w:footnote>
  <w:footnote w:type="continuationSeparator" w:id="0">
    <w:p w:rsidR="00906FC5" w:rsidRDefault="00906F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48B9"/>
    <w:multiLevelType w:val="singleLevel"/>
    <w:tmpl w:val="21BECF20"/>
    <w:lvl w:ilvl="0">
      <w:start w:val="1"/>
      <w:numFmt w:val="decimal"/>
      <w:lvlText w:val="%1."/>
      <w:lvlJc w:val="left"/>
      <w:pPr>
        <w:tabs>
          <w:tab w:val="num" w:pos="360"/>
        </w:tabs>
        <w:ind w:left="360" w:hanging="360"/>
      </w:pPr>
      <w:rPr>
        <w:rFonts w:hint="default"/>
      </w:rPr>
    </w:lvl>
  </w:abstractNum>
  <w:abstractNum w:abstractNumId="1">
    <w:nsid w:val="08D4620C"/>
    <w:multiLevelType w:val="hybridMultilevel"/>
    <w:tmpl w:val="574084A2"/>
    <w:lvl w:ilvl="0" w:tplc="21BECF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3338CC"/>
    <w:multiLevelType w:val="singleLevel"/>
    <w:tmpl w:val="21BECF20"/>
    <w:lvl w:ilvl="0">
      <w:start w:val="5"/>
      <w:numFmt w:val="decimal"/>
      <w:lvlText w:val="%1."/>
      <w:lvlJc w:val="left"/>
      <w:pPr>
        <w:tabs>
          <w:tab w:val="num" w:pos="360"/>
        </w:tabs>
        <w:ind w:left="360" w:hanging="360"/>
      </w:pPr>
      <w:rPr>
        <w:rFonts w:hint="default"/>
      </w:rPr>
    </w:lvl>
  </w:abstractNum>
  <w:abstractNum w:abstractNumId="3">
    <w:nsid w:val="103B4AC6"/>
    <w:multiLevelType w:val="singleLevel"/>
    <w:tmpl w:val="21BECF20"/>
    <w:lvl w:ilvl="0">
      <w:start w:val="5"/>
      <w:numFmt w:val="decimal"/>
      <w:lvlText w:val="%1."/>
      <w:lvlJc w:val="left"/>
      <w:pPr>
        <w:tabs>
          <w:tab w:val="num" w:pos="360"/>
        </w:tabs>
        <w:ind w:left="360" w:hanging="360"/>
      </w:pPr>
      <w:rPr>
        <w:rFonts w:hint="default"/>
      </w:rPr>
    </w:lvl>
  </w:abstractNum>
  <w:abstractNum w:abstractNumId="4">
    <w:nsid w:val="18D6128B"/>
    <w:multiLevelType w:val="singleLevel"/>
    <w:tmpl w:val="FAECC9AC"/>
    <w:lvl w:ilvl="0">
      <w:start w:val="2"/>
      <w:numFmt w:val="decimal"/>
      <w:lvlText w:val="%1."/>
      <w:lvlJc w:val="left"/>
      <w:pPr>
        <w:tabs>
          <w:tab w:val="num" w:pos="360"/>
        </w:tabs>
        <w:ind w:left="360" w:hanging="360"/>
      </w:pPr>
      <w:rPr>
        <w:rFonts w:hint="default"/>
      </w:rPr>
    </w:lvl>
  </w:abstractNum>
  <w:abstractNum w:abstractNumId="5">
    <w:nsid w:val="28B60958"/>
    <w:multiLevelType w:val="singleLevel"/>
    <w:tmpl w:val="FAECC9AC"/>
    <w:lvl w:ilvl="0">
      <w:start w:val="1"/>
      <w:numFmt w:val="decimal"/>
      <w:lvlText w:val="%1."/>
      <w:lvlJc w:val="left"/>
      <w:pPr>
        <w:tabs>
          <w:tab w:val="num" w:pos="360"/>
        </w:tabs>
        <w:ind w:left="360" w:hanging="360"/>
      </w:pPr>
      <w:rPr>
        <w:rFonts w:hint="default"/>
      </w:rPr>
    </w:lvl>
  </w:abstractNum>
  <w:abstractNum w:abstractNumId="6">
    <w:nsid w:val="28BC668B"/>
    <w:multiLevelType w:val="singleLevel"/>
    <w:tmpl w:val="21BECF20"/>
    <w:lvl w:ilvl="0">
      <w:start w:val="1"/>
      <w:numFmt w:val="decimal"/>
      <w:lvlText w:val="%1."/>
      <w:lvlJc w:val="left"/>
      <w:pPr>
        <w:tabs>
          <w:tab w:val="num" w:pos="360"/>
        </w:tabs>
        <w:ind w:left="360" w:hanging="360"/>
      </w:pPr>
      <w:rPr>
        <w:rFonts w:hint="default"/>
      </w:rPr>
    </w:lvl>
  </w:abstractNum>
  <w:abstractNum w:abstractNumId="7">
    <w:nsid w:val="2BFC0E90"/>
    <w:multiLevelType w:val="singleLevel"/>
    <w:tmpl w:val="37EA5CC4"/>
    <w:lvl w:ilvl="0">
      <w:start w:val="5"/>
      <w:numFmt w:val="decimal"/>
      <w:lvlText w:val="%1."/>
      <w:lvlJc w:val="left"/>
      <w:pPr>
        <w:tabs>
          <w:tab w:val="num" w:pos="360"/>
        </w:tabs>
        <w:ind w:left="360" w:hanging="360"/>
      </w:pPr>
      <w:rPr>
        <w:rFonts w:hint="default"/>
      </w:rPr>
    </w:lvl>
  </w:abstractNum>
  <w:abstractNum w:abstractNumId="8">
    <w:nsid w:val="38665E09"/>
    <w:multiLevelType w:val="singleLevel"/>
    <w:tmpl w:val="090C5C32"/>
    <w:lvl w:ilvl="0">
      <w:start w:val="6"/>
      <w:numFmt w:val="decimal"/>
      <w:lvlText w:val="%1."/>
      <w:lvlJc w:val="left"/>
      <w:pPr>
        <w:tabs>
          <w:tab w:val="num" w:pos="360"/>
        </w:tabs>
        <w:ind w:left="360" w:hanging="360"/>
      </w:pPr>
      <w:rPr>
        <w:rFonts w:hint="default"/>
      </w:rPr>
    </w:lvl>
  </w:abstractNum>
  <w:abstractNum w:abstractNumId="9">
    <w:nsid w:val="4B8D328A"/>
    <w:multiLevelType w:val="singleLevel"/>
    <w:tmpl w:val="21BECF20"/>
    <w:lvl w:ilvl="0">
      <w:start w:val="8"/>
      <w:numFmt w:val="decimal"/>
      <w:lvlText w:val="%1."/>
      <w:lvlJc w:val="left"/>
      <w:pPr>
        <w:tabs>
          <w:tab w:val="num" w:pos="360"/>
        </w:tabs>
        <w:ind w:left="360" w:hanging="360"/>
      </w:pPr>
      <w:rPr>
        <w:rFonts w:hint="default"/>
      </w:rPr>
    </w:lvl>
  </w:abstractNum>
  <w:abstractNum w:abstractNumId="10">
    <w:nsid w:val="558174C4"/>
    <w:multiLevelType w:val="hybridMultilevel"/>
    <w:tmpl w:val="BF6407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1A24089"/>
    <w:multiLevelType w:val="singleLevel"/>
    <w:tmpl w:val="A9BE8F80"/>
    <w:lvl w:ilvl="0">
      <w:start w:val="1"/>
      <w:numFmt w:val="decimal"/>
      <w:lvlText w:val="%1."/>
      <w:lvlJc w:val="left"/>
      <w:pPr>
        <w:tabs>
          <w:tab w:val="num" w:pos="360"/>
        </w:tabs>
        <w:ind w:left="360" w:hanging="360"/>
      </w:pPr>
      <w:rPr>
        <w:b w:val="0"/>
        <w:i w:val="0"/>
      </w:rPr>
    </w:lvl>
  </w:abstractNum>
  <w:abstractNum w:abstractNumId="12">
    <w:nsid w:val="699E275F"/>
    <w:multiLevelType w:val="hybridMultilevel"/>
    <w:tmpl w:val="50AC5316"/>
    <w:lvl w:ilvl="0" w:tplc="37AE643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9FB6AA3"/>
    <w:multiLevelType w:val="singleLevel"/>
    <w:tmpl w:val="A8241C46"/>
    <w:lvl w:ilvl="0">
      <w:start w:val="3"/>
      <w:numFmt w:val="decimal"/>
      <w:lvlText w:val="%1."/>
      <w:lvlJc w:val="left"/>
      <w:pPr>
        <w:tabs>
          <w:tab w:val="num" w:pos="360"/>
        </w:tabs>
        <w:ind w:left="360" w:hanging="360"/>
      </w:pPr>
      <w:rPr>
        <w:rFonts w:hint="default"/>
      </w:rPr>
    </w:lvl>
  </w:abstractNum>
  <w:num w:numId="1">
    <w:abstractNumId w:val="5"/>
  </w:num>
  <w:num w:numId="2">
    <w:abstractNumId w:val="4"/>
  </w:num>
  <w:num w:numId="3">
    <w:abstractNumId w:val="9"/>
  </w:num>
  <w:num w:numId="4">
    <w:abstractNumId w:val="0"/>
  </w:num>
  <w:num w:numId="5">
    <w:abstractNumId w:val="6"/>
  </w:num>
  <w:num w:numId="6">
    <w:abstractNumId w:val="2"/>
  </w:num>
  <w:num w:numId="7">
    <w:abstractNumId w:val="3"/>
  </w:num>
  <w:num w:numId="8">
    <w:abstractNumId w:val="11"/>
  </w:num>
  <w:num w:numId="9">
    <w:abstractNumId w:val="7"/>
  </w:num>
  <w:num w:numId="10">
    <w:abstractNumId w:val="13"/>
  </w:num>
  <w:num w:numId="11">
    <w:abstractNumId w:val="8"/>
  </w:num>
  <w:num w:numId="12">
    <w:abstractNumId w:val="10"/>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C39"/>
    <w:rsid w:val="00075DD4"/>
    <w:rsid w:val="000807A9"/>
    <w:rsid w:val="000B6AD5"/>
    <w:rsid w:val="000F36B4"/>
    <w:rsid w:val="00125813"/>
    <w:rsid w:val="002260D3"/>
    <w:rsid w:val="002500C7"/>
    <w:rsid w:val="00297132"/>
    <w:rsid w:val="00335E0A"/>
    <w:rsid w:val="00345CCC"/>
    <w:rsid w:val="003A2923"/>
    <w:rsid w:val="003B39F5"/>
    <w:rsid w:val="003C0765"/>
    <w:rsid w:val="00420720"/>
    <w:rsid w:val="0048161A"/>
    <w:rsid w:val="00497166"/>
    <w:rsid w:val="004B526F"/>
    <w:rsid w:val="004E22F5"/>
    <w:rsid w:val="00552236"/>
    <w:rsid w:val="00597869"/>
    <w:rsid w:val="005A1555"/>
    <w:rsid w:val="00624E5A"/>
    <w:rsid w:val="00665653"/>
    <w:rsid w:val="006F3998"/>
    <w:rsid w:val="007056EA"/>
    <w:rsid w:val="0071449F"/>
    <w:rsid w:val="0073731F"/>
    <w:rsid w:val="0074029C"/>
    <w:rsid w:val="00752335"/>
    <w:rsid w:val="007E4BD9"/>
    <w:rsid w:val="008A2ED1"/>
    <w:rsid w:val="008C7B15"/>
    <w:rsid w:val="008F134C"/>
    <w:rsid w:val="00906FC5"/>
    <w:rsid w:val="00940EA8"/>
    <w:rsid w:val="00941225"/>
    <w:rsid w:val="00971043"/>
    <w:rsid w:val="0099164E"/>
    <w:rsid w:val="009F4804"/>
    <w:rsid w:val="00A11804"/>
    <w:rsid w:val="00A17FE9"/>
    <w:rsid w:val="00A55126"/>
    <w:rsid w:val="00AB6F1B"/>
    <w:rsid w:val="00AE1C39"/>
    <w:rsid w:val="00B1693C"/>
    <w:rsid w:val="00B50970"/>
    <w:rsid w:val="00B91534"/>
    <w:rsid w:val="00D50C0B"/>
    <w:rsid w:val="00DE7442"/>
    <w:rsid w:val="00F54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tabs>
        <w:tab w:val="right" w:leader="dot" w:pos="4932"/>
      </w:tabs>
      <w:outlineLvl w:val="3"/>
    </w:pPr>
  </w:style>
  <w:style w:type="paragraph" w:styleId="Heading5">
    <w:name w:val="heading 5"/>
    <w:basedOn w:val="Normal"/>
    <w:next w:val="Normal"/>
    <w:qFormat/>
    <w:pPr>
      <w:keepNext/>
      <w:ind w:left="360"/>
      <w:outlineLvl w:val="4"/>
    </w:pPr>
    <w:rPr>
      <w:i/>
    </w:rPr>
  </w:style>
  <w:style w:type="paragraph" w:styleId="Heading6">
    <w:name w:val="heading 6"/>
    <w:basedOn w:val="Normal"/>
    <w:next w:val="Normal"/>
    <w:qFormat/>
    <w:pPr>
      <w:keepNext/>
      <w:jc w:val="right"/>
      <w:outlineLvl w:val="5"/>
    </w:pPr>
    <w:rPr>
      <w:i/>
    </w:rPr>
  </w:style>
  <w:style w:type="paragraph" w:styleId="Heading7">
    <w:name w:val="heading 7"/>
    <w:basedOn w:val="Normal"/>
    <w:next w:val="Normal"/>
    <w:qFormat/>
    <w:pPr>
      <w:keepNext/>
      <w:outlineLvl w:val="6"/>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rPr>
      <w:rFonts w:ascii="Arial" w:hAnsi="Arial"/>
      <w:b/>
      <w:sz w:val="32"/>
    </w:rPr>
  </w:style>
  <w:style w:type="paragraph" w:customStyle="1" w:styleId="Chapter">
    <w:name w:val="Chapter #"/>
    <w:basedOn w:val="Normal"/>
    <w:next w:val="Normal"/>
    <w:pPr>
      <w:pageBreakBefore/>
      <w:jc w:val="right"/>
    </w:pPr>
    <w:rPr>
      <w:rFonts w:ascii="Arial" w:hAnsi="Arial"/>
      <w:b/>
      <w:sz w:val="32"/>
    </w:rPr>
  </w:style>
  <w:style w:type="paragraph" w:styleId="BodyTextIndent">
    <w:name w:val="Body Text Indent"/>
    <w:basedOn w:val="Normal"/>
    <w:pPr>
      <w:ind w:left="360"/>
    </w:pPr>
  </w:style>
  <w:style w:type="paragraph" w:styleId="BodyTextIndent2">
    <w:name w:val="Body Text Indent 2"/>
    <w:basedOn w:val="Normal"/>
    <w:pPr>
      <w:tabs>
        <w:tab w:val="left" w:pos="360"/>
      </w:tabs>
      <w:ind w:left="360" w:hanging="36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297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C0765"/>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tabs>
        <w:tab w:val="right" w:leader="dot" w:pos="4932"/>
      </w:tabs>
      <w:outlineLvl w:val="3"/>
    </w:pPr>
  </w:style>
  <w:style w:type="paragraph" w:styleId="Heading5">
    <w:name w:val="heading 5"/>
    <w:basedOn w:val="Normal"/>
    <w:next w:val="Normal"/>
    <w:qFormat/>
    <w:pPr>
      <w:keepNext/>
      <w:ind w:left="360"/>
      <w:outlineLvl w:val="4"/>
    </w:pPr>
    <w:rPr>
      <w:i/>
    </w:rPr>
  </w:style>
  <w:style w:type="paragraph" w:styleId="Heading6">
    <w:name w:val="heading 6"/>
    <w:basedOn w:val="Normal"/>
    <w:next w:val="Normal"/>
    <w:qFormat/>
    <w:pPr>
      <w:keepNext/>
      <w:jc w:val="right"/>
      <w:outlineLvl w:val="5"/>
    </w:pPr>
    <w:rPr>
      <w:i/>
    </w:rPr>
  </w:style>
  <w:style w:type="paragraph" w:styleId="Heading7">
    <w:name w:val="heading 7"/>
    <w:basedOn w:val="Normal"/>
    <w:next w:val="Normal"/>
    <w:qFormat/>
    <w:pPr>
      <w:keepNext/>
      <w:outlineLvl w:val="6"/>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rPr>
      <w:rFonts w:ascii="Arial" w:hAnsi="Arial"/>
      <w:b/>
      <w:sz w:val="32"/>
    </w:rPr>
  </w:style>
  <w:style w:type="paragraph" w:customStyle="1" w:styleId="Chapter">
    <w:name w:val="Chapter #"/>
    <w:basedOn w:val="Normal"/>
    <w:next w:val="Normal"/>
    <w:pPr>
      <w:pageBreakBefore/>
      <w:jc w:val="right"/>
    </w:pPr>
    <w:rPr>
      <w:rFonts w:ascii="Arial" w:hAnsi="Arial"/>
      <w:b/>
      <w:sz w:val="32"/>
    </w:rPr>
  </w:style>
  <w:style w:type="paragraph" w:styleId="BodyTextIndent">
    <w:name w:val="Body Text Indent"/>
    <w:basedOn w:val="Normal"/>
    <w:pPr>
      <w:ind w:left="360"/>
    </w:pPr>
  </w:style>
  <w:style w:type="paragraph" w:styleId="BodyTextIndent2">
    <w:name w:val="Body Text Indent 2"/>
    <w:basedOn w:val="Normal"/>
    <w:pPr>
      <w:tabs>
        <w:tab w:val="left" w:pos="360"/>
      </w:tabs>
      <w:ind w:left="360" w:hanging="36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297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C0765"/>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Contents</vt:lpstr>
    </vt:vector>
  </TitlesOfParts>
  <Company>Freelance Editing and Writing</Company>
  <LinksUpToDate>false</LinksUpToDate>
  <CharactersWithSpaces>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Marsena Konkle</dc:creator>
  <cp:lastModifiedBy>Jozefowicz, Karen</cp:lastModifiedBy>
  <cp:revision>2</cp:revision>
  <cp:lastPrinted>2006-06-25T17:12:00Z</cp:lastPrinted>
  <dcterms:created xsi:type="dcterms:W3CDTF">2014-07-17T16:07:00Z</dcterms:created>
  <dcterms:modified xsi:type="dcterms:W3CDTF">2014-07-17T16:07:00Z</dcterms:modified>
</cp:coreProperties>
</file>