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788"/>
        <w:gridCol w:w="4788"/>
      </w:tblGrid>
      <w:tr w:rsidR="0099164E">
        <w:tc>
          <w:tcPr>
            <w:tcW w:w="4788" w:type="dxa"/>
          </w:tcPr>
          <w:p w:rsidR="0099164E" w:rsidRDefault="0099164E">
            <w:pPr>
              <w:pStyle w:val="Heading1"/>
            </w:pPr>
            <w:r>
              <w:t>Glen Mount Furniture Company</w:t>
            </w:r>
          </w:p>
        </w:tc>
        <w:tc>
          <w:tcPr>
            <w:tcW w:w="4788" w:type="dxa"/>
          </w:tcPr>
          <w:p w:rsidR="0099164E" w:rsidRDefault="0099164E">
            <w:pPr>
              <w:pStyle w:val="Heading1"/>
              <w:jc w:val="right"/>
              <w:rPr>
                <w:b w:val="0"/>
              </w:rPr>
            </w:pPr>
            <w:r>
              <w:rPr>
                <w:b w:val="0"/>
              </w:rPr>
              <w:t>Case 3</w:t>
            </w:r>
          </w:p>
        </w:tc>
      </w:tr>
    </w:tbl>
    <w:p w:rsidR="0099164E" w:rsidRDefault="0099164E"/>
    <w:p w:rsidR="0099164E" w:rsidRDefault="0099164E">
      <w:pPr>
        <w:pStyle w:val="Heading2"/>
        <w:jc w:val="center"/>
      </w:pPr>
      <w:r>
        <w:t>Financial Leverage</w:t>
      </w:r>
    </w:p>
    <w:p w:rsidR="0099164E" w:rsidRDefault="0099164E"/>
    <w:p w:rsidR="0099164E" w:rsidRDefault="0099164E">
      <w:r>
        <w:t>Purpose:  The potential impact of changes in the debt level on earnings per share is the central focus of the case.  However, the instructor can derive educational benefits that go well beyond this point.  The central figure in the case is frustrated by security analyst’s short-term emphasis on earnings per share and their lack of concern for the long-term fundamentals associated with his firm.  This rather common situation can be drawn upon to make for a more dynamic discussion process.  The student is given ample opportunities to calculate EPS under different financial leverage strategies and to examine debt ratios, and degrees of leverage.</w:t>
      </w:r>
    </w:p>
    <w:p w:rsidR="0099164E" w:rsidRDefault="0099164E"/>
    <w:p w:rsidR="0099164E" w:rsidRDefault="0099164E">
      <w:r>
        <w:t>Relation to Text:  The case should follow Chapter 5.  Because the case has some elementary valuation considerations as well, it also could be used later in the course.</w:t>
      </w:r>
    </w:p>
    <w:p w:rsidR="0099164E" w:rsidRDefault="0099164E"/>
    <w:p w:rsidR="0099164E" w:rsidRDefault="0099164E">
      <w:r>
        <w:t>Complexity:  The case is moderately complex.  It should require 1 hour.</w:t>
      </w:r>
    </w:p>
    <w:p w:rsidR="0099164E" w:rsidRDefault="0099164E">
      <w:pPr>
        <w:pStyle w:val="Heading2"/>
      </w:pPr>
      <w:r>
        <w:br w:type="page"/>
      </w:r>
      <w:r>
        <w:lastRenderedPageBreak/>
        <w:t>Solutions</w:t>
      </w:r>
    </w:p>
    <w:tbl>
      <w:tblPr>
        <w:tblW w:w="0" w:type="auto"/>
        <w:tblInd w:w="8" w:type="dxa"/>
        <w:tblLayout w:type="fixed"/>
        <w:tblCellMar>
          <w:left w:w="0" w:type="dxa"/>
          <w:right w:w="0" w:type="dxa"/>
        </w:tblCellMar>
        <w:tblLook w:val="0000" w:firstRow="0" w:lastRow="0" w:firstColumn="0" w:lastColumn="0" w:noHBand="0" w:noVBand="0"/>
      </w:tblPr>
      <w:tblGrid>
        <w:gridCol w:w="468"/>
        <w:gridCol w:w="2760"/>
        <w:gridCol w:w="462"/>
        <w:gridCol w:w="1548"/>
        <w:gridCol w:w="468"/>
        <w:gridCol w:w="282"/>
        <w:gridCol w:w="462"/>
        <w:gridCol w:w="841"/>
      </w:tblGrid>
      <w:tr w:rsidR="0099164E">
        <w:trPr>
          <w:cantSplit/>
        </w:trPr>
        <w:tc>
          <w:tcPr>
            <w:tcW w:w="468" w:type="dxa"/>
          </w:tcPr>
          <w:p w:rsidR="0099164E" w:rsidRDefault="0099164E">
            <w:pPr>
              <w:tabs>
                <w:tab w:val="right" w:leader="dot" w:pos="4320"/>
              </w:tabs>
            </w:pPr>
            <w:r>
              <w:t>1.</w:t>
            </w:r>
          </w:p>
        </w:tc>
        <w:tc>
          <w:tcPr>
            <w:tcW w:w="5520" w:type="dxa"/>
            <w:gridSpan w:val="5"/>
          </w:tcPr>
          <w:p w:rsidR="0099164E" w:rsidRDefault="0099164E">
            <w:pPr>
              <w:tabs>
                <w:tab w:val="right" w:leader="dot" w:pos="5652"/>
              </w:tabs>
            </w:pPr>
            <w:r>
              <w:t>Sales ($45,500,000 + $500,000</w:t>
            </w:r>
            <w:r>
              <w:tab/>
            </w:r>
          </w:p>
        </w:tc>
        <w:tc>
          <w:tcPr>
            <w:tcW w:w="1302" w:type="dxa"/>
            <w:gridSpan w:val="2"/>
          </w:tcPr>
          <w:p w:rsidR="0099164E" w:rsidRDefault="0099164E">
            <w:pPr>
              <w:tabs>
                <w:tab w:val="right" w:leader="dot" w:pos="4320"/>
              </w:tabs>
              <w:jc w:val="right"/>
            </w:pPr>
            <w:r>
              <w:t>$45,500,000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Fixed costs</w:t>
            </w:r>
            <w:r>
              <w:tab/>
            </w:r>
          </w:p>
        </w:tc>
        <w:tc>
          <w:tcPr>
            <w:tcW w:w="1302" w:type="dxa"/>
            <w:gridSpan w:val="2"/>
          </w:tcPr>
          <w:p w:rsidR="0099164E" w:rsidRDefault="0099164E">
            <w:pPr>
              <w:tabs>
                <w:tab w:val="right" w:leader="dot" w:pos="4320"/>
              </w:tabs>
              <w:jc w:val="right"/>
            </w:pPr>
            <w:r>
              <w:t>12,900,000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Variable costs (58% of sales)</w:t>
            </w:r>
            <w:r>
              <w:tab/>
            </w:r>
          </w:p>
        </w:tc>
        <w:tc>
          <w:tcPr>
            <w:tcW w:w="1302" w:type="dxa"/>
            <w:gridSpan w:val="2"/>
          </w:tcPr>
          <w:p w:rsidR="0099164E" w:rsidRDefault="0099164E">
            <w:pPr>
              <w:tabs>
                <w:tab w:val="right" w:leader="dot" w:pos="4320"/>
              </w:tabs>
              <w:jc w:val="right"/>
              <w:rPr>
                <w:u w:val="single"/>
              </w:rPr>
            </w:pPr>
            <w:r>
              <w:rPr>
                <w:u w:val="single"/>
              </w:rPr>
              <w:t>26,390,000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Operating income (EBIT)</w:t>
            </w:r>
            <w:r>
              <w:tab/>
            </w:r>
          </w:p>
        </w:tc>
        <w:tc>
          <w:tcPr>
            <w:tcW w:w="1302" w:type="dxa"/>
            <w:gridSpan w:val="2"/>
          </w:tcPr>
          <w:p w:rsidR="0099164E" w:rsidRDefault="0099164E">
            <w:pPr>
              <w:tabs>
                <w:tab w:val="right" w:leader="dot" w:pos="4320"/>
              </w:tabs>
              <w:jc w:val="right"/>
            </w:pPr>
            <w:r>
              <w:t>6,210,000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Interest</w:t>
            </w:r>
            <w:r>
              <w:tab/>
            </w:r>
          </w:p>
        </w:tc>
        <w:tc>
          <w:tcPr>
            <w:tcW w:w="1302" w:type="dxa"/>
            <w:gridSpan w:val="2"/>
          </w:tcPr>
          <w:p w:rsidR="0099164E" w:rsidRDefault="0099164E">
            <w:pPr>
              <w:tabs>
                <w:tab w:val="right" w:leader="dot" w:pos="4320"/>
              </w:tabs>
              <w:jc w:val="right"/>
              <w:rPr>
                <w:u w:val="single"/>
              </w:rPr>
            </w:pPr>
            <w:r>
              <w:rPr>
                <w:u w:val="single"/>
              </w:rPr>
              <w:t>1,275,000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before taxes (EBT)</w:t>
            </w:r>
            <w:r>
              <w:tab/>
            </w:r>
          </w:p>
        </w:tc>
        <w:tc>
          <w:tcPr>
            <w:tcW w:w="1302" w:type="dxa"/>
            <w:gridSpan w:val="2"/>
          </w:tcPr>
          <w:p w:rsidR="0099164E" w:rsidRDefault="0099164E">
            <w:pPr>
              <w:tabs>
                <w:tab w:val="right" w:leader="dot" w:pos="4320"/>
              </w:tabs>
              <w:jc w:val="right"/>
            </w:pPr>
            <w:r>
              <w:t>4,935,000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Taxes (34%)</w:t>
            </w:r>
            <w:r>
              <w:tab/>
            </w:r>
          </w:p>
        </w:tc>
        <w:tc>
          <w:tcPr>
            <w:tcW w:w="1302" w:type="dxa"/>
            <w:gridSpan w:val="2"/>
          </w:tcPr>
          <w:p w:rsidR="0099164E" w:rsidRDefault="00387841">
            <w:pPr>
              <w:tabs>
                <w:tab w:val="right" w:leader="dot" w:pos="4320"/>
              </w:tabs>
              <w:jc w:val="right"/>
              <w:rPr>
                <w:u w:val="single"/>
              </w:rPr>
            </w:pPr>
            <w:r>
              <w:rPr>
                <w:u w:val="single"/>
              </w:rPr>
              <w:t>1,677,9</w:t>
            </w:r>
            <w:r w:rsidR="0099164E">
              <w:rPr>
                <w:u w:val="single"/>
              </w:rPr>
              <w:t>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after taxes (EAT)</w:t>
            </w:r>
            <w:r>
              <w:tab/>
            </w:r>
          </w:p>
        </w:tc>
        <w:tc>
          <w:tcPr>
            <w:tcW w:w="1302" w:type="dxa"/>
            <w:gridSpan w:val="2"/>
          </w:tcPr>
          <w:p w:rsidR="0099164E" w:rsidRDefault="0099164E">
            <w:pPr>
              <w:tabs>
                <w:tab w:val="right" w:leader="dot" w:pos="4320"/>
              </w:tabs>
              <w:jc w:val="right"/>
            </w:pPr>
            <w:r>
              <w:t>3,257,100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Shares</w:t>
            </w:r>
            <w:r>
              <w:tab/>
            </w:r>
          </w:p>
        </w:tc>
        <w:tc>
          <w:tcPr>
            <w:tcW w:w="1302" w:type="dxa"/>
            <w:gridSpan w:val="2"/>
          </w:tcPr>
          <w:p w:rsidR="0099164E" w:rsidRDefault="0099164E">
            <w:pPr>
              <w:tabs>
                <w:tab w:val="right" w:leader="dot" w:pos="4320"/>
              </w:tabs>
              <w:jc w:val="right"/>
            </w:pPr>
            <w:r>
              <w:t>2,000,000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per share</w:t>
            </w:r>
            <w:r>
              <w:tab/>
            </w:r>
          </w:p>
        </w:tc>
        <w:tc>
          <w:tcPr>
            <w:tcW w:w="1302" w:type="dxa"/>
            <w:gridSpan w:val="2"/>
          </w:tcPr>
          <w:p w:rsidR="0099164E" w:rsidRDefault="0099164E">
            <w:pPr>
              <w:tabs>
                <w:tab w:val="right" w:leader="dot" w:pos="4320"/>
              </w:tabs>
              <w:jc w:val="right"/>
            </w:pPr>
            <w:r>
              <w:t>$1.63</w:t>
            </w:r>
          </w:p>
        </w:tc>
      </w:tr>
      <w:tr w:rsidR="0099164E">
        <w:trPr>
          <w:cantSplit/>
        </w:trPr>
        <w:tc>
          <w:tcPr>
            <w:tcW w:w="468" w:type="dxa"/>
          </w:tcPr>
          <w:p w:rsidR="0099164E" w:rsidRDefault="0099164E">
            <w:pPr>
              <w:tabs>
                <w:tab w:val="right" w:leader="dot" w:pos="4320"/>
              </w:tabs>
              <w:rPr>
                <w:sz w:val="10"/>
              </w:rPr>
            </w:pPr>
          </w:p>
        </w:tc>
        <w:tc>
          <w:tcPr>
            <w:tcW w:w="2760" w:type="dxa"/>
          </w:tcPr>
          <w:p w:rsidR="0099164E" w:rsidRDefault="0099164E">
            <w:pPr>
              <w:tabs>
                <w:tab w:val="right" w:leader="dot" w:pos="4320"/>
              </w:tabs>
              <w:rPr>
                <w:sz w:val="10"/>
              </w:rPr>
            </w:pPr>
          </w:p>
        </w:tc>
        <w:tc>
          <w:tcPr>
            <w:tcW w:w="2760" w:type="dxa"/>
            <w:gridSpan w:val="4"/>
          </w:tcPr>
          <w:p w:rsidR="0099164E" w:rsidRDefault="0099164E">
            <w:pPr>
              <w:tabs>
                <w:tab w:val="right" w:leader="dot" w:pos="4320"/>
              </w:tabs>
              <w:jc w:val="right"/>
              <w:rPr>
                <w:sz w:val="10"/>
              </w:rPr>
            </w:pPr>
          </w:p>
        </w:tc>
        <w:tc>
          <w:tcPr>
            <w:tcW w:w="1302" w:type="dxa"/>
            <w:gridSpan w:val="2"/>
          </w:tcPr>
          <w:p w:rsidR="0099164E" w:rsidRDefault="0099164E">
            <w:pPr>
              <w:tabs>
                <w:tab w:val="right" w:leader="dot" w:pos="4320"/>
              </w:tabs>
              <w:jc w:val="right"/>
              <w:rPr>
                <w:sz w:val="10"/>
              </w:rPr>
            </w:pPr>
          </w:p>
        </w:tc>
      </w:tr>
      <w:tr w:rsidR="0099164E">
        <w:trPr>
          <w:cantSplit/>
        </w:trPr>
        <w:tc>
          <w:tcPr>
            <w:tcW w:w="468" w:type="dxa"/>
          </w:tcPr>
          <w:p w:rsidR="0099164E" w:rsidRDefault="0099164E">
            <w:pPr>
              <w:tabs>
                <w:tab w:val="right" w:leader="dot" w:pos="4320"/>
              </w:tabs>
            </w:pPr>
            <w:r>
              <w:t>2.</w:t>
            </w:r>
          </w:p>
        </w:tc>
        <w:tc>
          <w:tcPr>
            <w:tcW w:w="4770" w:type="dxa"/>
            <w:gridSpan w:val="3"/>
          </w:tcPr>
          <w:p w:rsidR="0099164E" w:rsidRDefault="00D7647B" w:rsidP="00306A76">
            <w:pPr>
              <w:tabs>
                <w:tab w:val="left" w:pos="102"/>
                <w:tab w:val="left" w:leader="dot" w:pos="1812"/>
                <w:tab w:val="right" w:leader="dot" w:pos="4842"/>
              </w:tabs>
            </w:pPr>
            <w:r>
              <w:t>Earnings per share, 201</w:t>
            </w:r>
            <w:r w:rsidR="00306A76">
              <w:t>6</w:t>
            </w:r>
            <w:r w:rsidR="0099164E">
              <w:tab/>
            </w:r>
          </w:p>
        </w:tc>
        <w:tc>
          <w:tcPr>
            <w:tcW w:w="749" w:type="dxa"/>
            <w:gridSpan w:val="2"/>
          </w:tcPr>
          <w:p w:rsidR="0099164E" w:rsidRDefault="0099164E">
            <w:pPr>
              <w:tabs>
                <w:tab w:val="left" w:pos="102"/>
                <w:tab w:val="left" w:leader="dot" w:pos="1812"/>
                <w:tab w:val="right" w:leader="dot" w:pos="4320"/>
              </w:tabs>
              <w:jc w:val="right"/>
            </w:pPr>
            <w:r>
              <w:t>$1.63</w:t>
            </w:r>
          </w:p>
        </w:tc>
        <w:tc>
          <w:tcPr>
            <w:tcW w:w="1303" w:type="dxa"/>
            <w:gridSpan w:val="2"/>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pPr>
          </w:p>
        </w:tc>
        <w:tc>
          <w:tcPr>
            <w:tcW w:w="4770" w:type="dxa"/>
            <w:gridSpan w:val="3"/>
          </w:tcPr>
          <w:p w:rsidR="0099164E" w:rsidRDefault="00D7647B" w:rsidP="00306A76">
            <w:pPr>
              <w:tabs>
                <w:tab w:val="right" w:leader="dot" w:pos="4842"/>
              </w:tabs>
              <w:rPr>
                <w:u w:val="single"/>
              </w:rPr>
            </w:pPr>
            <w:r>
              <w:t>Earnings per share, 201</w:t>
            </w:r>
            <w:r w:rsidR="00306A76">
              <w:t>5</w:t>
            </w:r>
            <w:r w:rsidR="0099164E">
              <w:tab/>
            </w:r>
          </w:p>
        </w:tc>
        <w:tc>
          <w:tcPr>
            <w:tcW w:w="749" w:type="dxa"/>
            <w:gridSpan w:val="2"/>
          </w:tcPr>
          <w:p w:rsidR="0099164E" w:rsidRDefault="0099164E">
            <w:pPr>
              <w:tabs>
                <w:tab w:val="right" w:leader="dot" w:pos="4320"/>
              </w:tabs>
              <w:jc w:val="right"/>
              <w:rPr>
                <w:u w:val="single"/>
              </w:rPr>
            </w:pPr>
            <w:r>
              <w:rPr>
                <w:u w:val="single"/>
              </w:rPr>
              <w:t>1.56</w:t>
            </w:r>
          </w:p>
        </w:tc>
        <w:tc>
          <w:tcPr>
            <w:tcW w:w="1303" w:type="dxa"/>
            <w:gridSpan w:val="2"/>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pPr>
          </w:p>
        </w:tc>
        <w:tc>
          <w:tcPr>
            <w:tcW w:w="4770" w:type="dxa"/>
            <w:gridSpan w:val="3"/>
          </w:tcPr>
          <w:p w:rsidR="0099164E" w:rsidRDefault="0099164E">
            <w:pPr>
              <w:tabs>
                <w:tab w:val="right" w:leader="dot" w:pos="4842"/>
              </w:tabs>
            </w:pPr>
            <w:r>
              <w:t>Increase</w:t>
            </w:r>
            <w:r>
              <w:tab/>
            </w:r>
          </w:p>
        </w:tc>
        <w:tc>
          <w:tcPr>
            <w:tcW w:w="749" w:type="dxa"/>
            <w:gridSpan w:val="2"/>
          </w:tcPr>
          <w:p w:rsidR="0099164E" w:rsidRDefault="0099164E">
            <w:pPr>
              <w:tabs>
                <w:tab w:val="right" w:leader="dot" w:pos="4320"/>
              </w:tabs>
              <w:jc w:val="right"/>
            </w:pPr>
            <w:r>
              <w:t>$ .07</w:t>
            </w:r>
          </w:p>
        </w:tc>
        <w:tc>
          <w:tcPr>
            <w:tcW w:w="1303" w:type="dxa"/>
            <w:gridSpan w:val="2"/>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rPr>
                <w:sz w:val="8"/>
              </w:rPr>
            </w:pPr>
          </w:p>
        </w:tc>
        <w:tc>
          <w:tcPr>
            <w:tcW w:w="2760" w:type="dxa"/>
          </w:tcPr>
          <w:p w:rsidR="0099164E" w:rsidRDefault="0099164E">
            <w:pPr>
              <w:tabs>
                <w:tab w:val="right" w:leader="dot" w:pos="4320"/>
              </w:tabs>
              <w:rPr>
                <w:sz w:val="8"/>
              </w:rPr>
            </w:pPr>
          </w:p>
        </w:tc>
        <w:tc>
          <w:tcPr>
            <w:tcW w:w="2010" w:type="dxa"/>
            <w:gridSpan w:val="2"/>
          </w:tcPr>
          <w:p w:rsidR="0099164E" w:rsidRDefault="0099164E">
            <w:pPr>
              <w:tabs>
                <w:tab w:val="right" w:leader="dot" w:pos="4320"/>
              </w:tabs>
              <w:jc w:val="right"/>
              <w:rPr>
                <w:sz w:val="8"/>
              </w:rPr>
            </w:pPr>
          </w:p>
        </w:tc>
        <w:tc>
          <w:tcPr>
            <w:tcW w:w="749" w:type="dxa"/>
            <w:gridSpan w:val="2"/>
          </w:tcPr>
          <w:p w:rsidR="0099164E" w:rsidRDefault="0099164E">
            <w:pPr>
              <w:tabs>
                <w:tab w:val="right" w:leader="dot" w:pos="4320"/>
              </w:tabs>
              <w:jc w:val="right"/>
              <w:rPr>
                <w:sz w:val="8"/>
              </w:rPr>
            </w:pPr>
          </w:p>
        </w:tc>
        <w:tc>
          <w:tcPr>
            <w:tcW w:w="1303" w:type="dxa"/>
            <w:gridSpan w:val="2"/>
          </w:tcPr>
          <w:p w:rsidR="0099164E" w:rsidRDefault="0099164E">
            <w:pPr>
              <w:tabs>
                <w:tab w:val="right" w:leader="dot" w:pos="4320"/>
              </w:tabs>
              <w:jc w:val="right"/>
              <w:rPr>
                <w:sz w:val="8"/>
              </w:rPr>
            </w:pPr>
          </w:p>
        </w:tc>
      </w:tr>
      <w:tr w:rsidR="0099164E">
        <w:trPr>
          <w:cantSplit/>
        </w:trPr>
        <w:tc>
          <w:tcPr>
            <w:tcW w:w="468" w:type="dxa"/>
          </w:tcPr>
          <w:p w:rsidR="0099164E" w:rsidRDefault="0099164E">
            <w:pPr>
              <w:tabs>
                <w:tab w:val="right" w:leader="dot" w:pos="4320"/>
              </w:tabs>
            </w:pPr>
          </w:p>
        </w:tc>
        <w:tc>
          <w:tcPr>
            <w:tcW w:w="4770" w:type="dxa"/>
            <w:gridSpan w:val="3"/>
          </w:tcPr>
          <w:p w:rsidR="0099164E" w:rsidRDefault="0099164E">
            <w:pPr>
              <w:pStyle w:val="Heading4"/>
              <w:rPr>
                <w:u w:val="single"/>
              </w:rPr>
            </w:pPr>
            <w:r>
              <w:t>Increase</w:t>
            </w:r>
          </w:p>
        </w:tc>
        <w:tc>
          <w:tcPr>
            <w:tcW w:w="749" w:type="dxa"/>
            <w:gridSpan w:val="2"/>
          </w:tcPr>
          <w:p w:rsidR="0099164E" w:rsidRDefault="0099164E">
            <w:pPr>
              <w:tabs>
                <w:tab w:val="right" w:leader="dot" w:pos="4320"/>
              </w:tabs>
              <w:jc w:val="right"/>
              <w:rPr>
                <w:u w:val="single"/>
              </w:rPr>
            </w:pPr>
            <w:r>
              <w:rPr>
                <w:u w:val="single"/>
              </w:rPr>
              <w:t>$ .07</w:t>
            </w:r>
          </w:p>
        </w:tc>
        <w:tc>
          <w:tcPr>
            <w:tcW w:w="1303" w:type="dxa"/>
            <w:gridSpan w:val="2"/>
            <w:vMerge w:val="restart"/>
            <w:vAlign w:val="center"/>
          </w:tcPr>
          <w:p w:rsidR="0099164E" w:rsidRDefault="004E22F5">
            <w:pPr>
              <w:tabs>
                <w:tab w:val="right" w:leader="dot" w:pos="4320"/>
              </w:tabs>
            </w:pPr>
            <w:r>
              <w:t xml:space="preserve"> </w:t>
            </w:r>
            <w:r w:rsidR="0099164E">
              <w:t>= 4.5%</w:t>
            </w:r>
          </w:p>
        </w:tc>
      </w:tr>
      <w:tr w:rsidR="0099164E">
        <w:trPr>
          <w:cantSplit/>
        </w:trPr>
        <w:tc>
          <w:tcPr>
            <w:tcW w:w="468" w:type="dxa"/>
          </w:tcPr>
          <w:p w:rsidR="0099164E" w:rsidRDefault="0099164E">
            <w:pPr>
              <w:tabs>
                <w:tab w:val="right" w:leader="dot" w:pos="4320"/>
              </w:tabs>
            </w:pPr>
          </w:p>
        </w:tc>
        <w:tc>
          <w:tcPr>
            <w:tcW w:w="4770" w:type="dxa"/>
            <w:gridSpan w:val="3"/>
          </w:tcPr>
          <w:p w:rsidR="0099164E" w:rsidRDefault="0099164E" w:rsidP="00306A76">
            <w:pPr>
              <w:tabs>
                <w:tab w:val="right" w:leader="dot" w:pos="4842"/>
              </w:tabs>
            </w:pPr>
            <w:r>
              <w:t>Earnings per share, 20</w:t>
            </w:r>
            <w:r w:rsidR="00D7647B">
              <w:t>1</w:t>
            </w:r>
            <w:r w:rsidR="00306A76">
              <w:t>5</w:t>
            </w:r>
          </w:p>
        </w:tc>
        <w:tc>
          <w:tcPr>
            <w:tcW w:w="749" w:type="dxa"/>
            <w:gridSpan w:val="2"/>
          </w:tcPr>
          <w:p w:rsidR="0099164E" w:rsidRDefault="0099164E">
            <w:pPr>
              <w:tabs>
                <w:tab w:val="right" w:leader="dot" w:pos="4320"/>
              </w:tabs>
              <w:jc w:val="right"/>
            </w:pPr>
            <w:r>
              <w:t>1.56</w:t>
            </w:r>
          </w:p>
        </w:tc>
        <w:tc>
          <w:tcPr>
            <w:tcW w:w="1303" w:type="dxa"/>
            <w:gridSpan w:val="2"/>
            <w:vMerge/>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rPr>
                <w:sz w:val="10"/>
              </w:rPr>
            </w:pPr>
          </w:p>
        </w:tc>
        <w:tc>
          <w:tcPr>
            <w:tcW w:w="2760" w:type="dxa"/>
          </w:tcPr>
          <w:p w:rsidR="0099164E" w:rsidRDefault="0099164E">
            <w:pPr>
              <w:tabs>
                <w:tab w:val="right" w:leader="dot" w:pos="4320"/>
              </w:tabs>
              <w:rPr>
                <w:sz w:val="10"/>
              </w:rPr>
            </w:pPr>
          </w:p>
        </w:tc>
        <w:tc>
          <w:tcPr>
            <w:tcW w:w="2760" w:type="dxa"/>
            <w:gridSpan w:val="4"/>
          </w:tcPr>
          <w:p w:rsidR="0099164E" w:rsidRDefault="0099164E">
            <w:pPr>
              <w:tabs>
                <w:tab w:val="right" w:leader="dot" w:pos="4320"/>
              </w:tabs>
              <w:jc w:val="right"/>
              <w:rPr>
                <w:sz w:val="10"/>
              </w:rPr>
            </w:pPr>
          </w:p>
        </w:tc>
        <w:tc>
          <w:tcPr>
            <w:tcW w:w="1302" w:type="dxa"/>
            <w:gridSpan w:val="2"/>
          </w:tcPr>
          <w:p w:rsidR="0099164E" w:rsidRDefault="0099164E">
            <w:pPr>
              <w:tabs>
                <w:tab w:val="right" w:leader="dot" w:pos="4320"/>
              </w:tabs>
              <w:jc w:val="right"/>
              <w:rPr>
                <w:sz w:val="10"/>
              </w:rPr>
            </w:pPr>
          </w:p>
        </w:tc>
      </w:tr>
      <w:tr w:rsidR="0099164E">
        <w:trPr>
          <w:cantSplit/>
        </w:trPr>
        <w:tc>
          <w:tcPr>
            <w:tcW w:w="468" w:type="dxa"/>
          </w:tcPr>
          <w:p w:rsidR="0099164E" w:rsidRDefault="0099164E">
            <w:pPr>
              <w:tabs>
                <w:tab w:val="right" w:leader="dot" w:pos="4320"/>
              </w:tabs>
            </w:pPr>
            <w:r>
              <w:t>3.</w:t>
            </w:r>
          </w:p>
        </w:tc>
        <w:tc>
          <w:tcPr>
            <w:tcW w:w="5520" w:type="dxa"/>
            <w:gridSpan w:val="5"/>
          </w:tcPr>
          <w:p w:rsidR="0099164E" w:rsidRDefault="0099164E">
            <w:pPr>
              <w:tabs>
                <w:tab w:val="right" w:leader="dot" w:pos="5742"/>
              </w:tabs>
            </w:pPr>
            <w:r>
              <w:t>Sales</w:t>
            </w:r>
            <w:r>
              <w:tab/>
            </w:r>
          </w:p>
        </w:tc>
        <w:tc>
          <w:tcPr>
            <w:tcW w:w="1302" w:type="dxa"/>
            <w:gridSpan w:val="2"/>
          </w:tcPr>
          <w:p w:rsidR="0099164E" w:rsidRDefault="0099164E">
            <w:pPr>
              <w:tabs>
                <w:tab w:val="right" w:leader="dot" w:pos="4320"/>
              </w:tabs>
              <w:jc w:val="right"/>
            </w:pPr>
            <w:r>
              <w:t>$45,500,000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Fixed costs</w:t>
            </w:r>
            <w:r>
              <w:tab/>
            </w:r>
          </w:p>
        </w:tc>
        <w:tc>
          <w:tcPr>
            <w:tcW w:w="1302" w:type="dxa"/>
            <w:gridSpan w:val="2"/>
          </w:tcPr>
          <w:p w:rsidR="0099164E" w:rsidRDefault="0099164E">
            <w:pPr>
              <w:tabs>
                <w:tab w:val="right" w:leader="dot" w:pos="4320"/>
              </w:tabs>
              <w:jc w:val="right"/>
            </w:pPr>
            <w:r>
              <w:t>12,900,000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Variable costs (58% of sales)</w:t>
            </w:r>
            <w:r>
              <w:tab/>
            </w:r>
          </w:p>
        </w:tc>
        <w:tc>
          <w:tcPr>
            <w:tcW w:w="1302" w:type="dxa"/>
            <w:gridSpan w:val="2"/>
          </w:tcPr>
          <w:p w:rsidR="0099164E" w:rsidRDefault="0099164E">
            <w:pPr>
              <w:tabs>
                <w:tab w:val="right" w:leader="dot" w:pos="4320"/>
              </w:tabs>
              <w:jc w:val="right"/>
              <w:rPr>
                <w:u w:val="single"/>
              </w:rPr>
            </w:pPr>
            <w:r>
              <w:rPr>
                <w:u w:val="single"/>
              </w:rPr>
              <w:t>26,390,000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Operating income (EBIT)</w:t>
            </w:r>
            <w:r>
              <w:tab/>
            </w:r>
          </w:p>
        </w:tc>
        <w:tc>
          <w:tcPr>
            <w:tcW w:w="1302" w:type="dxa"/>
            <w:gridSpan w:val="2"/>
          </w:tcPr>
          <w:p w:rsidR="0099164E" w:rsidRDefault="0099164E">
            <w:pPr>
              <w:tabs>
                <w:tab w:val="right" w:leader="dot" w:pos="4320"/>
              </w:tabs>
              <w:jc w:val="right"/>
            </w:pPr>
            <w:r>
              <w:t>6,210,000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Interest*</w:t>
            </w:r>
            <w:r>
              <w:tab/>
            </w:r>
          </w:p>
        </w:tc>
        <w:tc>
          <w:tcPr>
            <w:tcW w:w="1302" w:type="dxa"/>
            <w:gridSpan w:val="2"/>
          </w:tcPr>
          <w:p w:rsidR="0099164E" w:rsidRDefault="0099164E">
            <w:pPr>
              <w:tabs>
                <w:tab w:val="right" w:leader="dot" w:pos="4320"/>
              </w:tabs>
              <w:jc w:val="right"/>
              <w:rPr>
                <w:u w:val="single"/>
              </w:rPr>
            </w:pPr>
            <w:r>
              <w:rPr>
                <w:u w:val="single"/>
              </w:rPr>
              <w:t>2,400,000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before taxes (EBT)</w:t>
            </w:r>
            <w:r>
              <w:tab/>
            </w:r>
          </w:p>
        </w:tc>
        <w:tc>
          <w:tcPr>
            <w:tcW w:w="1302" w:type="dxa"/>
            <w:gridSpan w:val="2"/>
          </w:tcPr>
          <w:p w:rsidR="0099164E" w:rsidRDefault="0099164E">
            <w:pPr>
              <w:tabs>
                <w:tab w:val="right" w:leader="dot" w:pos="4320"/>
              </w:tabs>
              <w:jc w:val="right"/>
            </w:pPr>
            <w:r>
              <w:t>3,810,000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 </w:t>
            </w:r>
            <w:r>
              <w:t> </w:t>
            </w:r>
            <w:r>
              <w:t>Taxes (34%)</w:t>
            </w:r>
            <w:r>
              <w:tab/>
            </w:r>
          </w:p>
        </w:tc>
        <w:tc>
          <w:tcPr>
            <w:tcW w:w="1302" w:type="dxa"/>
            <w:gridSpan w:val="2"/>
          </w:tcPr>
          <w:p w:rsidR="0099164E" w:rsidRDefault="0099164E">
            <w:pPr>
              <w:tabs>
                <w:tab w:val="right" w:leader="dot" w:pos="4320"/>
              </w:tabs>
              <w:jc w:val="right"/>
              <w:rPr>
                <w:u w:val="single"/>
              </w:rPr>
            </w:pPr>
            <w:r>
              <w:rPr>
                <w:u w:val="single"/>
              </w:rPr>
              <w:t>1,295,</w:t>
            </w:r>
            <w:r w:rsidR="004E22F5">
              <w:rPr>
                <w:u w:val="single"/>
              </w:rPr>
              <w:t>4</w:t>
            </w:r>
            <w:r>
              <w:rPr>
                <w:u w:val="single"/>
              </w:rPr>
              <w:t>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after taxes (EAT)</w:t>
            </w:r>
            <w:r>
              <w:tab/>
            </w:r>
          </w:p>
        </w:tc>
        <w:tc>
          <w:tcPr>
            <w:tcW w:w="1302" w:type="dxa"/>
            <w:gridSpan w:val="2"/>
          </w:tcPr>
          <w:p w:rsidR="0099164E" w:rsidRDefault="0099164E">
            <w:pPr>
              <w:tabs>
                <w:tab w:val="right" w:leader="dot" w:pos="4320"/>
              </w:tabs>
              <w:jc w:val="right"/>
            </w:pPr>
            <w:r>
              <w:t>2,514,600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Shares**</w:t>
            </w:r>
            <w:r>
              <w:tab/>
            </w:r>
          </w:p>
        </w:tc>
        <w:tc>
          <w:tcPr>
            <w:tcW w:w="1302" w:type="dxa"/>
            <w:gridSpan w:val="2"/>
          </w:tcPr>
          <w:p w:rsidR="0099164E" w:rsidRDefault="0099164E">
            <w:pPr>
              <w:tabs>
                <w:tab w:val="right" w:leader="dot" w:pos="4320"/>
              </w:tabs>
              <w:jc w:val="right"/>
            </w:pPr>
            <w:r>
              <w:t>1,375,000</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742"/>
              </w:tabs>
            </w:pPr>
            <w:r>
              <w:t>Earnings per share</w:t>
            </w:r>
            <w:r>
              <w:tab/>
            </w:r>
          </w:p>
        </w:tc>
        <w:tc>
          <w:tcPr>
            <w:tcW w:w="1302" w:type="dxa"/>
            <w:gridSpan w:val="2"/>
          </w:tcPr>
          <w:p w:rsidR="0099164E" w:rsidRDefault="0099164E">
            <w:pPr>
              <w:tabs>
                <w:tab w:val="right" w:leader="dot" w:pos="4320"/>
              </w:tabs>
              <w:jc w:val="right"/>
            </w:pPr>
            <w:r>
              <w:t>$1.83</w:t>
            </w:r>
          </w:p>
        </w:tc>
      </w:tr>
      <w:tr w:rsidR="0099164E">
        <w:trPr>
          <w:cantSplit/>
        </w:trPr>
        <w:tc>
          <w:tcPr>
            <w:tcW w:w="468" w:type="dxa"/>
          </w:tcPr>
          <w:p w:rsidR="0099164E" w:rsidRDefault="0099164E">
            <w:pPr>
              <w:tabs>
                <w:tab w:val="right" w:leader="dot" w:pos="4320"/>
              </w:tabs>
              <w:rPr>
                <w:sz w:val="8"/>
              </w:rPr>
            </w:pPr>
          </w:p>
        </w:tc>
        <w:tc>
          <w:tcPr>
            <w:tcW w:w="2760" w:type="dxa"/>
          </w:tcPr>
          <w:p w:rsidR="0099164E" w:rsidRDefault="0099164E">
            <w:pPr>
              <w:tabs>
                <w:tab w:val="right" w:leader="dot" w:pos="4320"/>
              </w:tabs>
              <w:rPr>
                <w:sz w:val="8"/>
              </w:rPr>
            </w:pPr>
          </w:p>
        </w:tc>
        <w:tc>
          <w:tcPr>
            <w:tcW w:w="2760" w:type="dxa"/>
            <w:gridSpan w:val="4"/>
          </w:tcPr>
          <w:p w:rsidR="0099164E" w:rsidRDefault="0099164E">
            <w:pPr>
              <w:tabs>
                <w:tab w:val="right" w:leader="dot" w:pos="4320"/>
              </w:tabs>
              <w:rPr>
                <w:sz w:val="8"/>
              </w:rPr>
            </w:pPr>
          </w:p>
        </w:tc>
        <w:tc>
          <w:tcPr>
            <w:tcW w:w="1302" w:type="dxa"/>
            <w:gridSpan w:val="2"/>
          </w:tcPr>
          <w:p w:rsidR="0099164E" w:rsidRDefault="0099164E">
            <w:pPr>
              <w:tabs>
                <w:tab w:val="right" w:leader="dot" w:pos="4320"/>
              </w:tabs>
              <w:jc w:val="right"/>
              <w:rPr>
                <w:sz w:val="8"/>
              </w:rPr>
            </w:pPr>
          </w:p>
        </w:tc>
      </w:tr>
      <w:tr w:rsidR="0099164E">
        <w:trPr>
          <w:cantSplit/>
        </w:trPr>
        <w:tc>
          <w:tcPr>
            <w:tcW w:w="468" w:type="dxa"/>
          </w:tcPr>
          <w:p w:rsidR="0099164E" w:rsidRDefault="0099164E">
            <w:pPr>
              <w:tabs>
                <w:tab w:val="right" w:leader="dot" w:pos="4320"/>
              </w:tabs>
            </w:pPr>
          </w:p>
        </w:tc>
        <w:tc>
          <w:tcPr>
            <w:tcW w:w="2760" w:type="dxa"/>
          </w:tcPr>
          <w:p w:rsidR="0099164E" w:rsidRDefault="0099164E">
            <w:pPr>
              <w:tabs>
                <w:tab w:val="right" w:leader="dot" w:pos="4320"/>
              </w:tabs>
            </w:pPr>
            <w:r>
              <w:t>*Interest</w:t>
            </w:r>
          </w:p>
        </w:tc>
        <w:tc>
          <w:tcPr>
            <w:tcW w:w="2760" w:type="dxa"/>
            <w:gridSpan w:val="4"/>
          </w:tcPr>
          <w:p w:rsidR="0099164E" w:rsidRDefault="0099164E">
            <w:pPr>
              <w:tabs>
                <w:tab w:val="right" w:leader="dot" w:pos="4320"/>
              </w:tabs>
            </w:pPr>
          </w:p>
        </w:tc>
        <w:tc>
          <w:tcPr>
            <w:tcW w:w="1302" w:type="dxa"/>
            <w:gridSpan w:val="2"/>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pPr>
          </w:p>
        </w:tc>
        <w:tc>
          <w:tcPr>
            <w:tcW w:w="3222" w:type="dxa"/>
            <w:gridSpan w:val="2"/>
          </w:tcPr>
          <w:p w:rsidR="0099164E" w:rsidRDefault="0099164E">
            <w:pPr>
              <w:tabs>
                <w:tab w:val="right" w:leader="dot" w:pos="4320"/>
              </w:tabs>
            </w:pPr>
            <w:r>
              <w:t>Old debt 10.625% x $12,000,000</w:t>
            </w:r>
          </w:p>
        </w:tc>
        <w:tc>
          <w:tcPr>
            <w:tcW w:w="2016" w:type="dxa"/>
            <w:gridSpan w:val="2"/>
          </w:tcPr>
          <w:p w:rsidR="0099164E" w:rsidRDefault="0099164E">
            <w:pPr>
              <w:tabs>
                <w:tab w:val="right" w:leader="dot" w:pos="4320"/>
              </w:tabs>
            </w:pPr>
            <w:r>
              <w:t>=</w:t>
            </w:r>
            <w:r>
              <w:t> </w:t>
            </w:r>
            <w:r>
              <w:t>$1,275,000</w:t>
            </w:r>
          </w:p>
        </w:tc>
        <w:tc>
          <w:tcPr>
            <w:tcW w:w="1584" w:type="dxa"/>
            <w:gridSpan w:val="3"/>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pPr>
          </w:p>
        </w:tc>
        <w:tc>
          <w:tcPr>
            <w:tcW w:w="3222" w:type="dxa"/>
            <w:gridSpan w:val="2"/>
          </w:tcPr>
          <w:p w:rsidR="0099164E" w:rsidRDefault="0099164E">
            <w:pPr>
              <w:tabs>
                <w:tab w:val="right" w:leader="dot" w:pos="4320"/>
              </w:tabs>
            </w:pPr>
            <w:r>
              <w:t>New debt 11.250% x $10,000,000</w:t>
            </w:r>
          </w:p>
        </w:tc>
        <w:tc>
          <w:tcPr>
            <w:tcW w:w="2016" w:type="dxa"/>
            <w:gridSpan w:val="2"/>
          </w:tcPr>
          <w:p w:rsidR="0099164E" w:rsidRDefault="0099164E">
            <w:pPr>
              <w:tabs>
                <w:tab w:val="right" w:leader="dot" w:pos="4320"/>
              </w:tabs>
            </w:pPr>
            <w:r>
              <w:t>=</w:t>
            </w:r>
            <w:r>
              <w:t> </w:t>
            </w:r>
            <w:r w:rsidR="004E22F5">
              <w:t>+</w:t>
            </w:r>
            <w:r>
              <w:rPr>
                <w:u w:val="single"/>
              </w:rPr>
              <w:t>1,125,000</w:t>
            </w:r>
          </w:p>
        </w:tc>
        <w:tc>
          <w:tcPr>
            <w:tcW w:w="1584" w:type="dxa"/>
            <w:gridSpan w:val="3"/>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pPr>
          </w:p>
        </w:tc>
        <w:tc>
          <w:tcPr>
            <w:tcW w:w="3222" w:type="dxa"/>
            <w:gridSpan w:val="2"/>
          </w:tcPr>
          <w:p w:rsidR="0099164E" w:rsidRDefault="0099164E">
            <w:pPr>
              <w:tabs>
                <w:tab w:val="right" w:leader="dot" w:pos="4320"/>
              </w:tabs>
            </w:pPr>
            <w:r>
              <w:t>Total interest</w:t>
            </w:r>
          </w:p>
        </w:tc>
        <w:tc>
          <w:tcPr>
            <w:tcW w:w="2760" w:type="dxa"/>
            <w:gridSpan w:val="4"/>
          </w:tcPr>
          <w:p w:rsidR="0099164E" w:rsidRDefault="0099164E">
            <w:pPr>
              <w:tabs>
                <w:tab w:val="right" w:leader="dot" w:pos="4320"/>
              </w:tabs>
            </w:pPr>
            <w:r>
              <w:t> </w:t>
            </w:r>
            <w:r>
              <w:t> </w:t>
            </w:r>
            <w:r>
              <w:t>$2,400,000</w:t>
            </w:r>
          </w:p>
        </w:tc>
        <w:tc>
          <w:tcPr>
            <w:tcW w:w="840" w:type="dxa"/>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rPr>
                <w:sz w:val="8"/>
              </w:rPr>
            </w:pPr>
          </w:p>
        </w:tc>
        <w:tc>
          <w:tcPr>
            <w:tcW w:w="2760" w:type="dxa"/>
          </w:tcPr>
          <w:p w:rsidR="0099164E" w:rsidRDefault="0099164E">
            <w:pPr>
              <w:tabs>
                <w:tab w:val="right" w:leader="dot" w:pos="4320"/>
              </w:tabs>
              <w:rPr>
                <w:sz w:val="8"/>
              </w:rPr>
            </w:pPr>
          </w:p>
        </w:tc>
        <w:tc>
          <w:tcPr>
            <w:tcW w:w="2760" w:type="dxa"/>
            <w:gridSpan w:val="4"/>
          </w:tcPr>
          <w:p w:rsidR="0099164E" w:rsidRDefault="0099164E">
            <w:pPr>
              <w:tabs>
                <w:tab w:val="right" w:leader="dot" w:pos="4320"/>
              </w:tabs>
              <w:jc w:val="right"/>
              <w:rPr>
                <w:sz w:val="8"/>
              </w:rPr>
            </w:pPr>
          </w:p>
        </w:tc>
        <w:tc>
          <w:tcPr>
            <w:tcW w:w="1302" w:type="dxa"/>
            <w:gridSpan w:val="2"/>
          </w:tcPr>
          <w:p w:rsidR="0099164E" w:rsidRDefault="0099164E">
            <w:pPr>
              <w:tabs>
                <w:tab w:val="right" w:leader="dot" w:pos="4320"/>
              </w:tabs>
              <w:jc w:val="right"/>
              <w:rPr>
                <w:sz w:val="8"/>
              </w:rPr>
            </w:pP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4320"/>
              </w:tabs>
            </w:pPr>
            <w:r>
              <w:t>**Shares outstanding 2,000,000 – 625,000 = 1,375,000</w:t>
            </w:r>
          </w:p>
        </w:tc>
        <w:tc>
          <w:tcPr>
            <w:tcW w:w="1302" w:type="dxa"/>
            <w:gridSpan w:val="2"/>
          </w:tcPr>
          <w:p w:rsidR="0099164E" w:rsidRDefault="0099164E">
            <w:pPr>
              <w:tabs>
                <w:tab w:val="right" w:leader="dot" w:pos="4320"/>
              </w:tabs>
              <w:jc w:val="right"/>
            </w:pPr>
          </w:p>
        </w:tc>
      </w:tr>
      <w:tr w:rsidR="0099164E">
        <w:trPr>
          <w:cantSplit/>
        </w:trPr>
        <w:tc>
          <w:tcPr>
            <w:tcW w:w="468" w:type="dxa"/>
          </w:tcPr>
          <w:p w:rsidR="0099164E" w:rsidRDefault="0099164E">
            <w:pPr>
              <w:tabs>
                <w:tab w:val="right" w:leader="dot" w:pos="4320"/>
              </w:tabs>
              <w:rPr>
                <w:sz w:val="8"/>
              </w:rPr>
            </w:pPr>
          </w:p>
        </w:tc>
        <w:tc>
          <w:tcPr>
            <w:tcW w:w="2760" w:type="dxa"/>
          </w:tcPr>
          <w:p w:rsidR="0099164E" w:rsidRDefault="0099164E">
            <w:pPr>
              <w:tabs>
                <w:tab w:val="right" w:leader="dot" w:pos="4320"/>
              </w:tabs>
              <w:rPr>
                <w:sz w:val="8"/>
              </w:rPr>
            </w:pPr>
          </w:p>
        </w:tc>
        <w:tc>
          <w:tcPr>
            <w:tcW w:w="2760" w:type="dxa"/>
            <w:gridSpan w:val="4"/>
          </w:tcPr>
          <w:p w:rsidR="0099164E" w:rsidRDefault="0099164E">
            <w:pPr>
              <w:tabs>
                <w:tab w:val="right" w:leader="dot" w:pos="4320"/>
              </w:tabs>
              <w:jc w:val="right"/>
              <w:rPr>
                <w:sz w:val="8"/>
              </w:rPr>
            </w:pPr>
          </w:p>
        </w:tc>
        <w:tc>
          <w:tcPr>
            <w:tcW w:w="1302" w:type="dxa"/>
            <w:gridSpan w:val="2"/>
          </w:tcPr>
          <w:p w:rsidR="0099164E" w:rsidRDefault="0099164E">
            <w:pPr>
              <w:tabs>
                <w:tab w:val="right" w:leader="dot" w:pos="4320"/>
              </w:tabs>
              <w:jc w:val="right"/>
              <w:rPr>
                <w:sz w:val="8"/>
              </w:rPr>
            </w:pPr>
          </w:p>
        </w:tc>
      </w:tr>
      <w:tr w:rsidR="0099164E">
        <w:trPr>
          <w:cantSplit/>
        </w:trPr>
        <w:tc>
          <w:tcPr>
            <w:tcW w:w="468" w:type="dxa"/>
          </w:tcPr>
          <w:p w:rsidR="0099164E" w:rsidRDefault="0099164E">
            <w:pPr>
              <w:tabs>
                <w:tab w:val="right" w:leader="dot" w:pos="4320"/>
              </w:tabs>
            </w:pPr>
            <w:r>
              <w:t>4.</w:t>
            </w:r>
          </w:p>
        </w:tc>
        <w:tc>
          <w:tcPr>
            <w:tcW w:w="5520" w:type="dxa"/>
            <w:gridSpan w:val="5"/>
          </w:tcPr>
          <w:p w:rsidR="0099164E" w:rsidRDefault="00D7647B" w:rsidP="00306A76">
            <w:pPr>
              <w:tabs>
                <w:tab w:val="right" w:leader="dot" w:pos="5652"/>
              </w:tabs>
            </w:pPr>
            <w:r>
              <w:t>Earnings per share, 201</w:t>
            </w:r>
            <w:r w:rsidR="00306A76">
              <w:t>6</w:t>
            </w:r>
            <w:r w:rsidR="0099164E">
              <w:t xml:space="preserve"> (based on more debt)</w:t>
            </w:r>
            <w:r w:rsidR="0099164E">
              <w:tab/>
            </w:r>
          </w:p>
        </w:tc>
        <w:tc>
          <w:tcPr>
            <w:tcW w:w="1302" w:type="dxa"/>
            <w:gridSpan w:val="2"/>
          </w:tcPr>
          <w:p w:rsidR="0099164E" w:rsidRDefault="0099164E">
            <w:pPr>
              <w:tabs>
                <w:tab w:val="right" w:leader="dot" w:pos="4320"/>
              </w:tabs>
              <w:jc w:val="right"/>
            </w:pPr>
            <w:r>
              <w:t>$1.83</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D7647B" w:rsidP="00306A76">
            <w:pPr>
              <w:tabs>
                <w:tab w:val="right" w:leader="dot" w:pos="5652"/>
              </w:tabs>
            </w:pPr>
            <w:r>
              <w:t>Earnings per share, 201</w:t>
            </w:r>
            <w:r w:rsidR="00306A76">
              <w:t>5</w:t>
            </w:r>
            <w:r w:rsidR="0099164E">
              <w:tab/>
            </w:r>
          </w:p>
        </w:tc>
        <w:tc>
          <w:tcPr>
            <w:tcW w:w="1302" w:type="dxa"/>
            <w:gridSpan w:val="2"/>
          </w:tcPr>
          <w:p w:rsidR="0099164E" w:rsidRDefault="0099164E">
            <w:pPr>
              <w:tabs>
                <w:tab w:val="right" w:leader="dot" w:pos="4320"/>
              </w:tabs>
              <w:jc w:val="right"/>
              <w:rPr>
                <w:u w:val="single"/>
              </w:rPr>
            </w:pPr>
            <w:r>
              <w:rPr>
                <w:u w:val="single"/>
              </w:rPr>
              <w:t> </w:t>
            </w:r>
            <w:r>
              <w:rPr>
                <w:u w:val="single"/>
              </w:rPr>
              <w:t>1.56</w:t>
            </w:r>
          </w:p>
        </w:tc>
      </w:tr>
      <w:tr w:rsidR="0099164E">
        <w:trPr>
          <w:cantSplit/>
        </w:trPr>
        <w:tc>
          <w:tcPr>
            <w:tcW w:w="468" w:type="dxa"/>
          </w:tcPr>
          <w:p w:rsidR="0099164E" w:rsidRDefault="0099164E">
            <w:pPr>
              <w:tabs>
                <w:tab w:val="right" w:leader="dot" w:pos="4320"/>
              </w:tabs>
            </w:pPr>
          </w:p>
        </w:tc>
        <w:tc>
          <w:tcPr>
            <w:tcW w:w="5520" w:type="dxa"/>
            <w:gridSpan w:val="5"/>
          </w:tcPr>
          <w:p w:rsidR="0099164E" w:rsidRDefault="0099164E">
            <w:pPr>
              <w:tabs>
                <w:tab w:val="right" w:leader="dot" w:pos="5652"/>
              </w:tabs>
              <w:jc w:val="right"/>
            </w:pPr>
          </w:p>
        </w:tc>
        <w:tc>
          <w:tcPr>
            <w:tcW w:w="1302" w:type="dxa"/>
            <w:gridSpan w:val="2"/>
          </w:tcPr>
          <w:p w:rsidR="0099164E" w:rsidRDefault="0099164E">
            <w:pPr>
              <w:tabs>
                <w:tab w:val="right" w:leader="dot" w:pos="4320"/>
              </w:tabs>
              <w:jc w:val="right"/>
            </w:pPr>
            <w:r>
              <w:t>$</w:t>
            </w:r>
            <w:r>
              <w:t> </w:t>
            </w:r>
            <w:r>
              <w:t>.27</w:t>
            </w:r>
          </w:p>
        </w:tc>
      </w:tr>
      <w:tr w:rsidR="0048161A">
        <w:trPr>
          <w:cantSplit/>
        </w:trPr>
        <w:tc>
          <w:tcPr>
            <w:tcW w:w="468" w:type="dxa"/>
          </w:tcPr>
          <w:p w:rsidR="0048161A" w:rsidRDefault="0048161A">
            <w:pPr>
              <w:tabs>
                <w:tab w:val="right" w:leader="dot" w:pos="4320"/>
              </w:tabs>
            </w:pPr>
          </w:p>
        </w:tc>
        <w:tc>
          <w:tcPr>
            <w:tcW w:w="5520" w:type="dxa"/>
            <w:gridSpan w:val="5"/>
          </w:tcPr>
          <w:p w:rsidR="0048161A" w:rsidRDefault="0048161A">
            <w:pPr>
              <w:tabs>
                <w:tab w:val="right" w:leader="dot" w:pos="5652"/>
              </w:tabs>
              <w:jc w:val="right"/>
            </w:pPr>
          </w:p>
        </w:tc>
        <w:tc>
          <w:tcPr>
            <w:tcW w:w="1302" w:type="dxa"/>
            <w:gridSpan w:val="2"/>
          </w:tcPr>
          <w:p w:rsidR="0048161A" w:rsidRDefault="0048161A">
            <w:pPr>
              <w:tabs>
                <w:tab w:val="right" w:leader="dot" w:pos="4320"/>
              </w:tabs>
              <w:jc w:val="right"/>
            </w:pPr>
          </w:p>
        </w:tc>
      </w:tr>
    </w:tbl>
    <w:p w:rsidR="0099164E" w:rsidRDefault="00D50DBE">
      <w:pPr>
        <w:ind w:firstLine="360"/>
      </w:pPr>
      <w:r>
        <w:rPr>
          <w:position w:val="-30"/>
        </w:rPr>
        <w:object w:dxaOrig="4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33.75pt" o:ole="" fillcolor="window">
            <v:imagedata r:id="rId8" o:title=""/>
          </v:shape>
          <o:OLEObject Type="Embed" ProgID="Equation.3" ShapeID="_x0000_i1025" DrawAspect="Content" ObjectID="_1513420871" r:id="rId9"/>
        </w:object>
      </w:r>
    </w:p>
    <w:p w:rsidR="0099164E" w:rsidRDefault="0048161A">
      <w:r>
        <w:br w:type="page"/>
      </w:r>
    </w:p>
    <w:p w:rsidR="0099164E" w:rsidRDefault="0099164E">
      <w:r>
        <w:rPr>
          <w:position w:val="-64"/>
        </w:rPr>
        <w:object w:dxaOrig="4760" w:dyaOrig="1400">
          <v:shape id="_x0000_i1026" type="#_x0000_t75" style="width:237.75pt;height:69.75pt" o:ole="" fillcolor="window">
            <v:imagedata r:id="rId10" o:title=""/>
          </v:shape>
          <o:OLEObject Type="Embed" ProgID="Equation.3" ShapeID="_x0000_i1026" DrawAspect="Content" ObjectID="_1513420872" r:id="rId11"/>
        </w:object>
      </w:r>
    </w:p>
    <w:p w:rsidR="0099164E" w:rsidRDefault="0099164E"/>
    <w:p w:rsidR="0099164E" w:rsidRDefault="0099164E">
      <w:pPr>
        <w:ind w:left="360"/>
      </w:pPr>
      <w:r>
        <w:rPr>
          <w:position w:val="-64"/>
        </w:rPr>
        <w:object w:dxaOrig="4420" w:dyaOrig="1400">
          <v:shape id="_x0000_i1027" type="#_x0000_t75" style="width:221.25pt;height:69.75pt" o:ole="" fillcolor="window">
            <v:imagedata r:id="rId12" o:title=""/>
          </v:shape>
          <o:OLEObject Type="Embed" ProgID="Equation.3" ShapeID="_x0000_i1027" DrawAspect="Content" ObjectID="_1513420873" r:id="rId13"/>
        </w:object>
      </w:r>
    </w:p>
    <w:p w:rsidR="0099164E" w:rsidRDefault="0099164E">
      <w:pPr>
        <w:ind w:left="360"/>
      </w:pPr>
    </w:p>
    <w:p w:rsidR="004E22F5" w:rsidRDefault="004E22F5">
      <w:pPr>
        <w:ind w:left="360"/>
      </w:pPr>
    </w:p>
    <w:p w:rsidR="0099164E" w:rsidRDefault="0099164E">
      <w:r>
        <w:rPr>
          <w:position w:val="-106"/>
        </w:rPr>
        <w:object w:dxaOrig="6280" w:dyaOrig="2160">
          <v:shape id="_x0000_i1028" type="#_x0000_t75" style="width:314.25pt;height:108pt" o:ole="" fillcolor="window">
            <v:imagedata r:id="rId14" o:title=""/>
          </v:shape>
          <o:OLEObject Type="Embed" ProgID="Equation.3" ShapeID="_x0000_i1028" DrawAspect="Content" ObjectID="_1513420874" r:id="rId15"/>
        </w:object>
      </w:r>
    </w:p>
    <w:p w:rsidR="0099164E" w:rsidRDefault="007D1DFA">
      <w:pPr>
        <w:ind w:left="360"/>
      </w:pPr>
      <w:r w:rsidRPr="007D1DFA">
        <w:rPr>
          <w:position w:val="-98"/>
        </w:rPr>
        <w:object w:dxaOrig="6380" w:dyaOrig="2020">
          <v:shape id="_x0000_i1029" type="#_x0000_t75" style="width:318.75pt;height:101.25pt" o:ole="" fillcolor="window">
            <v:imagedata r:id="rId16" o:title=""/>
          </v:shape>
          <o:OLEObject Type="Embed" ProgID="Equation.3" ShapeID="_x0000_i1029" DrawAspect="Content" ObjectID="_1513420875" r:id="rId17"/>
        </w:object>
      </w:r>
    </w:p>
    <w:p w:rsidR="0099164E" w:rsidRDefault="0099164E">
      <w:pPr>
        <w:ind w:left="360"/>
      </w:pPr>
    </w:p>
    <w:p w:rsidR="004E22F5" w:rsidRDefault="004E22F5">
      <w:pPr>
        <w:ind w:left="360"/>
      </w:pPr>
    </w:p>
    <w:p w:rsidR="0099164E" w:rsidRDefault="00F93A2A" w:rsidP="00F93A2A">
      <w:pPr>
        <w:tabs>
          <w:tab w:val="left" w:pos="450"/>
        </w:tabs>
      </w:pPr>
      <w:r>
        <w:t>7.</w:t>
      </w:r>
      <w:r>
        <w:tab/>
      </w:r>
      <w:proofErr w:type="gramStart"/>
      <w:r w:rsidR="0099164E">
        <w:t>From</w:t>
      </w:r>
      <w:proofErr w:type="gramEnd"/>
      <w:r w:rsidR="0099164E">
        <w:t xml:space="preserve"> Figure 2:</w:t>
      </w:r>
    </w:p>
    <w:p w:rsidR="0099164E" w:rsidRDefault="0099164E">
      <w:pPr>
        <w:ind w:left="360"/>
      </w:pPr>
      <w:r>
        <w:rPr>
          <w:position w:val="-28"/>
        </w:rPr>
        <w:object w:dxaOrig="3300" w:dyaOrig="639">
          <v:shape id="_x0000_i1030" type="#_x0000_t75" style="width:165pt;height:32.25pt" o:ole="" fillcolor="window">
            <v:imagedata r:id="rId18" o:title=""/>
          </v:shape>
          <o:OLEObject Type="Embed" ProgID="Equation.3" ShapeID="_x0000_i1030" DrawAspect="Content" ObjectID="_1513420876" r:id="rId19"/>
        </w:object>
      </w:r>
    </w:p>
    <w:p w:rsidR="0099164E" w:rsidRDefault="0099164E">
      <w:pPr>
        <w:ind w:firstLine="360"/>
      </w:pPr>
      <w:r>
        <w:t>After new debt issue:</w:t>
      </w:r>
    </w:p>
    <w:p w:rsidR="0099164E" w:rsidRDefault="0099164E">
      <w:pPr>
        <w:ind w:firstLine="360"/>
      </w:pPr>
      <w:r>
        <w:rPr>
          <w:position w:val="-28"/>
        </w:rPr>
        <w:object w:dxaOrig="5920" w:dyaOrig="639">
          <v:shape id="_x0000_i1031" type="#_x0000_t75" style="width:296.25pt;height:32.25pt" o:ole="" fillcolor="window">
            <v:imagedata r:id="rId20" o:title=""/>
          </v:shape>
          <o:OLEObject Type="Embed" ProgID="Equation.3" ShapeID="_x0000_i1031" DrawAspect="Content" ObjectID="_1513420877" r:id="rId21"/>
        </w:object>
      </w:r>
    </w:p>
    <w:p w:rsidR="0099164E" w:rsidRDefault="0099164E"/>
    <w:p w:rsidR="004E22F5" w:rsidRDefault="0048161A">
      <w:r>
        <w:br w:type="page"/>
      </w:r>
    </w:p>
    <w:p w:rsidR="0099164E" w:rsidRDefault="00F93A2A" w:rsidP="00F93A2A">
      <w:pPr>
        <w:tabs>
          <w:tab w:val="left" w:pos="360"/>
        </w:tabs>
      </w:pPr>
      <w:r>
        <w:t>8.</w:t>
      </w:r>
      <w:r>
        <w:tab/>
      </w:r>
      <w:r w:rsidR="0099164E">
        <w:t>There are two conflicting factors that could influence the stock price.</w:t>
      </w:r>
    </w:p>
    <w:p w:rsidR="0099164E" w:rsidRDefault="0099164E">
      <w:pPr>
        <w:ind w:left="360"/>
      </w:pPr>
    </w:p>
    <w:p w:rsidR="0099164E" w:rsidRDefault="0099164E">
      <w:pPr>
        <w:ind w:left="360"/>
      </w:pPr>
      <w:r>
        <w:t>On the positive side, earnings per share would be twenty cents higher with more debt ($1.83 versus $1.63).</w:t>
      </w:r>
    </w:p>
    <w:p w:rsidR="0099164E" w:rsidRDefault="0099164E">
      <w:pPr>
        <w:ind w:left="360"/>
      </w:pPr>
    </w:p>
    <w:p w:rsidR="0099164E" w:rsidRDefault="0099164E">
      <w:pPr>
        <w:ind w:left="360"/>
      </w:pPr>
      <w:r>
        <w:t>Based on a current price-earnings ratio of about 10 (the repurchase price for the shares is for $16 ($10,000,000 / 625,000) and EPS are currently $1.56), the stock might go up by approximately $2.00 as a result of a $.20 increase in EPS.</w:t>
      </w:r>
    </w:p>
    <w:p w:rsidR="0099164E" w:rsidRDefault="0099164E">
      <w:pPr>
        <w:ind w:left="360"/>
      </w:pPr>
    </w:p>
    <w:p w:rsidR="0099164E" w:rsidRDefault="0099164E">
      <w:pPr>
        <w:ind w:left="360"/>
      </w:pPr>
      <w:r>
        <w:t>Two dollars represents a healthy 12.5% increase from the current value of $16 per share.  However, the student must keep in mind that the debt ratio is increasing from 43.2% to 67.9%, which probably would have a negative effect on the price-earnings ratio.</w:t>
      </w:r>
    </w:p>
    <w:p w:rsidR="0099164E" w:rsidRDefault="0099164E">
      <w:pPr>
        <w:ind w:left="360"/>
      </w:pPr>
    </w:p>
    <w:p w:rsidR="0099164E" w:rsidRDefault="0099164E">
      <w:pPr>
        <w:ind w:left="360"/>
      </w:pPr>
      <w:r>
        <w:t>The net effect of the increase in earnings per share versus the likely decrease in the price-earnings ratio can only be conjectured.  Security analysts following Glen Mount Furniture Company seem to be highly sensitive to earnings per share performance, but there may be some question about whether the type of financial engineering used to increase the earnings per share will satisfy them.  Of course, the firm can argue that the share repurchase is a strong sign of confidence by management in future company performances.</w:t>
      </w:r>
    </w:p>
    <w:p w:rsidR="0099164E" w:rsidRDefault="0099164E">
      <w:pPr>
        <w:ind w:left="360"/>
      </w:pPr>
    </w:p>
    <w:p w:rsidR="0099164E" w:rsidRDefault="0099164E">
      <w:pPr>
        <w:ind w:left="360"/>
      </w:pPr>
      <w:r>
        <w:t xml:space="preserve">One clue to the eventual reaction of the market to the recapitalization might lie in the data on the debt ratios of other firms in the industry.  If 67.9% is perceived to be on the high end, there might be little positive gain associated with the increase in earnings per share.  However, if other companies are in this range and the firm is merely taking advantage of </w:t>
      </w:r>
      <w:r w:rsidR="00EA0FD1">
        <w:t>underutilized</w:t>
      </w:r>
      <w:r>
        <w:t xml:space="preserve"> debt capacity, the market reaction might be positive.</w:t>
      </w:r>
    </w:p>
    <w:p w:rsidR="0099164E" w:rsidRDefault="0099164E" w:rsidP="00EF196E"/>
    <w:sectPr w:rsidR="0099164E" w:rsidSect="00BC7519">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88B" w:rsidRDefault="00DC188B">
      <w:r>
        <w:separator/>
      </w:r>
    </w:p>
  </w:endnote>
  <w:endnote w:type="continuationSeparator" w:id="0">
    <w:p w:rsidR="00DC188B" w:rsidRDefault="00DC1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DFA" w:rsidRDefault="007D1D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D1DFA" w:rsidRDefault="007D1D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D" w:rsidRPr="00313C7F" w:rsidRDefault="000255BD" w:rsidP="000255BD">
    <w:pPr>
      <w:pStyle w:val="Footer"/>
      <w:jc w:val="center"/>
      <w:rPr>
        <w:sz w:val="18"/>
      </w:rPr>
    </w:pPr>
    <w:r w:rsidRPr="00313C7F">
      <w:rPr>
        <w:bCs/>
        <w:sz w:val="18"/>
      </w:rPr>
      <w:t>Copyright © 2017 McGraw-Hill Education. All rights reserved. No reproduction or distribution without the prior written consent of McGraw-Hill Education.</w:t>
    </w:r>
  </w:p>
  <w:p w:rsidR="000255BD" w:rsidRDefault="000255BD">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D" w:rsidRDefault="00025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88B" w:rsidRDefault="00DC188B">
      <w:r>
        <w:separator/>
      </w:r>
    </w:p>
  </w:footnote>
  <w:footnote w:type="continuationSeparator" w:id="0">
    <w:p w:rsidR="00DC188B" w:rsidRDefault="00DC1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D" w:rsidRDefault="000255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519" w:rsidRPr="00BC7519" w:rsidRDefault="00BC7519" w:rsidP="00BC751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BD" w:rsidRDefault="000255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3338CC"/>
    <w:multiLevelType w:val="singleLevel"/>
    <w:tmpl w:val="21BECF20"/>
    <w:lvl w:ilvl="0">
      <w:start w:val="5"/>
      <w:numFmt w:val="decimal"/>
      <w:lvlText w:val="%1."/>
      <w:lvlJc w:val="left"/>
      <w:pPr>
        <w:tabs>
          <w:tab w:val="num" w:pos="360"/>
        </w:tabs>
        <w:ind w:left="360" w:hanging="360"/>
      </w:pPr>
      <w:rPr>
        <w:rFonts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1A24089"/>
    <w:multiLevelType w:val="singleLevel"/>
    <w:tmpl w:val="A9BE8F80"/>
    <w:lvl w:ilvl="0">
      <w:start w:val="1"/>
      <w:numFmt w:val="decimal"/>
      <w:lvlText w:val="%1."/>
      <w:lvlJc w:val="left"/>
      <w:pPr>
        <w:tabs>
          <w:tab w:val="num" w:pos="360"/>
        </w:tabs>
        <w:ind w:left="360" w:hanging="360"/>
      </w:pPr>
      <w:rPr>
        <w:b w:val="0"/>
        <w:i w:val="0"/>
      </w:rPr>
    </w:lvl>
  </w:abstractNum>
  <w:abstractNum w:abstractNumId="12">
    <w:nsid w:val="64D75D63"/>
    <w:multiLevelType w:val="hybridMultilevel"/>
    <w:tmpl w:val="D504A76A"/>
    <w:lvl w:ilvl="0" w:tplc="FAECC9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99E275F"/>
    <w:multiLevelType w:val="hybridMultilevel"/>
    <w:tmpl w:val="50AC5316"/>
    <w:lvl w:ilvl="0" w:tplc="37AE643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9FB6AA3"/>
    <w:multiLevelType w:val="singleLevel"/>
    <w:tmpl w:val="A8241C46"/>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4"/>
  </w:num>
  <w:num w:numId="11">
    <w:abstractNumId w:val="8"/>
  </w:num>
  <w:num w:numId="12">
    <w:abstractNumId w:val="10"/>
  </w:num>
  <w:num w:numId="13">
    <w:abstractNumId w:val="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9"/>
    <w:rsid w:val="000255BD"/>
    <w:rsid w:val="00075DD4"/>
    <w:rsid w:val="000807A9"/>
    <w:rsid w:val="000E18AE"/>
    <w:rsid w:val="000F36B4"/>
    <w:rsid w:val="00125813"/>
    <w:rsid w:val="001344A4"/>
    <w:rsid w:val="001E7593"/>
    <w:rsid w:val="002260D3"/>
    <w:rsid w:val="00297132"/>
    <w:rsid w:val="00306A76"/>
    <w:rsid w:val="00335E0A"/>
    <w:rsid w:val="00345CCC"/>
    <w:rsid w:val="00387841"/>
    <w:rsid w:val="003A2923"/>
    <w:rsid w:val="003B39F5"/>
    <w:rsid w:val="00420720"/>
    <w:rsid w:val="0048161A"/>
    <w:rsid w:val="00497166"/>
    <w:rsid w:val="004B526F"/>
    <w:rsid w:val="004E22F5"/>
    <w:rsid w:val="00597869"/>
    <w:rsid w:val="005A1555"/>
    <w:rsid w:val="00624E5A"/>
    <w:rsid w:val="00665653"/>
    <w:rsid w:val="00752335"/>
    <w:rsid w:val="0076489D"/>
    <w:rsid w:val="007D1DFA"/>
    <w:rsid w:val="008028E0"/>
    <w:rsid w:val="008A2ED1"/>
    <w:rsid w:val="008C7B15"/>
    <w:rsid w:val="008F134C"/>
    <w:rsid w:val="00940EA8"/>
    <w:rsid w:val="0099164E"/>
    <w:rsid w:val="009F4804"/>
    <w:rsid w:val="00A17FE9"/>
    <w:rsid w:val="00A55126"/>
    <w:rsid w:val="00AB6F1B"/>
    <w:rsid w:val="00AE1C39"/>
    <w:rsid w:val="00B1693C"/>
    <w:rsid w:val="00B50970"/>
    <w:rsid w:val="00BC7519"/>
    <w:rsid w:val="00D50DBE"/>
    <w:rsid w:val="00D7647B"/>
    <w:rsid w:val="00DC188B"/>
    <w:rsid w:val="00DE7442"/>
    <w:rsid w:val="00EA0FD1"/>
    <w:rsid w:val="00EF196E"/>
    <w:rsid w:val="00F22A21"/>
    <w:rsid w:val="00F6727C"/>
    <w:rsid w:val="00F93A2A"/>
    <w:rsid w:val="00FC7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F196E"/>
    <w:pPr>
      <w:tabs>
        <w:tab w:val="center" w:pos="4320"/>
        <w:tab w:val="right" w:pos="8640"/>
      </w:tabs>
    </w:pPr>
  </w:style>
  <w:style w:type="character" w:customStyle="1" w:styleId="FooterChar">
    <w:name w:val="Footer Char"/>
    <w:link w:val="Footer"/>
    <w:uiPriority w:val="99"/>
    <w:rsid w:val="000255B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589</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Contents</vt:lpstr>
    </vt:vector>
  </TitlesOfParts>
  <Company>Freelance Editing and Writing</Company>
  <LinksUpToDate>false</LinksUpToDate>
  <CharactersWithSpaces>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Marsena Konkle</dc:creator>
  <cp:lastModifiedBy>Bathurst, Noelle</cp:lastModifiedBy>
  <cp:revision>7</cp:revision>
  <cp:lastPrinted>2006-06-25T17:12:00Z</cp:lastPrinted>
  <dcterms:created xsi:type="dcterms:W3CDTF">2013-08-16T20:48:00Z</dcterms:created>
  <dcterms:modified xsi:type="dcterms:W3CDTF">2016-01-04T19:55:00Z</dcterms:modified>
</cp:coreProperties>
</file>