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A61" w:rsidRPr="004062E7" w:rsidRDefault="00041A61" w:rsidP="00041A61">
      <w:pPr>
        <w:spacing w:after="200" w:line="276" w:lineRule="auto"/>
        <w:jc w:val="center"/>
        <w:rPr>
          <w:rFonts w:eastAsia="Calibri"/>
          <w:b/>
          <w:sz w:val="44"/>
          <w:szCs w:val="44"/>
        </w:rPr>
      </w:pPr>
      <w:bookmarkStart w:id="0" w:name="_GoBack"/>
      <w:bookmarkEnd w:id="0"/>
      <w:r w:rsidRPr="004062E7">
        <w:rPr>
          <w:rFonts w:eastAsia="Calibri"/>
          <w:b/>
          <w:sz w:val="44"/>
          <w:szCs w:val="44"/>
        </w:rPr>
        <w:t>Instructor’s Manual</w:t>
      </w:r>
    </w:p>
    <w:p w:rsidR="00041A61" w:rsidRPr="004062E7" w:rsidRDefault="00041A61" w:rsidP="00041A61">
      <w:pPr>
        <w:spacing w:after="200" w:line="276" w:lineRule="auto"/>
        <w:jc w:val="center"/>
        <w:rPr>
          <w:rFonts w:eastAsia="Calibri"/>
          <w:b/>
          <w:sz w:val="44"/>
          <w:szCs w:val="44"/>
        </w:rPr>
      </w:pPr>
      <w:r w:rsidRPr="004062E7">
        <w:rPr>
          <w:rFonts w:eastAsia="Calibri"/>
          <w:b/>
          <w:sz w:val="44"/>
          <w:szCs w:val="44"/>
        </w:rPr>
        <w:t>to accompany</w:t>
      </w:r>
    </w:p>
    <w:p w:rsidR="00041A61" w:rsidRPr="004062E7" w:rsidRDefault="00041A61" w:rsidP="00041A61">
      <w:pPr>
        <w:spacing w:after="200" w:line="276" w:lineRule="auto"/>
        <w:jc w:val="center"/>
        <w:rPr>
          <w:rFonts w:eastAsia="Calibri"/>
          <w:b/>
          <w:sz w:val="44"/>
          <w:szCs w:val="44"/>
        </w:rPr>
      </w:pPr>
      <w:r w:rsidRPr="004062E7">
        <w:rPr>
          <w:rFonts w:eastAsia="Calibri"/>
          <w:b/>
          <w:i/>
          <w:sz w:val="44"/>
          <w:szCs w:val="44"/>
        </w:rPr>
        <w:t>Fundamental Accounting Principles</w:t>
      </w:r>
      <w:r w:rsidRPr="004062E7">
        <w:rPr>
          <w:rFonts w:eastAsia="Calibri"/>
          <w:b/>
          <w:sz w:val="44"/>
          <w:szCs w:val="44"/>
        </w:rPr>
        <w:t>,</w:t>
      </w:r>
    </w:p>
    <w:p w:rsidR="00CA3A09" w:rsidRPr="004062E7" w:rsidRDefault="00CA3A09" w:rsidP="00041A61">
      <w:pPr>
        <w:spacing w:after="200" w:line="276" w:lineRule="auto"/>
        <w:jc w:val="center"/>
        <w:rPr>
          <w:rFonts w:eastAsia="Calibri"/>
          <w:b/>
          <w:sz w:val="44"/>
          <w:szCs w:val="44"/>
        </w:rPr>
      </w:pPr>
      <w:r w:rsidRPr="004062E7">
        <w:rPr>
          <w:rFonts w:eastAsia="Calibri"/>
          <w:b/>
          <w:sz w:val="44"/>
          <w:szCs w:val="44"/>
        </w:rPr>
        <w:t>Chapter 9,</w:t>
      </w:r>
    </w:p>
    <w:p w:rsidR="00041A61" w:rsidRPr="004062E7" w:rsidRDefault="00041A61" w:rsidP="00041A61">
      <w:pPr>
        <w:spacing w:after="200" w:line="276" w:lineRule="auto"/>
        <w:jc w:val="center"/>
        <w:rPr>
          <w:rFonts w:eastAsia="Calibri"/>
          <w:b/>
          <w:sz w:val="44"/>
          <w:szCs w:val="44"/>
        </w:rPr>
      </w:pPr>
      <w:r w:rsidRPr="004062E7">
        <w:rPr>
          <w:rFonts w:eastAsia="Calibri"/>
          <w:b/>
          <w:sz w:val="44"/>
          <w:szCs w:val="44"/>
        </w:rPr>
        <w:t>1</w:t>
      </w:r>
      <w:r w:rsidR="00D13D39" w:rsidRPr="004062E7">
        <w:rPr>
          <w:rFonts w:eastAsia="Calibri"/>
          <w:b/>
          <w:sz w:val="44"/>
          <w:szCs w:val="44"/>
        </w:rPr>
        <w:t>6</w:t>
      </w:r>
      <w:r w:rsidRPr="004062E7">
        <w:rPr>
          <w:rFonts w:eastAsia="Calibri"/>
          <w:b/>
          <w:sz w:val="44"/>
          <w:szCs w:val="44"/>
          <w:vertAlign w:val="superscript"/>
        </w:rPr>
        <w:t>th</w:t>
      </w:r>
      <w:r w:rsidRPr="004062E7">
        <w:rPr>
          <w:rFonts w:eastAsia="Calibri"/>
          <w:b/>
          <w:sz w:val="44"/>
          <w:szCs w:val="44"/>
        </w:rPr>
        <w:t xml:space="preserve"> edition,</w:t>
      </w:r>
    </w:p>
    <w:p w:rsidR="00041A61" w:rsidRPr="004062E7" w:rsidRDefault="00041A61" w:rsidP="00041A61">
      <w:pPr>
        <w:spacing w:after="200" w:line="276" w:lineRule="auto"/>
        <w:jc w:val="center"/>
        <w:rPr>
          <w:rFonts w:eastAsia="Calibri"/>
          <w:b/>
          <w:sz w:val="44"/>
          <w:szCs w:val="44"/>
        </w:rPr>
      </w:pPr>
      <w:r w:rsidRPr="004062E7">
        <w:rPr>
          <w:rFonts w:eastAsia="Calibri"/>
          <w:b/>
          <w:sz w:val="44"/>
          <w:szCs w:val="44"/>
        </w:rPr>
        <w:t>By Larson/</w:t>
      </w:r>
      <w:r w:rsidR="002327C9" w:rsidRPr="004062E7">
        <w:rPr>
          <w:rFonts w:eastAsia="Calibri"/>
          <w:b/>
          <w:sz w:val="44"/>
          <w:szCs w:val="44"/>
        </w:rPr>
        <w:t>Dieckmann</w:t>
      </w:r>
    </w:p>
    <w:p w:rsidR="00DC00DF" w:rsidRPr="00041A61" w:rsidRDefault="00DC00DF" w:rsidP="00041A61">
      <w:pPr>
        <w:spacing w:after="200" w:line="276" w:lineRule="auto"/>
        <w:jc w:val="center"/>
        <w:rPr>
          <w:rFonts w:ascii="Calibri" w:eastAsia="Calibri" w:hAnsi="Calibri"/>
          <w:b/>
          <w:sz w:val="44"/>
          <w:szCs w:val="44"/>
        </w:rPr>
      </w:pPr>
    </w:p>
    <w:p w:rsidR="00D13D39" w:rsidRDefault="008461B0" w:rsidP="00D13D39">
      <w:pPr>
        <w:jc w:val="center"/>
        <w:rPr>
          <w:sz w:val="32"/>
          <w:szCs w:val="32"/>
        </w:rPr>
      </w:pPr>
      <w:r>
        <w:rPr>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303.75pt">
            <v:imagedata r:id="rId8" o:title="LarsonVol1_1259654656_72ppi"/>
          </v:shape>
        </w:pict>
      </w:r>
    </w:p>
    <w:p w:rsidR="00D13D39" w:rsidRPr="00041A61" w:rsidRDefault="00D13D39" w:rsidP="00D13D39">
      <w:pPr>
        <w:jc w:val="center"/>
        <w:rPr>
          <w:sz w:val="32"/>
          <w:szCs w:val="32"/>
        </w:rPr>
      </w:pPr>
      <w:r w:rsidRPr="00041A61">
        <w:rPr>
          <w:sz w:val="32"/>
          <w:szCs w:val="32"/>
        </w:rPr>
        <w:t>Prepared by:</w:t>
      </w:r>
    </w:p>
    <w:p w:rsidR="00D13D39" w:rsidRPr="00041A61" w:rsidRDefault="00D13D39" w:rsidP="00D13D39">
      <w:pPr>
        <w:jc w:val="center"/>
        <w:rPr>
          <w:sz w:val="32"/>
          <w:szCs w:val="32"/>
        </w:rPr>
      </w:pPr>
      <w:r>
        <w:rPr>
          <w:sz w:val="32"/>
          <w:szCs w:val="32"/>
        </w:rPr>
        <w:t>Milena Ceglie, CGA, CPA, MBA, Durham College</w:t>
      </w:r>
    </w:p>
    <w:p w:rsidR="00041A61" w:rsidRPr="00041A61" w:rsidRDefault="00041A61" w:rsidP="00041A61">
      <w:pPr>
        <w:spacing w:after="200" w:line="276" w:lineRule="auto"/>
        <w:jc w:val="center"/>
        <w:rPr>
          <w:rFonts w:ascii="Calibri" w:eastAsia="Calibri" w:hAnsi="Calibri"/>
          <w:szCs w:val="22"/>
        </w:rPr>
      </w:pPr>
    </w:p>
    <w:p w:rsidR="00E607A3" w:rsidRPr="004062E7" w:rsidRDefault="00E607A3">
      <w:pPr>
        <w:pStyle w:val="chapternumber"/>
        <w:rPr>
          <w:rFonts w:ascii="Times New Roman" w:hAnsi="Times New Roman"/>
        </w:rPr>
      </w:pPr>
      <w:r w:rsidRPr="004062E7">
        <w:rPr>
          <w:rFonts w:ascii="Times New Roman" w:hAnsi="Times New Roman"/>
        </w:rPr>
        <w:lastRenderedPageBreak/>
        <w:t xml:space="preserve">CHAPTER </w:t>
      </w:r>
      <w:r w:rsidR="003B6F05" w:rsidRPr="004062E7">
        <w:rPr>
          <w:rFonts w:ascii="Times New Roman" w:hAnsi="Times New Roman"/>
        </w:rPr>
        <w:t>9</w:t>
      </w:r>
    </w:p>
    <w:p w:rsidR="00E607A3" w:rsidRPr="004062E7" w:rsidRDefault="00225B7A" w:rsidP="00DC7B77">
      <w:pPr>
        <w:pStyle w:val="chaptertitle"/>
        <w:spacing w:after="0"/>
        <w:rPr>
          <w:rFonts w:ascii="Times New Roman" w:hAnsi="Times New Roman"/>
        </w:rPr>
      </w:pPr>
      <w:r w:rsidRPr="004062E7">
        <w:rPr>
          <w:rFonts w:ascii="Times New Roman" w:hAnsi="Times New Roman"/>
        </w:rPr>
        <w:t>Property</w:t>
      </w:r>
      <w:r w:rsidR="00C77818" w:rsidRPr="004062E7">
        <w:rPr>
          <w:rFonts w:ascii="Times New Roman" w:hAnsi="Times New Roman"/>
        </w:rPr>
        <w:t>,</w:t>
      </w:r>
      <w:r w:rsidRPr="004062E7">
        <w:rPr>
          <w:rFonts w:ascii="Times New Roman" w:hAnsi="Times New Roman"/>
        </w:rPr>
        <w:t xml:space="preserve"> Plant and Equipment and intangi</w:t>
      </w:r>
      <w:r w:rsidR="00C77818" w:rsidRPr="004062E7">
        <w:rPr>
          <w:rFonts w:ascii="Times New Roman" w:hAnsi="Times New Roman"/>
        </w:rPr>
        <w:t>b</w:t>
      </w:r>
      <w:r w:rsidRPr="004062E7">
        <w:rPr>
          <w:rFonts w:ascii="Times New Roman" w:hAnsi="Times New Roman"/>
        </w:rPr>
        <w:t>les</w:t>
      </w:r>
    </w:p>
    <w:p w:rsidR="00DC7B77" w:rsidRPr="00DC7B77" w:rsidRDefault="00DC7B77" w:rsidP="00DC7B77">
      <w:pPr>
        <w:pStyle w:val="Heading1"/>
      </w:pPr>
    </w:p>
    <w:tbl>
      <w:tblPr>
        <w:tblW w:w="11340"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67"/>
        <w:gridCol w:w="4587"/>
        <w:gridCol w:w="2056"/>
        <w:gridCol w:w="2409"/>
        <w:gridCol w:w="926"/>
        <w:gridCol w:w="1195"/>
      </w:tblGrid>
      <w:tr w:rsidR="00C33354" w:rsidTr="008461B0">
        <w:trPr>
          <w:gridBefore w:val="1"/>
          <w:wBefore w:w="167" w:type="dxa"/>
        </w:trPr>
        <w:tc>
          <w:tcPr>
            <w:tcW w:w="11173" w:type="dxa"/>
            <w:gridSpan w:val="5"/>
          </w:tcPr>
          <w:p w:rsidR="00C33354" w:rsidRPr="00C33354" w:rsidRDefault="00C33354">
            <w:pPr>
              <w:pStyle w:val="Italicsheading"/>
              <w:jc w:val="center"/>
              <w:rPr>
                <w:b/>
                <w:sz w:val="40"/>
                <w:szCs w:val="40"/>
                <w:u w:val="single"/>
              </w:rPr>
            </w:pPr>
            <w:r w:rsidRPr="00C33354">
              <w:rPr>
                <w:b/>
                <w:sz w:val="40"/>
                <w:szCs w:val="40"/>
                <w:u w:val="single"/>
              </w:rPr>
              <w:t>Related Assignment Materials</w:t>
            </w:r>
          </w:p>
        </w:tc>
      </w:tr>
      <w:tr w:rsidR="00917AC7" w:rsidTr="008461B0">
        <w:trPr>
          <w:gridBefore w:val="1"/>
          <w:wBefore w:w="167" w:type="dxa"/>
        </w:trPr>
        <w:tc>
          <w:tcPr>
            <w:tcW w:w="4587" w:type="dxa"/>
          </w:tcPr>
          <w:p w:rsidR="00C33354" w:rsidRDefault="00C33354">
            <w:pPr>
              <w:pStyle w:val="Italicsheading"/>
            </w:pPr>
            <w:r>
              <w:t>Student Learning Objectives</w:t>
            </w:r>
          </w:p>
        </w:tc>
        <w:tc>
          <w:tcPr>
            <w:tcW w:w="2056" w:type="dxa"/>
          </w:tcPr>
          <w:p w:rsidR="00C33354" w:rsidRDefault="00C33354">
            <w:pPr>
              <w:pStyle w:val="Italicsheading"/>
              <w:jc w:val="center"/>
            </w:pPr>
            <w:r>
              <w:t>Quick Studies</w:t>
            </w:r>
          </w:p>
        </w:tc>
        <w:tc>
          <w:tcPr>
            <w:tcW w:w="2409" w:type="dxa"/>
          </w:tcPr>
          <w:p w:rsidR="00C33354" w:rsidRDefault="00C33354">
            <w:pPr>
              <w:pStyle w:val="Italicsheading"/>
              <w:jc w:val="center"/>
            </w:pPr>
            <w:r>
              <w:t>Exercises</w:t>
            </w:r>
          </w:p>
        </w:tc>
        <w:tc>
          <w:tcPr>
            <w:tcW w:w="2121" w:type="dxa"/>
            <w:gridSpan w:val="2"/>
          </w:tcPr>
          <w:p w:rsidR="00C33354" w:rsidRDefault="00C33354">
            <w:pPr>
              <w:pStyle w:val="Italicsheading"/>
              <w:jc w:val="center"/>
            </w:pPr>
            <w:r>
              <w:t>Problems</w:t>
            </w:r>
          </w:p>
        </w:tc>
      </w:tr>
      <w:tr w:rsidR="00917AC7" w:rsidTr="008461B0">
        <w:trPr>
          <w:gridBefore w:val="1"/>
          <w:wBefore w:w="167" w:type="dxa"/>
          <w:trHeight w:val="822"/>
        </w:trPr>
        <w:tc>
          <w:tcPr>
            <w:tcW w:w="4587" w:type="dxa"/>
          </w:tcPr>
          <w:p w:rsidR="00C33354" w:rsidRDefault="00C33354" w:rsidP="002876D3">
            <w:pPr>
              <w:pStyle w:val="BodyText"/>
              <w:numPr>
                <w:ilvl w:val="0"/>
                <w:numId w:val="12"/>
              </w:numPr>
              <w:jc w:val="left"/>
            </w:pPr>
            <w:r>
              <w:t xml:space="preserve">Describe </w:t>
            </w:r>
            <w:r w:rsidR="00905C52">
              <w:t>property, plant and equipment</w:t>
            </w:r>
            <w:r w:rsidR="007F626F">
              <w:t xml:space="preserve"> </w:t>
            </w:r>
            <w:r w:rsidR="00C77818">
              <w:t xml:space="preserve">(PPE) </w:t>
            </w:r>
            <w:r w:rsidR="007F626F">
              <w:t>an</w:t>
            </w:r>
            <w:r w:rsidR="002876D3">
              <w:t>d</w:t>
            </w:r>
            <w:r w:rsidR="00E54F1E">
              <w:t xml:space="preserve"> </w:t>
            </w:r>
            <w:r w:rsidR="007F626F">
              <w:t>c</w:t>
            </w:r>
            <w:r w:rsidR="00225B7A">
              <w:t xml:space="preserve">alculate their </w:t>
            </w:r>
            <w:r w:rsidR="00E54F1E">
              <w:t>cost.</w:t>
            </w:r>
          </w:p>
        </w:tc>
        <w:tc>
          <w:tcPr>
            <w:tcW w:w="2056" w:type="dxa"/>
          </w:tcPr>
          <w:p w:rsidR="00C33354" w:rsidRDefault="00CB2156">
            <w:pPr>
              <w:pStyle w:val="TableBody"/>
            </w:pPr>
            <w:r>
              <w:t>9-</w:t>
            </w:r>
            <w:r w:rsidR="0058421E">
              <w:t xml:space="preserve">1, </w:t>
            </w:r>
            <w:r>
              <w:t>9-</w:t>
            </w:r>
            <w:r w:rsidR="0058421E">
              <w:t xml:space="preserve">2, </w:t>
            </w:r>
            <w:r>
              <w:t>9-</w:t>
            </w:r>
            <w:r w:rsidR="0058421E">
              <w:t>3</w:t>
            </w:r>
            <w:r w:rsidR="00FE7D5F">
              <w:t>,9-4</w:t>
            </w:r>
            <w:r w:rsidR="005568EE">
              <w:t>.</w:t>
            </w:r>
          </w:p>
        </w:tc>
        <w:tc>
          <w:tcPr>
            <w:tcW w:w="2409" w:type="dxa"/>
          </w:tcPr>
          <w:p w:rsidR="00C33354" w:rsidRDefault="00CB2156" w:rsidP="00E43CAF">
            <w:pPr>
              <w:pStyle w:val="TableBody"/>
            </w:pPr>
            <w:r>
              <w:t>9-</w:t>
            </w:r>
            <w:r w:rsidR="0058421E">
              <w:t xml:space="preserve">1, </w:t>
            </w:r>
            <w:r>
              <w:t>9-</w:t>
            </w:r>
            <w:r w:rsidR="0058421E">
              <w:t xml:space="preserve">2, </w:t>
            </w:r>
            <w:r>
              <w:t>9-</w:t>
            </w:r>
            <w:r w:rsidR="0058421E">
              <w:t xml:space="preserve">3, </w:t>
            </w:r>
            <w:r>
              <w:t>9-</w:t>
            </w:r>
            <w:r w:rsidR="0058421E">
              <w:t xml:space="preserve">4, </w:t>
            </w:r>
            <w:r>
              <w:t>9-</w:t>
            </w:r>
            <w:r w:rsidR="0058421E">
              <w:t>5</w:t>
            </w:r>
            <w:r w:rsidR="00AF5E68">
              <w:t xml:space="preserve">, </w:t>
            </w:r>
            <w:r>
              <w:t>9-</w:t>
            </w:r>
            <w:r w:rsidR="00AF5E68">
              <w:t>9</w:t>
            </w:r>
            <w:r w:rsidR="005568EE">
              <w:t>.</w:t>
            </w:r>
          </w:p>
        </w:tc>
        <w:tc>
          <w:tcPr>
            <w:tcW w:w="2121" w:type="dxa"/>
            <w:gridSpan w:val="2"/>
          </w:tcPr>
          <w:p w:rsidR="00C33354" w:rsidRDefault="00CB2156">
            <w:pPr>
              <w:pStyle w:val="TableBody"/>
            </w:pPr>
            <w:r>
              <w:t>9-</w:t>
            </w:r>
            <w:r w:rsidR="00E43CAF">
              <w:t xml:space="preserve">1A, </w:t>
            </w:r>
            <w:r>
              <w:t>9-</w:t>
            </w:r>
            <w:r w:rsidR="00E43CAF">
              <w:t xml:space="preserve">7A, </w:t>
            </w:r>
            <w:r>
              <w:t>9-</w:t>
            </w:r>
            <w:r w:rsidR="004F47CC">
              <w:t>8</w:t>
            </w:r>
            <w:r w:rsidR="00E43CAF">
              <w:t>A</w:t>
            </w:r>
            <w:r w:rsidR="00AF5E68">
              <w:t xml:space="preserve">, </w:t>
            </w:r>
            <w:r>
              <w:t>9-</w:t>
            </w:r>
            <w:r w:rsidR="00AF5E68">
              <w:t>1</w:t>
            </w:r>
            <w:r w:rsidR="004F47CC">
              <w:t>1</w:t>
            </w:r>
            <w:r w:rsidR="00AF5E68">
              <w:t>A,</w:t>
            </w:r>
            <w:r w:rsidR="004F47CC">
              <w:t xml:space="preserve"> 9-14A</w:t>
            </w:r>
            <w:r w:rsidR="00EC2A1A">
              <w:t>,</w:t>
            </w:r>
            <w:r w:rsidR="00AF5E68">
              <w:t xml:space="preserve"> </w:t>
            </w:r>
            <w:r>
              <w:t>9-</w:t>
            </w:r>
            <w:r w:rsidR="00AF5E68">
              <w:t>15A</w:t>
            </w:r>
            <w:r w:rsidR="004F47CC">
              <w:t>, 9-16A</w:t>
            </w:r>
          </w:p>
          <w:p w:rsidR="00AF5E68" w:rsidRDefault="00CB2156" w:rsidP="00E43CAF">
            <w:pPr>
              <w:pStyle w:val="TableBody"/>
            </w:pPr>
            <w:r>
              <w:t>9-</w:t>
            </w:r>
            <w:r w:rsidR="00AF5E68">
              <w:t>1B</w:t>
            </w:r>
            <w:r w:rsidR="007774F6">
              <w:t xml:space="preserve">, </w:t>
            </w:r>
            <w:r>
              <w:t>9-</w:t>
            </w:r>
            <w:r w:rsidR="007774F6">
              <w:t xml:space="preserve">7B, </w:t>
            </w:r>
            <w:r>
              <w:t>9-</w:t>
            </w:r>
            <w:r w:rsidR="00EC2A1A">
              <w:t>8</w:t>
            </w:r>
            <w:r w:rsidR="007774F6">
              <w:t xml:space="preserve">B, </w:t>
            </w:r>
            <w:r>
              <w:t>9-</w:t>
            </w:r>
            <w:r w:rsidR="007774F6">
              <w:t>1</w:t>
            </w:r>
            <w:r w:rsidR="00EC2A1A">
              <w:t>1</w:t>
            </w:r>
            <w:r w:rsidR="007774F6">
              <w:t xml:space="preserve">B, </w:t>
            </w:r>
            <w:r w:rsidR="00EC2A1A">
              <w:t xml:space="preserve">9-14B, </w:t>
            </w:r>
            <w:r>
              <w:t>9-</w:t>
            </w:r>
            <w:r w:rsidR="007774F6">
              <w:t>15B</w:t>
            </w:r>
            <w:r w:rsidR="00EC2A1A">
              <w:t>, 9-16B</w:t>
            </w:r>
            <w:r w:rsidR="005568EE">
              <w:t>.</w:t>
            </w:r>
          </w:p>
        </w:tc>
      </w:tr>
      <w:tr w:rsidR="00917AC7" w:rsidTr="008461B0">
        <w:trPr>
          <w:gridBefore w:val="1"/>
          <w:wBefore w:w="167" w:type="dxa"/>
        </w:trPr>
        <w:tc>
          <w:tcPr>
            <w:tcW w:w="4587" w:type="dxa"/>
          </w:tcPr>
          <w:p w:rsidR="00C33354" w:rsidRDefault="00C33354" w:rsidP="0074674E">
            <w:pPr>
              <w:pStyle w:val="BodyText"/>
              <w:numPr>
                <w:ilvl w:val="0"/>
                <w:numId w:val="12"/>
              </w:numPr>
              <w:jc w:val="left"/>
            </w:pPr>
            <w:r>
              <w:t xml:space="preserve">Explain, record and </w:t>
            </w:r>
            <w:r>
              <w:rPr>
                <w:rFonts w:hint="eastAsia"/>
              </w:rPr>
              <w:t>calculate</w:t>
            </w:r>
            <w:r>
              <w:t xml:space="preserve"> </w:t>
            </w:r>
            <w:r w:rsidR="00225B7A">
              <w:t>depreciation</w:t>
            </w:r>
            <w:r w:rsidR="00C77818">
              <w:t xml:space="preserve"> using the methods of straight-</w:t>
            </w:r>
            <w:r>
              <w:t>line, units-of-production and double</w:t>
            </w:r>
            <w:r w:rsidR="00DA4A2E">
              <w:t>-</w:t>
            </w:r>
            <w:r w:rsidR="00C77818">
              <w:t>declining-</w:t>
            </w:r>
            <w:r w:rsidR="002876D3">
              <w:t>balance.</w:t>
            </w:r>
          </w:p>
        </w:tc>
        <w:tc>
          <w:tcPr>
            <w:tcW w:w="2056" w:type="dxa"/>
          </w:tcPr>
          <w:p w:rsidR="00C33354" w:rsidRDefault="00CB2156">
            <w:pPr>
              <w:pStyle w:val="TableBody"/>
            </w:pPr>
            <w:r>
              <w:t>9-</w:t>
            </w:r>
            <w:r w:rsidR="0058421E">
              <w:t xml:space="preserve">5, </w:t>
            </w:r>
            <w:r>
              <w:t>9-</w:t>
            </w:r>
            <w:r w:rsidR="0058421E">
              <w:t xml:space="preserve">6, </w:t>
            </w:r>
            <w:r>
              <w:t>9-</w:t>
            </w:r>
            <w:r w:rsidR="0058421E">
              <w:t xml:space="preserve">7, </w:t>
            </w:r>
            <w:r>
              <w:t>9-</w:t>
            </w:r>
            <w:r w:rsidR="0058421E">
              <w:t xml:space="preserve">8, </w:t>
            </w:r>
            <w:r>
              <w:t>9-</w:t>
            </w:r>
            <w:r w:rsidR="0058421E">
              <w:t xml:space="preserve">9, </w:t>
            </w:r>
            <w:r>
              <w:t>9-</w:t>
            </w:r>
            <w:r w:rsidR="0058421E">
              <w:t>10</w:t>
            </w:r>
            <w:r w:rsidR="00E43CAF">
              <w:t xml:space="preserve">, </w:t>
            </w:r>
            <w:r>
              <w:t>9-</w:t>
            </w:r>
            <w:r w:rsidR="00E43CAF">
              <w:t>11</w:t>
            </w:r>
            <w:r w:rsidR="00FE7D5F">
              <w:t>, 9-12</w:t>
            </w:r>
            <w:r w:rsidR="005568EE">
              <w:t>.</w:t>
            </w:r>
          </w:p>
        </w:tc>
        <w:tc>
          <w:tcPr>
            <w:tcW w:w="2409" w:type="dxa"/>
          </w:tcPr>
          <w:p w:rsidR="00C33354" w:rsidRDefault="00CB2156" w:rsidP="00C11D2F">
            <w:pPr>
              <w:pStyle w:val="TableBody"/>
            </w:pPr>
            <w:r>
              <w:t>9-</w:t>
            </w:r>
            <w:r w:rsidR="0058421E">
              <w:t xml:space="preserve">5, </w:t>
            </w:r>
            <w:r>
              <w:t>9-</w:t>
            </w:r>
            <w:r w:rsidR="0058421E">
              <w:t>6</w:t>
            </w:r>
            <w:r w:rsidR="00AF5E68">
              <w:t xml:space="preserve">, </w:t>
            </w:r>
            <w:r>
              <w:t>9-</w:t>
            </w:r>
            <w:r w:rsidR="00AF5E68">
              <w:t xml:space="preserve">7, </w:t>
            </w:r>
            <w:r>
              <w:t>9-</w:t>
            </w:r>
            <w:r w:rsidR="00AF5E68">
              <w:t xml:space="preserve">8, </w:t>
            </w:r>
            <w:r>
              <w:t>9-</w:t>
            </w:r>
            <w:r w:rsidR="00AF5E68">
              <w:t xml:space="preserve">9, </w:t>
            </w:r>
            <w:r>
              <w:t>9-</w:t>
            </w:r>
            <w:r w:rsidR="00AF5E68">
              <w:t xml:space="preserve">10, </w:t>
            </w:r>
            <w:r>
              <w:t>9-</w:t>
            </w:r>
            <w:r w:rsidR="00AF5E68">
              <w:t xml:space="preserve">11, </w:t>
            </w:r>
            <w:r>
              <w:t>9-</w:t>
            </w:r>
            <w:r w:rsidR="002876D3">
              <w:t>12</w:t>
            </w:r>
            <w:r w:rsidR="00C11D2F">
              <w:t xml:space="preserve">, </w:t>
            </w:r>
            <w:r>
              <w:t>9-</w:t>
            </w:r>
            <w:r w:rsidR="00C11D2F">
              <w:t xml:space="preserve">18, </w:t>
            </w:r>
            <w:r>
              <w:t>9-</w:t>
            </w:r>
            <w:r w:rsidR="00C11D2F">
              <w:t xml:space="preserve">19, </w:t>
            </w:r>
            <w:r>
              <w:t>9-</w:t>
            </w:r>
            <w:r w:rsidR="00C11D2F">
              <w:t xml:space="preserve">21, </w:t>
            </w:r>
            <w:r>
              <w:t>9-</w:t>
            </w:r>
            <w:r w:rsidR="00C11D2F">
              <w:t xml:space="preserve">26, </w:t>
            </w:r>
            <w:r>
              <w:t>9-</w:t>
            </w:r>
            <w:r w:rsidR="00C11D2F">
              <w:t xml:space="preserve">27, </w:t>
            </w:r>
            <w:r>
              <w:t>9-</w:t>
            </w:r>
            <w:r w:rsidR="00C11D2F">
              <w:t xml:space="preserve">28, </w:t>
            </w:r>
            <w:r>
              <w:t>9-</w:t>
            </w:r>
            <w:r w:rsidR="00C11D2F">
              <w:t>29</w:t>
            </w:r>
            <w:r w:rsidR="00167ACE">
              <w:t>, 9-30</w:t>
            </w:r>
            <w:r w:rsidR="005568EE">
              <w:t>.</w:t>
            </w:r>
          </w:p>
        </w:tc>
        <w:tc>
          <w:tcPr>
            <w:tcW w:w="2121" w:type="dxa"/>
            <w:gridSpan w:val="2"/>
          </w:tcPr>
          <w:p w:rsidR="00747E8A" w:rsidRDefault="00CB2156">
            <w:pPr>
              <w:pStyle w:val="TableBody"/>
            </w:pPr>
            <w:r>
              <w:t>9-</w:t>
            </w:r>
            <w:r w:rsidR="00AF5E68">
              <w:t xml:space="preserve">2A, </w:t>
            </w:r>
            <w:r>
              <w:t>9-</w:t>
            </w:r>
            <w:r w:rsidR="00AF5E68">
              <w:t xml:space="preserve">3A, </w:t>
            </w:r>
            <w:r>
              <w:t>9-</w:t>
            </w:r>
            <w:r w:rsidR="00AF5E68">
              <w:t>4</w:t>
            </w:r>
            <w:r w:rsidR="00DA4A2E">
              <w:t>A</w:t>
            </w:r>
            <w:r w:rsidR="00AF5E68">
              <w:t xml:space="preserve">, </w:t>
            </w:r>
            <w:r>
              <w:t>9-</w:t>
            </w:r>
            <w:r w:rsidR="00AF5E68">
              <w:t xml:space="preserve">5A, </w:t>
            </w:r>
            <w:r>
              <w:t>9-</w:t>
            </w:r>
            <w:r w:rsidR="00AF5E68">
              <w:t xml:space="preserve">6A, </w:t>
            </w:r>
            <w:r>
              <w:t>9-</w:t>
            </w:r>
            <w:r w:rsidR="00AF5E68">
              <w:t xml:space="preserve">7A, </w:t>
            </w:r>
            <w:r>
              <w:t>9-</w:t>
            </w:r>
            <w:r w:rsidR="00AF5E68">
              <w:t xml:space="preserve">8A, </w:t>
            </w:r>
            <w:r>
              <w:t>9-</w:t>
            </w:r>
            <w:r w:rsidR="00AF5E68">
              <w:t xml:space="preserve">9A, </w:t>
            </w:r>
            <w:r>
              <w:t>9-</w:t>
            </w:r>
            <w:r w:rsidR="00AF5E68">
              <w:t xml:space="preserve">10A, </w:t>
            </w:r>
            <w:r w:rsidR="004F47CC">
              <w:t xml:space="preserve">9-11A, </w:t>
            </w:r>
            <w:r>
              <w:t>9-</w:t>
            </w:r>
            <w:r w:rsidR="00C11D2F">
              <w:t>12</w:t>
            </w:r>
            <w:r w:rsidR="00AF5E68">
              <w:t xml:space="preserve">A, </w:t>
            </w:r>
            <w:r>
              <w:t>9-</w:t>
            </w:r>
            <w:r w:rsidR="00AF5E68">
              <w:t>13</w:t>
            </w:r>
            <w:r w:rsidR="00E43CAF">
              <w:t xml:space="preserve">A, </w:t>
            </w:r>
            <w:r>
              <w:t>9-</w:t>
            </w:r>
            <w:r w:rsidR="00E43CAF">
              <w:t xml:space="preserve">14A, </w:t>
            </w:r>
            <w:r>
              <w:t>9-</w:t>
            </w:r>
            <w:r w:rsidR="00E43CAF">
              <w:t>15A</w:t>
            </w:r>
            <w:r w:rsidR="00C11D2F">
              <w:t xml:space="preserve">, </w:t>
            </w:r>
            <w:r>
              <w:t>9-</w:t>
            </w:r>
            <w:r w:rsidR="00E43CAF">
              <w:t xml:space="preserve">16A, </w:t>
            </w:r>
            <w:r>
              <w:t>9-</w:t>
            </w:r>
            <w:r w:rsidR="00E43CAF">
              <w:t xml:space="preserve">17A, </w:t>
            </w:r>
            <w:r w:rsidR="004F47CC">
              <w:t xml:space="preserve">9-18A, </w:t>
            </w:r>
            <w:r>
              <w:t>9-</w:t>
            </w:r>
            <w:r w:rsidR="00C11D2F">
              <w:t xml:space="preserve">19A, </w:t>
            </w:r>
            <w:r>
              <w:t>9-</w:t>
            </w:r>
            <w:r w:rsidR="00E43CAF">
              <w:t>20A</w:t>
            </w:r>
            <w:r w:rsidR="004F47CC">
              <w:t>, 9-21A.</w:t>
            </w:r>
          </w:p>
          <w:p w:rsidR="00AF5E68" w:rsidRDefault="00CB2156" w:rsidP="00C77818">
            <w:pPr>
              <w:pStyle w:val="TableBody"/>
            </w:pPr>
            <w:r>
              <w:t>9-</w:t>
            </w:r>
            <w:r w:rsidR="00AF5E68">
              <w:t xml:space="preserve">2B, </w:t>
            </w:r>
            <w:r>
              <w:t>9-</w:t>
            </w:r>
            <w:r w:rsidR="00AF5E68">
              <w:t>3B</w:t>
            </w:r>
            <w:r w:rsidR="007774F6">
              <w:t xml:space="preserve">, </w:t>
            </w:r>
            <w:r>
              <w:t>9-</w:t>
            </w:r>
            <w:r w:rsidR="007774F6">
              <w:t xml:space="preserve">4B, </w:t>
            </w:r>
            <w:r>
              <w:t>9-</w:t>
            </w:r>
            <w:r w:rsidR="007774F6">
              <w:t xml:space="preserve">5B, </w:t>
            </w:r>
            <w:r>
              <w:t>9-</w:t>
            </w:r>
            <w:r w:rsidR="007774F6">
              <w:t xml:space="preserve">6B, </w:t>
            </w:r>
            <w:r>
              <w:t>9-</w:t>
            </w:r>
            <w:r w:rsidR="00C77818">
              <w:t>7B,</w:t>
            </w:r>
            <w:r w:rsidR="007774F6">
              <w:t xml:space="preserve"> </w:t>
            </w:r>
            <w:r>
              <w:t>9-</w:t>
            </w:r>
            <w:r w:rsidR="007774F6">
              <w:t xml:space="preserve">8B, </w:t>
            </w:r>
            <w:r>
              <w:t>9-</w:t>
            </w:r>
            <w:r w:rsidR="007774F6">
              <w:t xml:space="preserve">9B, </w:t>
            </w:r>
            <w:r>
              <w:t>9-</w:t>
            </w:r>
            <w:r w:rsidR="007774F6">
              <w:t>10B,</w:t>
            </w:r>
            <w:r w:rsidR="00040D85">
              <w:t xml:space="preserve"> </w:t>
            </w:r>
            <w:r w:rsidR="00EC2A1A">
              <w:t xml:space="preserve">9-11B, </w:t>
            </w:r>
            <w:r>
              <w:t>9-</w:t>
            </w:r>
            <w:r w:rsidR="00040D85">
              <w:t xml:space="preserve">12B, </w:t>
            </w:r>
            <w:r>
              <w:t>9-</w:t>
            </w:r>
            <w:r w:rsidR="00040D85">
              <w:t xml:space="preserve">13B, </w:t>
            </w:r>
            <w:r>
              <w:t>9-</w:t>
            </w:r>
            <w:r w:rsidR="00040D85">
              <w:t xml:space="preserve">14B, </w:t>
            </w:r>
            <w:r>
              <w:t>9-</w:t>
            </w:r>
            <w:r w:rsidR="00040D85">
              <w:t xml:space="preserve">15B, </w:t>
            </w:r>
            <w:r>
              <w:t>9-</w:t>
            </w:r>
            <w:r w:rsidR="00040D85">
              <w:t xml:space="preserve">16B, </w:t>
            </w:r>
            <w:r>
              <w:t>9-</w:t>
            </w:r>
            <w:r w:rsidR="00040D85">
              <w:t xml:space="preserve">17B, </w:t>
            </w:r>
            <w:r w:rsidR="00EC2A1A">
              <w:t xml:space="preserve">9-18B, </w:t>
            </w:r>
            <w:r>
              <w:t>9-</w:t>
            </w:r>
            <w:r w:rsidR="00040D85">
              <w:t xml:space="preserve">19B, </w:t>
            </w:r>
            <w:r>
              <w:t>9-</w:t>
            </w:r>
            <w:r w:rsidR="00040D85">
              <w:t>20B</w:t>
            </w:r>
            <w:r w:rsidR="00EC2A1A">
              <w:t>, 9-21B.</w:t>
            </w:r>
          </w:p>
        </w:tc>
      </w:tr>
      <w:tr w:rsidR="00917AC7" w:rsidTr="008461B0">
        <w:trPr>
          <w:gridBefore w:val="1"/>
          <w:wBefore w:w="167" w:type="dxa"/>
        </w:trPr>
        <w:tc>
          <w:tcPr>
            <w:tcW w:w="4587" w:type="dxa"/>
          </w:tcPr>
          <w:p w:rsidR="00C33354" w:rsidRDefault="00C33354" w:rsidP="0074674E">
            <w:pPr>
              <w:pStyle w:val="BodyText"/>
              <w:numPr>
                <w:ilvl w:val="0"/>
                <w:numId w:val="12"/>
              </w:numPr>
              <w:jc w:val="left"/>
            </w:pPr>
            <w:r>
              <w:t xml:space="preserve">Explain and calculate </w:t>
            </w:r>
            <w:r w:rsidR="00225B7A">
              <w:t>depreciation</w:t>
            </w:r>
            <w:r>
              <w:t xml:space="preserve"> for partial years.</w:t>
            </w:r>
          </w:p>
        </w:tc>
        <w:tc>
          <w:tcPr>
            <w:tcW w:w="2056" w:type="dxa"/>
          </w:tcPr>
          <w:p w:rsidR="00C33354" w:rsidRDefault="00CB2156">
            <w:pPr>
              <w:pStyle w:val="TableBody"/>
            </w:pPr>
            <w:r>
              <w:t>9</w:t>
            </w:r>
            <w:r w:rsidR="0058421E">
              <w:t xml:space="preserve">-9, </w:t>
            </w:r>
            <w:r>
              <w:t>9</w:t>
            </w:r>
            <w:r w:rsidR="0058421E">
              <w:t>-10</w:t>
            </w:r>
            <w:r w:rsidR="00E43CAF">
              <w:t xml:space="preserve">, </w:t>
            </w:r>
            <w:r>
              <w:t>9-</w:t>
            </w:r>
            <w:r w:rsidR="00E43CAF">
              <w:t>11</w:t>
            </w:r>
            <w:r w:rsidR="00FE7D5F">
              <w:t>, 9-12</w:t>
            </w:r>
            <w:r w:rsidR="005568EE">
              <w:t>.</w:t>
            </w:r>
          </w:p>
        </w:tc>
        <w:tc>
          <w:tcPr>
            <w:tcW w:w="2409" w:type="dxa"/>
          </w:tcPr>
          <w:p w:rsidR="00C33354" w:rsidRDefault="00CB2156" w:rsidP="002876D3">
            <w:pPr>
              <w:pStyle w:val="TableBody"/>
            </w:pPr>
            <w:r>
              <w:t>9-</w:t>
            </w:r>
            <w:r w:rsidR="00E027D6">
              <w:t xml:space="preserve">13, </w:t>
            </w:r>
            <w:r>
              <w:t>9-</w:t>
            </w:r>
            <w:r w:rsidR="00E027D6">
              <w:t xml:space="preserve">14, </w:t>
            </w:r>
            <w:r>
              <w:t>9-</w:t>
            </w:r>
            <w:r w:rsidR="00E027D6">
              <w:t>15,</w:t>
            </w:r>
            <w:r w:rsidR="00C11D2F">
              <w:t xml:space="preserve"> </w:t>
            </w:r>
            <w:r>
              <w:t>9-</w:t>
            </w:r>
            <w:r w:rsidR="00C11D2F">
              <w:t xml:space="preserve">21, </w:t>
            </w:r>
            <w:r>
              <w:t>9-</w:t>
            </w:r>
            <w:r w:rsidR="00C11D2F">
              <w:t xml:space="preserve">26, </w:t>
            </w:r>
            <w:r>
              <w:t>9-</w:t>
            </w:r>
            <w:r w:rsidR="00C11D2F">
              <w:t xml:space="preserve">28, </w:t>
            </w:r>
            <w:r>
              <w:t>9-</w:t>
            </w:r>
            <w:r w:rsidR="00C11D2F">
              <w:t>29</w:t>
            </w:r>
            <w:r w:rsidR="00167ACE">
              <w:t>, 9-30</w:t>
            </w:r>
            <w:r w:rsidR="005568EE">
              <w:t>.</w:t>
            </w:r>
          </w:p>
        </w:tc>
        <w:tc>
          <w:tcPr>
            <w:tcW w:w="2121" w:type="dxa"/>
            <w:gridSpan w:val="2"/>
          </w:tcPr>
          <w:p w:rsidR="00C33354" w:rsidRDefault="00CB2156">
            <w:pPr>
              <w:pStyle w:val="TableBody"/>
            </w:pPr>
            <w:r>
              <w:t>9-</w:t>
            </w:r>
            <w:r w:rsidR="00AF5E68">
              <w:t xml:space="preserve">4A, </w:t>
            </w:r>
            <w:r>
              <w:t>9-</w:t>
            </w:r>
            <w:r w:rsidR="00AF5E68">
              <w:t xml:space="preserve">5A, </w:t>
            </w:r>
            <w:r w:rsidR="004F47CC">
              <w:t xml:space="preserve">9-6A, </w:t>
            </w:r>
            <w:r>
              <w:t>9-</w:t>
            </w:r>
            <w:r w:rsidR="00AF5E68">
              <w:t xml:space="preserve">7A, </w:t>
            </w:r>
            <w:r>
              <w:t>9-</w:t>
            </w:r>
            <w:r w:rsidR="00AF5E68">
              <w:t xml:space="preserve">8A, </w:t>
            </w:r>
            <w:r>
              <w:t>9-</w:t>
            </w:r>
            <w:r w:rsidR="00AF5E68">
              <w:t>9A,</w:t>
            </w:r>
            <w:r w:rsidR="00C11D2F">
              <w:t xml:space="preserve"> </w:t>
            </w:r>
            <w:r w:rsidR="004F47CC">
              <w:t xml:space="preserve">9-10A, </w:t>
            </w:r>
            <w:r>
              <w:t>9-</w:t>
            </w:r>
            <w:r w:rsidR="00C11D2F">
              <w:t>12A</w:t>
            </w:r>
            <w:r w:rsidR="00AF5E68">
              <w:t xml:space="preserve"> </w:t>
            </w:r>
            <w:r>
              <w:t>9-</w:t>
            </w:r>
            <w:r w:rsidR="00AF5E68">
              <w:t>13A,</w:t>
            </w:r>
            <w:r w:rsidR="00E43CAF">
              <w:t xml:space="preserve"> </w:t>
            </w:r>
            <w:r>
              <w:t>9-</w:t>
            </w:r>
            <w:r w:rsidR="00E43CAF">
              <w:t xml:space="preserve">14A, </w:t>
            </w:r>
            <w:r>
              <w:t>9-</w:t>
            </w:r>
            <w:r w:rsidR="00E43CAF">
              <w:t xml:space="preserve">15A, </w:t>
            </w:r>
            <w:r>
              <w:t>9-</w:t>
            </w:r>
            <w:r w:rsidR="00E43CAF">
              <w:t xml:space="preserve">16A, </w:t>
            </w:r>
            <w:r>
              <w:t>9-</w:t>
            </w:r>
            <w:r w:rsidR="00E43CAF">
              <w:t xml:space="preserve">17A, </w:t>
            </w:r>
            <w:r w:rsidR="004F47CC">
              <w:t xml:space="preserve">9-18A, </w:t>
            </w:r>
            <w:r>
              <w:t>9-</w:t>
            </w:r>
            <w:r w:rsidR="00E43CAF">
              <w:t xml:space="preserve">19A, </w:t>
            </w:r>
            <w:r>
              <w:t>9-</w:t>
            </w:r>
            <w:r w:rsidR="00E43CAF">
              <w:t>20A</w:t>
            </w:r>
            <w:r w:rsidR="004F47CC">
              <w:t>, 9-21A.</w:t>
            </w:r>
          </w:p>
          <w:p w:rsidR="00AF5E68" w:rsidRDefault="00CB2156" w:rsidP="00040D85">
            <w:pPr>
              <w:pStyle w:val="TableBody"/>
            </w:pPr>
            <w:r>
              <w:t>9-</w:t>
            </w:r>
            <w:r w:rsidR="007774F6">
              <w:t xml:space="preserve">4B, </w:t>
            </w:r>
            <w:r>
              <w:t>9-</w:t>
            </w:r>
            <w:r w:rsidR="007774F6">
              <w:t xml:space="preserve">5B, </w:t>
            </w:r>
            <w:r>
              <w:t>9-</w:t>
            </w:r>
            <w:r w:rsidR="007774F6">
              <w:t xml:space="preserve">7B, </w:t>
            </w:r>
            <w:r>
              <w:t>9-</w:t>
            </w:r>
            <w:r w:rsidR="007774F6">
              <w:t xml:space="preserve">8B, </w:t>
            </w:r>
            <w:r>
              <w:t>9-</w:t>
            </w:r>
            <w:r w:rsidR="00D77033">
              <w:t xml:space="preserve">9B, </w:t>
            </w:r>
            <w:r w:rsidR="00EC2A1A">
              <w:t xml:space="preserve">9-10B, </w:t>
            </w:r>
            <w:r>
              <w:t>9-</w:t>
            </w:r>
            <w:r w:rsidR="00040D85">
              <w:t xml:space="preserve">12B, </w:t>
            </w:r>
            <w:r>
              <w:t>9-</w:t>
            </w:r>
            <w:r w:rsidR="00040D85">
              <w:t xml:space="preserve">13B, </w:t>
            </w:r>
            <w:r>
              <w:t>9-</w:t>
            </w:r>
            <w:r w:rsidR="00040D85">
              <w:t>14B,</w:t>
            </w:r>
            <w:r w:rsidR="00C77818">
              <w:t xml:space="preserve"> </w:t>
            </w:r>
            <w:r>
              <w:t>9-</w:t>
            </w:r>
            <w:r w:rsidR="00C77818">
              <w:t xml:space="preserve">15B, </w:t>
            </w:r>
            <w:r>
              <w:t>9-</w:t>
            </w:r>
            <w:r w:rsidR="00C77818">
              <w:t xml:space="preserve">16B, </w:t>
            </w:r>
            <w:r>
              <w:t>9-</w:t>
            </w:r>
            <w:r w:rsidR="00C77818">
              <w:t xml:space="preserve">17B, </w:t>
            </w:r>
            <w:r w:rsidR="00EC2A1A">
              <w:t xml:space="preserve">9-18B, </w:t>
            </w:r>
            <w:r>
              <w:t>9-</w:t>
            </w:r>
            <w:r w:rsidR="00C77818">
              <w:t>19B,</w:t>
            </w:r>
            <w:r w:rsidR="00040D85">
              <w:t xml:space="preserve"> </w:t>
            </w:r>
            <w:r>
              <w:t>9-</w:t>
            </w:r>
            <w:r w:rsidR="00040D85">
              <w:t>20B</w:t>
            </w:r>
            <w:r w:rsidR="00EC2A1A">
              <w:t>, 9-21B.</w:t>
            </w:r>
          </w:p>
        </w:tc>
      </w:tr>
      <w:tr w:rsidR="00917AC7" w:rsidTr="008461B0">
        <w:trPr>
          <w:gridBefore w:val="1"/>
          <w:wBefore w:w="167" w:type="dxa"/>
        </w:trPr>
        <w:tc>
          <w:tcPr>
            <w:tcW w:w="4587" w:type="dxa"/>
          </w:tcPr>
          <w:p w:rsidR="00C33354" w:rsidRDefault="00C33354" w:rsidP="002876D3">
            <w:pPr>
              <w:pStyle w:val="BodyText"/>
              <w:numPr>
                <w:ilvl w:val="0"/>
                <w:numId w:val="12"/>
              </w:numPr>
              <w:jc w:val="left"/>
            </w:pPr>
            <w:r>
              <w:t xml:space="preserve">Explain and </w:t>
            </w:r>
            <w:r>
              <w:rPr>
                <w:rFonts w:hint="eastAsia"/>
              </w:rPr>
              <w:t xml:space="preserve">calculate revised </w:t>
            </w:r>
            <w:r w:rsidR="00225B7A">
              <w:rPr>
                <w:rFonts w:hint="eastAsia"/>
              </w:rPr>
              <w:t>depreciation</w:t>
            </w:r>
            <w:r w:rsidR="002876D3">
              <w:t>.</w:t>
            </w:r>
            <w:r w:rsidR="00225B7A">
              <w:t xml:space="preserve"> </w:t>
            </w:r>
          </w:p>
        </w:tc>
        <w:tc>
          <w:tcPr>
            <w:tcW w:w="2056" w:type="dxa"/>
          </w:tcPr>
          <w:p w:rsidR="00C33354" w:rsidRDefault="00CB2156">
            <w:pPr>
              <w:pStyle w:val="TableBody"/>
            </w:pPr>
            <w:r>
              <w:t>9-</w:t>
            </w:r>
            <w:r w:rsidR="00E43CAF">
              <w:t>13</w:t>
            </w:r>
            <w:r w:rsidR="00FE7D5F">
              <w:t>, 9-14</w:t>
            </w:r>
            <w:r w:rsidR="005568EE">
              <w:t>.</w:t>
            </w:r>
          </w:p>
        </w:tc>
        <w:tc>
          <w:tcPr>
            <w:tcW w:w="2409" w:type="dxa"/>
          </w:tcPr>
          <w:p w:rsidR="00C33354" w:rsidRDefault="00CB2156" w:rsidP="00C11D2F">
            <w:pPr>
              <w:pStyle w:val="TableBody"/>
            </w:pPr>
            <w:r>
              <w:t>9-</w:t>
            </w:r>
            <w:r w:rsidR="00C11D2F">
              <w:t xml:space="preserve">16, </w:t>
            </w:r>
            <w:r>
              <w:t>9-</w:t>
            </w:r>
            <w:r w:rsidR="00AF5E68">
              <w:t xml:space="preserve">17, </w:t>
            </w:r>
            <w:r>
              <w:t>9-</w:t>
            </w:r>
            <w:r w:rsidR="00AF5E68">
              <w:t>18</w:t>
            </w:r>
            <w:r w:rsidR="005568EE">
              <w:t>.</w:t>
            </w:r>
          </w:p>
        </w:tc>
        <w:tc>
          <w:tcPr>
            <w:tcW w:w="2121" w:type="dxa"/>
            <w:gridSpan w:val="2"/>
          </w:tcPr>
          <w:p w:rsidR="00E43CAF" w:rsidRDefault="00CB2156" w:rsidP="00E43CAF">
            <w:pPr>
              <w:pStyle w:val="TableBody"/>
            </w:pPr>
            <w:r>
              <w:t>9-</w:t>
            </w:r>
            <w:r w:rsidR="00AF5E68">
              <w:t xml:space="preserve">11A, </w:t>
            </w:r>
            <w:r>
              <w:t>9-</w:t>
            </w:r>
            <w:r w:rsidR="00C11D2F">
              <w:t>12</w:t>
            </w:r>
            <w:r w:rsidR="00AF5E68">
              <w:t>A,</w:t>
            </w:r>
            <w:r w:rsidR="00E43CAF">
              <w:t xml:space="preserve"> </w:t>
            </w:r>
            <w:r w:rsidR="00515AF4">
              <w:t xml:space="preserve">9-13A, </w:t>
            </w:r>
            <w:r>
              <w:t>9-</w:t>
            </w:r>
            <w:r w:rsidR="00E43CAF">
              <w:t>20A</w:t>
            </w:r>
            <w:r w:rsidR="00515AF4">
              <w:t>, 9-21A</w:t>
            </w:r>
          </w:p>
          <w:p w:rsidR="007774F6" w:rsidRDefault="00CB2156" w:rsidP="00040D85">
            <w:pPr>
              <w:pStyle w:val="TableBody"/>
            </w:pPr>
            <w:r>
              <w:t>9-</w:t>
            </w:r>
            <w:r w:rsidR="00040D85">
              <w:t xml:space="preserve">11B, </w:t>
            </w:r>
            <w:r>
              <w:t>9-</w:t>
            </w:r>
            <w:r w:rsidR="00040D85">
              <w:t xml:space="preserve">12B, </w:t>
            </w:r>
            <w:r w:rsidR="00EC2A1A">
              <w:t xml:space="preserve">9-13B, </w:t>
            </w:r>
            <w:r>
              <w:t>9-</w:t>
            </w:r>
            <w:r w:rsidR="00040D85">
              <w:t xml:space="preserve">16B, </w:t>
            </w:r>
            <w:r w:rsidR="00EC2A1A">
              <w:t xml:space="preserve">9-17B, </w:t>
            </w:r>
            <w:r>
              <w:t>9-</w:t>
            </w:r>
            <w:r w:rsidR="00040D85">
              <w:t>20B</w:t>
            </w:r>
            <w:r w:rsidR="00EC2A1A">
              <w:t>, 9-21B</w:t>
            </w:r>
            <w:r w:rsidR="005568EE">
              <w:t>.</w:t>
            </w:r>
          </w:p>
        </w:tc>
      </w:tr>
      <w:tr w:rsidR="00917AC7" w:rsidTr="008461B0">
        <w:trPr>
          <w:gridBefore w:val="1"/>
          <w:wBefore w:w="167" w:type="dxa"/>
        </w:trPr>
        <w:tc>
          <w:tcPr>
            <w:tcW w:w="4587" w:type="dxa"/>
          </w:tcPr>
          <w:p w:rsidR="00C33354" w:rsidRDefault="00225B7A" w:rsidP="0074674E">
            <w:pPr>
              <w:pStyle w:val="BodyText"/>
              <w:numPr>
                <w:ilvl w:val="0"/>
                <w:numId w:val="12"/>
              </w:numPr>
              <w:jc w:val="left"/>
            </w:pPr>
            <w:r>
              <w:t>Explain and record impairment losses.</w:t>
            </w:r>
          </w:p>
        </w:tc>
        <w:tc>
          <w:tcPr>
            <w:tcW w:w="2056" w:type="dxa"/>
          </w:tcPr>
          <w:p w:rsidR="00C33354" w:rsidRDefault="00CB2156" w:rsidP="00E43CAF">
            <w:pPr>
              <w:pStyle w:val="TableBody"/>
            </w:pPr>
            <w:r>
              <w:t>9-</w:t>
            </w:r>
            <w:r w:rsidR="0058421E">
              <w:t>1</w:t>
            </w:r>
            <w:r w:rsidR="00FE7D5F">
              <w:t>5</w:t>
            </w:r>
          </w:p>
        </w:tc>
        <w:tc>
          <w:tcPr>
            <w:tcW w:w="2409" w:type="dxa"/>
          </w:tcPr>
          <w:p w:rsidR="00C33354" w:rsidRDefault="00CB2156">
            <w:pPr>
              <w:pStyle w:val="TableBody"/>
            </w:pPr>
            <w:r>
              <w:t>9-</w:t>
            </w:r>
            <w:r w:rsidR="00C11D2F">
              <w:t>19</w:t>
            </w:r>
          </w:p>
        </w:tc>
        <w:tc>
          <w:tcPr>
            <w:tcW w:w="2121" w:type="dxa"/>
            <w:gridSpan w:val="2"/>
          </w:tcPr>
          <w:p w:rsidR="004E33C9" w:rsidRDefault="00CB2156" w:rsidP="004E33C9">
            <w:pPr>
              <w:pStyle w:val="TableBody"/>
            </w:pPr>
            <w:r>
              <w:t>9-</w:t>
            </w:r>
            <w:r w:rsidR="004E33C9">
              <w:t>13</w:t>
            </w:r>
            <w:r w:rsidR="00AF5E68">
              <w:t>A</w:t>
            </w:r>
            <w:r w:rsidR="001B6184">
              <w:t>, 9-14A</w:t>
            </w:r>
          </w:p>
          <w:p w:rsidR="007774F6" w:rsidRDefault="00CB2156" w:rsidP="004E33C9">
            <w:pPr>
              <w:pStyle w:val="TableBody"/>
            </w:pPr>
            <w:r>
              <w:t>9-</w:t>
            </w:r>
            <w:r w:rsidR="00040D85">
              <w:t>13B</w:t>
            </w:r>
            <w:r w:rsidR="00D77033">
              <w:t xml:space="preserve">, </w:t>
            </w:r>
            <w:r>
              <w:t>9-</w:t>
            </w:r>
            <w:r w:rsidR="00D77033">
              <w:t>1</w:t>
            </w:r>
            <w:r w:rsidR="00EC2A1A">
              <w:t>4</w:t>
            </w:r>
            <w:r w:rsidR="00D77033">
              <w:t>B</w:t>
            </w:r>
            <w:r w:rsidR="00EC2A1A">
              <w:t>, 9-16B.</w:t>
            </w:r>
          </w:p>
        </w:tc>
      </w:tr>
      <w:tr w:rsidR="00917AC7" w:rsidTr="008461B0">
        <w:trPr>
          <w:gridBefore w:val="1"/>
          <w:wBefore w:w="167" w:type="dxa"/>
        </w:trPr>
        <w:tc>
          <w:tcPr>
            <w:tcW w:w="4587" w:type="dxa"/>
          </w:tcPr>
          <w:p w:rsidR="00C33354" w:rsidRDefault="00225B7A" w:rsidP="00225B7A">
            <w:pPr>
              <w:pStyle w:val="BodyText"/>
              <w:numPr>
                <w:ilvl w:val="0"/>
                <w:numId w:val="12"/>
              </w:numPr>
              <w:jc w:val="left"/>
            </w:pPr>
            <w:r>
              <w:t>Account for asset disposal through discarding,</w:t>
            </w:r>
            <w:r w:rsidR="00DC7B77">
              <w:t xml:space="preserve"> selling or exchanging an asset</w:t>
            </w:r>
            <w:r w:rsidR="00C33354">
              <w:t xml:space="preserve">. </w:t>
            </w:r>
          </w:p>
        </w:tc>
        <w:tc>
          <w:tcPr>
            <w:tcW w:w="2056" w:type="dxa"/>
          </w:tcPr>
          <w:p w:rsidR="00C33354" w:rsidRDefault="00CB2156">
            <w:pPr>
              <w:pStyle w:val="TableBody"/>
            </w:pPr>
            <w:r>
              <w:t>9-</w:t>
            </w:r>
            <w:r w:rsidR="0058421E">
              <w:t>16</w:t>
            </w:r>
            <w:r w:rsidR="00E43CAF">
              <w:t xml:space="preserve">, </w:t>
            </w:r>
            <w:r>
              <w:t>9-</w:t>
            </w:r>
            <w:r w:rsidR="00E43CAF">
              <w:t>17</w:t>
            </w:r>
            <w:r w:rsidR="00FE7D5F">
              <w:t>, 9-18</w:t>
            </w:r>
            <w:r w:rsidR="005568EE">
              <w:t>.</w:t>
            </w:r>
          </w:p>
        </w:tc>
        <w:tc>
          <w:tcPr>
            <w:tcW w:w="2409" w:type="dxa"/>
          </w:tcPr>
          <w:p w:rsidR="00C33354" w:rsidRDefault="00CB2156">
            <w:pPr>
              <w:pStyle w:val="TableBody"/>
            </w:pPr>
            <w:r>
              <w:t>9-</w:t>
            </w:r>
            <w:r w:rsidR="00C11D2F">
              <w:t xml:space="preserve">20, </w:t>
            </w:r>
            <w:r>
              <w:t>9-</w:t>
            </w:r>
            <w:r w:rsidR="00C11D2F">
              <w:t xml:space="preserve">21, </w:t>
            </w:r>
            <w:r>
              <w:t>9-</w:t>
            </w:r>
            <w:r w:rsidR="00C11D2F">
              <w:t xml:space="preserve">22, </w:t>
            </w:r>
            <w:r>
              <w:t>9-</w:t>
            </w:r>
            <w:r w:rsidR="00C11D2F">
              <w:t xml:space="preserve">23, </w:t>
            </w:r>
            <w:r>
              <w:t>9-</w:t>
            </w:r>
            <w:r w:rsidR="00C11D2F">
              <w:t>24</w:t>
            </w:r>
            <w:r w:rsidR="00167ACE">
              <w:t>, 9-29</w:t>
            </w:r>
            <w:r w:rsidR="005568EE">
              <w:t>.</w:t>
            </w:r>
          </w:p>
        </w:tc>
        <w:tc>
          <w:tcPr>
            <w:tcW w:w="2121" w:type="dxa"/>
            <w:gridSpan w:val="2"/>
          </w:tcPr>
          <w:p w:rsidR="007774F6" w:rsidRDefault="00CB2156">
            <w:pPr>
              <w:pStyle w:val="TableBody"/>
            </w:pPr>
            <w:r>
              <w:t>9-</w:t>
            </w:r>
            <w:r w:rsidR="004E33C9">
              <w:t xml:space="preserve">14A, </w:t>
            </w:r>
            <w:r>
              <w:t>9-</w:t>
            </w:r>
            <w:r w:rsidR="004E33C9">
              <w:t xml:space="preserve">15A, </w:t>
            </w:r>
            <w:r>
              <w:t>9-</w:t>
            </w:r>
            <w:r w:rsidR="004E33C9">
              <w:t xml:space="preserve">16A, </w:t>
            </w:r>
            <w:r>
              <w:t>9-</w:t>
            </w:r>
            <w:r w:rsidR="004E33C9">
              <w:t xml:space="preserve">17A, </w:t>
            </w:r>
            <w:r w:rsidR="00515AF4">
              <w:t xml:space="preserve">9-18A, </w:t>
            </w:r>
            <w:r>
              <w:t>9-</w:t>
            </w:r>
            <w:r w:rsidR="004E33C9">
              <w:t>19A</w:t>
            </w:r>
            <w:r w:rsidR="00515AF4">
              <w:t>, 9-20A.</w:t>
            </w:r>
          </w:p>
          <w:p w:rsidR="004E33C9" w:rsidRDefault="00CB2156">
            <w:pPr>
              <w:pStyle w:val="TableBody"/>
            </w:pPr>
            <w:r>
              <w:t>9-</w:t>
            </w:r>
            <w:r w:rsidR="00D77033">
              <w:t xml:space="preserve">14B, </w:t>
            </w:r>
            <w:r>
              <w:t>9-</w:t>
            </w:r>
            <w:r w:rsidR="00040D85">
              <w:t>1</w:t>
            </w:r>
            <w:r w:rsidR="00EC2A1A">
              <w:t>5</w:t>
            </w:r>
            <w:r w:rsidR="00040D85">
              <w:t xml:space="preserve">B, </w:t>
            </w:r>
            <w:r>
              <w:t>9-</w:t>
            </w:r>
            <w:r w:rsidR="00040D85">
              <w:t xml:space="preserve">17B, </w:t>
            </w:r>
            <w:r w:rsidR="00EC2A1A">
              <w:lastRenderedPageBreak/>
              <w:t xml:space="preserve">9-18B, </w:t>
            </w:r>
            <w:r>
              <w:t>9-</w:t>
            </w:r>
            <w:r w:rsidR="00040D85">
              <w:t>19B</w:t>
            </w:r>
            <w:r w:rsidR="00EC2A1A">
              <w:t>, 9-20B</w:t>
            </w:r>
            <w:r w:rsidR="005568EE">
              <w:t>.</w:t>
            </w:r>
          </w:p>
        </w:tc>
      </w:tr>
      <w:tr w:rsidR="00917AC7" w:rsidTr="008461B0">
        <w:trPr>
          <w:gridBefore w:val="1"/>
          <w:wBefore w:w="167" w:type="dxa"/>
          <w:trHeight w:val="750"/>
        </w:trPr>
        <w:tc>
          <w:tcPr>
            <w:tcW w:w="4587" w:type="dxa"/>
          </w:tcPr>
          <w:p w:rsidR="00C33354" w:rsidRDefault="00C33354" w:rsidP="0074674E">
            <w:pPr>
              <w:pStyle w:val="BodyText"/>
              <w:numPr>
                <w:ilvl w:val="0"/>
                <w:numId w:val="12"/>
              </w:numPr>
              <w:jc w:val="left"/>
            </w:pPr>
            <w:r>
              <w:lastRenderedPageBreak/>
              <w:t xml:space="preserve">Account for intangible assets and their </w:t>
            </w:r>
            <w:r w:rsidR="00DC7B77">
              <w:t>amortization</w:t>
            </w:r>
            <w:r>
              <w:t>.</w:t>
            </w:r>
          </w:p>
        </w:tc>
        <w:tc>
          <w:tcPr>
            <w:tcW w:w="2056" w:type="dxa"/>
          </w:tcPr>
          <w:p w:rsidR="00C33354" w:rsidRDefault="00CB2156">
            <w:pPr>
              <w:pStyle w:val="TableBody"/>
            </w:pPr>
            <w:r>
              <w:t>9-</w:t>
            </w:r>
            <w:r w:rsidR="00E43CAF">
              <w:t>19</w:t>
            </w:r>
          </w:p>
        </w:tc>
        <w:tc>
          <w:tcPr>
            <w:tcW w:w="2409" w:type="dxa"/>
          </w:tcPr>
          <w:p w:rsidR="00C33354" w:rsidRDefault="00CB2156" w:rsidP="00C11D2F">
            <w:pPr>
              <w:pStyle w:val="TableBody"/>
            </w:pPr>
            <w:r>
              <w:t>9-</w:t>
            </w:r>
            <w:r w:rsidR="00C11D2F">
              <w:t xml:space="preserve">25, </w:t>
            </w:r>
            <w:r>
              <w:t>9-</w:t>
            </w:r>
            <w:r w:rsidR="00AF5E68">
              <w:t>2</w:t>
            </w:r>
            <w:r w:rsidR="00E43CAF">
              <w:t xml:space="preserve">6, </w:t>
            </w:r>
            <w:r>
              <w:t>9-</w:t>
            </w:r>
            <w:r w:rsidR="00E43CAF">
              <w:t xml:space="preserve">27, </w:t>
            </w:r>
            <w:r>
              <w:t>9-</w:t>
            </w:r>
            <w:r w:rsidR="00E43CAF">
              <w:t>28</w:t>
            </w:r>
          </w:p>
        </w:tc>
        <w:tc>
          <w:tcPr>
            <w:tcW w:w="2121" w:type="dxa"/>
            <w:gridSpan w:val="2"/>
          </w:tcPr>
          <w:p w:rsidR="00C33354" w:rsidRDefault="00CB2156">
            <w:pPr>
              <w:pStyle w:val="TableBody"/>
            </w:pPr>
            <w:r>
              <w:t>9-</w:t>
            </w:r>
            <w:r w:rsidR="00C11D2F">
              <w:t>19A</w:t>
            </w:r>
            <w:r w:rsidR="00515AF4">
              <w:t>, 9-20A</w:t>
            </w:r>
          </w:p>
          <w:p w:rsidR="007774F6" w:rsidRDefault="00CB2156" w:rsidP="004E33C9">
            <w:pPr>
              <w:pStyle w:val="TableBody"/>
            </w:pPr>
            <w:r>
              <w:t>9-</w:t>
            </w:r>
            <w:r w:rsidR="00040D85">
              <w:t>19B</w:t>
            </w:r>
            <w:r w:rsidR="00EC2A1A">
              <w:t>, 9-20B</w:t>
            </w:r>
          </w:p>
        </w:tc>
      </w:tr>
      <w:tr w:rsidR="00917AC7" w:rsidTr="008461B0">
        <w:trPr>
          <w:gridBefore w:val="1"/>
          <w:wBefore w:w="167" w:type="dxa"/>
        </w:trPr>
        <w:tc>
          <w:tcPr>
            <w:tcW w:w="4587" w:type="dxa"/>
          </w:tcPr>
          <w:p w:rsidR="00C33354" w:rsidRDefault="00225B7A" w:rsidP="00A64025">
            <w:pPr>
              <w:pStyle w:val="BodyText"/>
              <w:numPr>
                <w:ilvl w:val="0"/>
                <w:numId w:val="12"/>
              </w:numPr>
              <w:jc w:val="left"/>
            </w:pPr>
            <w:r>
              <w:t>*</w:t>
            </w:r>
            <w:r w:rsidR="00DC7B77">
              <w:t xml:space="preserve">Appendix </w:t>
            </w:r>
            <w:r w:rsidR="009C0EC4">
              <w:t>9</w:t>
            </w:r>
            <w:r w:rsidR="00DC7B77">
              <w:t xml:space="preserve">A - </w:t>
            </w:r>
            <w:r w:rsidR="00A64025" w:rsidRPr="00A64025">
              <w:t xml:space="preserve">Explain and calculate revised depreciation when there is a betterment that creates partial-period </w:t>
            </w:r>
            <w:r w:rsidR="008461B0" w:rsidRPr="00A64025">
              <w:t>depreciation.</w:t>
            </w:r>
            <w:r w:rsidR="00DC7B77">
              <w:t xml:space="preserve"> </w:t>
            </w:r>
          </w:p>
        </w:tc>
        <w:tc>
          <w:tcPr>
            <w:tcW w:w="2056" w:type="dxa"/>
          </w:tcPr>
          <w:p w:rsidR="00C33354" w:rsidRDefault="00CB2156">
            <w:pPr>
              <w:pStyle w:val="TableBody"/>
            </w:pPr>
            <w:r>
              <w:t>9-</w:t>
            </w:r>
            <w:r w:rsidR="00E43CAF">
              <w:t>20</w:t>
            </w:r>
          </w:p>
        </w:tc>
        <w:tc>
          <w:tcPr>
            <w:tcW w:w="2409" w:type="dxa"/>
          </w:tcPr>
          <w:p w:rsidR="00C33354" w:rsidRDefault="00CB2156" w:rsidP="00C11D2F">
            <w:pPr>
              <w:pStyle w:val="TableBody"/>
            </w:pPr>
            <w:r>
              <w:t>9-</w:t>
            </w:r>
            <w:r w:rsidR="00C11D2F">
              <w:t>29</w:t>
            </w:r>
            <w:r w:rsidR="00167ACE">
              <w:t>, 9-30</w:t>
            </w:r>
          </w:p>
        </w:tc>
        <w:tc>
          <w:tcPr>
            <w:tcW w:w="2121" w:type="dxa"/>
            <w:gridSpan w:val="2"/>
          </w:tcPr>
          <w:p w:rsidR="00C33354" w:rsidRDefault="00CB2156">
            <w:pPr>
              <w:pStyle w:val="TableBody"/>
            </w:pPr>
            <w:r>
              <w:t>9-</w:t>
            </w:r>
            <w:r w:rsidR="00C11D2F">
              <w:t>20A</w:t>
            </w:r>
            <w:r w:rsidR="00515AF4">
              <w:t>, 9-21A</w:t>
            </w:r>
          </w:p>
          <w:p w:rsidR="00040D85" w:rsidRDefault="00CB2156">
            <w:pPr>
              <w:pStyle w:val="TableBody"/>
            </w:pPr>
            <w:r>
              <w:t>9-</w:t>
            </w:r>
            <w:r w:rsidR="00040D85">
              <w:t>20B</w:t>
            </w:r>
            <w:r w:rsidR="00EC2A1A">
              <w:t>, 9-21B.</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Height w:val="558"/>
          <w:tblHeader/>
        </w:trPr>
        <w:tc>
          <w:tcPr>
            <w:tcW w:w="10145" w:type="dxa"/>
            <w:gridSpan w:val="5"/>
            <w:tcBorders>
              <w:top w:val="nil"/>
              <w:left w:val="nil"/>
              <w:bottom w:val="nil"/>
            </w:tcBorders>
          </w:tcPr>
          <w:p w:rsidR="007F626F" w:rsidRDefault="00366BE8" w:rsidP="00366BE8">
            <w:pPr>
              <w:pStyle w:val="Heading1"/>
            </w:pPr>
            <w:r>
              <w:lastRenderedPageBreak/>
              <w:t>Learning Objective</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Pr="009B1FE5" w:rsidRDefault="00FE1D20" w:rsidP="00335596">
            <w:pPr>
              <w:pStyle w:val="Heading1"/>
            </w:pPr>
            <w:r w:rsidRPr="00FE1D20">
              <w:t>Property, Plant, and Equipment (PPE)</w:t>
            </w:r>
            <w:r w:rsidRPr="00FE1D20" w:rsidDel="00FE1D20">
              <w:t xml:space="preserve"> </w:t>
            </w:r>
            <w:r w:rsidR="007F626F">
              <w:t>(LO1)</w:t>
            </w:r>
          </w:p>
          <w:p w:rsidR="00D551FA" w:rsidRDefault="00D551FA" w:rsidP="00335596">
            <w:pPr>
              <w:pStyle w:val="Outline1"/>
              <w:numPr>
                <w:ilvl w:val="0"/>
                <w:numId w:val="0"/>
              </w:numPr>
              <w:tabs>
                <w:tab w:val="clear" w:pos="1080"/>
              </w:tabs>
              <w:ind w:left="720"/>
            </w:pPr>
            <w:r w:rsidRPr="00D551FA">
              <w:t xml:space="preserve">Non-current assets that are used in the operations of a business and have a useful life of more than one accounting period are divided into three groups: </w:t>
            </w:r>
          </w:p>
          <w:p w:rsidR="00D551FA" w:rsidRDefault="00D551FA" w:rsidP="00335596">
            <w:pPr>
              <w:pStyle w:val="Outline1"/>
              <w:numPr>
                <w:ilvl w:val="0"/>
                <w:numId w:val="0"/>
              </w:numPr>
              <w:tabs>
                <w:tab w:val="clear" w:pos="1080"/>
              </w:tabs>
              <w:ind w:left="720"/>
            </w:pPr>
          </w:p>
          <w:p w:rsidR="00D551FA" w:rsidRDefault="00D551FA" w:rsidP="004062E7">
            <w:pPr>
              <w:pStyle w:val="Outline1"/>
              <w:numPr>
                <w:ilvl w:val="0"/>
                <w:numId w:val="34"/>
              </w:numPr>
              <w:tabs>
                <w:tab w:val="clear" w:pos="1080"/>
              </w:tabs>
            </w:pPr>
            <w:r w:rsidRPr="00D551FA">
              <w:t>Tangible assets known as property, plant, and equipment</w:t>
            </w:r>
          </w:p>
          <w:p w:rsidR="00D551FA" w:rsidRDefault="00D551FA" w:rsidP="004062E7">
            <w:pPr>
              <w:pStyle w:val="Outline1"/>
              <w:numPr>
                <w:ilvl w:val="0"/>
                <w:numId w:val="34"/>
              </w:numPr>
              <w:tabs>
                <w:tab w:val="clear" w:pos="1080"/>
              </w:tabs>
            </w:pPr>
            <w:r w:rsidRPr="00D551FA">
              <w:t>Intangible assets</w:t>
            </w:r>
          </w:p>
          <w:p w:rsidR="00D551FA" w:rsidRDefault="00D551FA" w:rsidP="004062E7">
            <w:pPr>
              <w:pStyle w:val="Outline1"/>
              <w:numPr>
                <w:ilvl w:val="0"/>
                <w:numId w:val="34"/>
              </w:numPr>
              <w:tabs>
                <w:tab w:val="clear" w:pos="1080"/>
              </w:tabs>
            </w:pPr>
            <w:r>
              <w:t>Goodwill</w:t>
            </w:r>
          </w:p>
          <w:p w:rsidR="005568EE" w:rsidRDefault="007F626F" w:rsidP="00335596">
            <w:pPr>
              <w:pStyle w:val="Outline1"/>
              <w:numPr>
                <w:ilvl w:val="0"/>
                <w:numId w:val="0"/>
              </w:numPr>
              <w:tabs>
                <w:tab w:val="clear" w:pos="1080"/>
              </w:tabs>
              <w:ind w:left="720"/>
            </w:pPr>
            <w:r w:rsidRPr="009B1FE5">
              <w:t xml:space="preserve"> </w:t>
            </w:r>
          </w:p>
          <w:p w:rsidR="00335596" w:rsidRDefault="007F626F" w:rsidP="00335596">
            <w:pPr>
              <w:pStyle w:val="Outline1"/>
              <w:numPr>
                <w:ilvl w:val="0"/>
                <w:numId w:val="0"/>
              </w:numPr>
              <w:tabs>
                <w:tab w:val="clear" w:pos="1080"/>
              </w:tabs>
              <w:ind w:left="720"/>
            </w:pPr>
            <w:r w:rsidRPr="009B1FE5">
              <w:t>A</w:t>
            </w:r>
            <w:r>
              <w:t xml:space="preserve">ssets used in the operations to help generate revenue and have a useful life of more than one accounting period are </w:t>
            </w:r>
            <w:r w:rsidR="00335596">
              <w:t>property, plant and equipment.</w:t>
            </w:r>
          </w:p>
          <w:p w:rsidR="00335596" w:rsidRDefault="007F626F" w:rsidP="00335596">
            <w:pPr>
              <w:pStyle w:val="Outline1"/>
              <w:numPr>
                <w:ilvl w:val="0"/>
                <w:numId w:val="0"/>
              </w:numPr>
              <w:tabs>
                <w:tab w:val="clear" w:pos="1080"/>
              </w:tabs>
              <w:ind w:left="720"/>
            </w:pPr>
            <w:r>
              <w:t xml:space="preserve">  </w:t>
            </w:r>
          </w:p>
          <w:p w:rsidR="007F626F" w:rsidRDefault="00D551FA" w:rsidP="00766215">
            <w:pPr>
              <w:pStyle w:val="Outline2"/>
            </w:pPr>
            <w:r w:rsidRPr="00D551FA">
              <w:rPr>
                <w:b/>
              </w:rPr>
              <w:t>Cost of PPE</w:t>
            </w:r>
            <w:r w:rsidR="005568EE">
              <w:rPr>
                <w:b/>
              </w:rPr>
              <w:t xml:space="preserve"> is </w:t>
            </w:r>
            <w:r w:rsidR="005568EE">
              <w:t>c</w:t>
            </w:r>
            <w:r w:rsidR="007F626F">
              <w:t xml:space="preserve">onsistent with cost principle, property, plant and equipment are recorded at cost.  Cost includes all normal and reasonable expenditures necessary to get the asset in place and ready for its intended use.  </w:t>
            </w:r>
          </w:p>
          <w:p w:rsidR="007F626F" w:rsidRDefault="007F626F" w:rsidP="00766215">
            <w:pPr>
              <w:pStyle w:val="Outline2"/>
            </w:pPr>
            <w:r>
              <w:t xml:space="preserve">Subsequent expenditures may be incurred after an asset is placed in service.  </w:t>
            </w:r>
            <w:r w:rsidRPr="00440B9F">
              <w:rPr>
                <w:i/>
                <w:iCs/>
              </w:rPr>
              <w:t>Capital expenditures</w:t>
            </w:r>
            <w:r>
              <w:t xml:space="preserve"> are costs of PPE that provide material benefits extending beyond the current period.  They are debited to PPE accounts and appear on the balance sheet. </w:t>
            </w:r>
            <w:r>
              <w:rPr>
                <w:i/>
                <w:iCs/>
              </w:rPr>
              <w:t>Revenue expenditures</w:t>
            </w:r>
            <w:r>
              <w:t xml:space="preserve"> are normal costs incurred to keep an asset in its normal running condition.  They are expense</w:t>
            </w:r>
            <w:r w:rsidR="001D6A19">
              <w:t>s</w:t>
            </w:r>
            <w:r>
              <w:t xml:space="preserve"> </w:t>
            </w:r>
            <w:r w:rsidR="00530442">
              <w:t>and would</w:t>
            </w:r>
            <w:r>
              <w:t xml:space="preserve"> appear on the income statement.  </w:t>
            </w:r>
          </w:p>
          <w:p w:rsidR="009F0708" w:rsidRDefault="009F0708" w:rsidP="004062E7">
            <w:pPr>
              <w:pStyle w:val="Outline2"/>
              <w:numPr>
                <w:ilvl w:val="0"/>
                <w:numId w:val="0"/>
              </w:numPr>
              <w:ind w:left="720"/>
            </w:pPr>
            <w:r>
              <w:lastRenderedPageBreak/>
              <w:fldChar w:fldCharType="begin"/>
            </w:r>
            <w:r>
              <w:instrText xml:space="preserve"> INCLUDEPICTURE "http://textflow.mheducation.com/figures/125910575x/ch09-ex02_lg.jpg" \* MERGEFORMATINET </w:instrText>
            </w:r>
            <w:r>
              <w:fldChar w:fldCharType="separate"/>
            </w:r>
            <w:r w:rsidR="00840E67">
              <w:fldChar w:fldCharType="begin"/>
            </w:r>
            <w:r w:rsidR="00840E67">
              <w:instrText xml:space="preserve"> INCLUDEPICTURE  "http://textflow.mheducation.com/figures/125910575x/ch09-ex02_lg.jpg" \* MERGEFORMATINET </w:instrText>
            </w:r>
            <w:r w:rsidR="00840E67">
              <w:fldChar w:fldCharType="separate"/>
            </w:r>
            <w:r w:rsidR="008461B0">
              <w:fldChar w:fldCharType="begin"/>
            </w:r>
            <w:r w:rsidR="008461B0">
              <w:instrText xml:space="preserve"> </w:instrText>
            </w:r>
            <w:r w:rsidR="008461B0">
              <w:instrText>INCLUDEPICTURE  "http://textflow.mheducation.com/figures/125910575x/ch09-ex02_lg.jpg" \* MERGEFORMATINET</w:instrText>
            </w:r>
            <w:r w:rsidR="008461B0">
              <w:instrText xml:space="preserve"> </w:instrText>
            </w:r>
            <w:r w:rsidR="008461B0">
              <w:fldChar w:fldCharType="separate"/>
            </w:r>
            <w:r w:rsidR="008461B0">
              <w:pict>
                <v:shape id="_x0000_i1026" type="#_x0000_t75" alt="" style="width:322.5pt;height:527.25pt">
                  <v:imagedata r:id="rId9" r:href="rId10"/>
                </v:shape>
              </w:pict>
            </w:r>
            <w:r w:rsidR="008461B0">
              <w:fldChar w:fldCharType="end"/>
            </w:r>
            <w:r w:rsidR="00840E67">
              <w:fldChar w:fldCharType="end"/>
            </w:r>
            <w:r>
              <w:fldChar w:fldCharType="end"/>
            </w:r>
          </w:p>
          <w:p w:rsidR="007F626F" w:rsidRDefault="007F626F" w:rsidP="00766215">
            <w:pPr>
              <w:pStyle w:val="Outline2"/>
            </w:pPr>
            <w:r>
              <w:t xml:space="preserve">Subsidiary ledgers may be kept for maintaining control of large numbers of assets.  Low cost asset purchases are usually expensed under the materiality principle.  </w:t>
            </w:r>
          </w:p>
          <w:p w:rsidR="007F626F" w:rsidRDefault="007F626F" w:rsidP="00766215">
            <w:pPr>
              <w:pStyle w:val="Outline2"/>
            </w:pPr>
            <w:r>
              <w:t xml:space="preserve">Low cost assets may be expensed (treated as revenue expenditures) under the </w:t>
            </w:r>
            <w:r w:rsidRPr="00766215">
              <w:rPr>
                <w:i/>
              </w:rPr>
              <w:t>materiality principle</w:t>
            </w:r>
            <w:r>
              <w:t>.</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530442" w:rsidRPr="00530442" w:rsidRDefault="007F626F" w:rsidP="00530442">
            <w:pPr>
              <w:pStyle w:val="Outline2"/>
              <w:rPr>
                <w:b/>
              </w:rPr>
            </w:pPr>
            <w:r>
              <w:lastRenderedPageBreak/>
              <w:t>Land purchased as a building site—cost includes purchase price, commissions, title insurance, legal fees, accrued property taxes, surveying, clearing, landscaping, and local government assessments (current or future) for streets, sewers, etc.  Also includes cost of removal of any existing structures (less proceeds from sale of residual material</w:t>
            </w:r>
          </w:p>
          <w:p w:rsidR="007F626F" w:rsidRDefault="007F626F" w:rsidP="00530442">
            <w:pPr>
              <w:pStyle w:val="Outline2"/>
              <w:rPr>
                <w:b/>
              </w:rPr>
            </w:pPr>
            <w:r>
              <w:t>Land Improvements—Costs that increase the usefulness of the land.</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pPr>
              <w:pStyle w:val="Outline3"/>
            </w:pPr>
            <w:r>
              <w:t xml:space="preserve">Examples: parking lot surfaces, driveways, fences, and lighting systems have limited </w:t>
            </w:r>
            <w:r>
              <w:lastRenderedPageBreak/>
              <w:t xml:space="preserve">useful lives. </w:t>
            </w:r>
          </w:p>
          <w:p w:rsidR="007F626F" w:rsidRDefault="007F626F">
            <w:pPr>
              <w:pStyle w:val="Outline3"/>
            </w:pPr>
            <w:r>
              <w:t>Costs are charged to a separate Land Improvement account.</w:t>
            </w:r>
          </w:p>
          <w:p w:rsidR="007F626F" w:rsidRDefault="007F626F" w:rsidP="00530442">
            <w:pPr>
              <w:pStyle w:val="Outline3"/>
              <w:rPr>
                <w:b/>
              </w:rPr>
            </w:pPr>
            <w:r>
              <w:t>Costs are allocated to the periods they benefit</w:t>
            </w:r>
            <w:r w:rsidR="00530442">
              <w:t xml:space="preserve"> through depreciation.</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pPr>
              <w:pStyle w:val="Outline2"/>
              <w:rPr>
                <w:b/>
              </w:rPr>
            </w:pPr>
            <w:r>
              <w:lastRenderedPageBreak/>
              <w:t>Buildings</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pPr>
              <w:pStyle w:val="Outline3"/>
            </w:pPr>
            <w:r>
              <w:t xml:space="preserve">If purchased—Cost usually include its purchase price, brokerage fees, taxes, title fees, attorney costs, and all expenditures to make it ready for its intended use. </w:t>
            </w:r>
            <w:r w:rsidR="008461B0">
              <w:t>(any</w:t>
            </w:r>
            <w:r>
              <w:t xml:space="preserve"> necessary repairs or renovations such as wiring, lighting, flooring and wall coverings).</w:t>
            </w:r>
          </w:p>
          <w:p w:rsidR="007F626F" w:rsidRDefault="007F626F">
            <w:pPr>
              <w:pStyle w:val="Outline3"/>
              <w:rPr>
                <w:b/>
              </w:rPr>
            </w:pPr>
            <w:r>
              <w:t>If constructed for own use—Costs includes materials and labour plus a reasonable amount of indirect overhead cost (heat, lighting, power, and depreciation on machinery used to construct the asset). Cost also includes design fees, building permits, and insurance during construction.</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pPr>
              <w:pStyle w:val="Outline2"/>
            </w:pPr>
            <w:r>
              <w:t>Leasehold improvements are alterations or improvements made to leased</w:t>
            </w:r>
            <w:r w:rsidR="00985064">
              <w:t xml:space="preserve"> </w:t>
            </w:r>
            <w:r>
              <w:t xml:space="preserve">property.  Leasehold improvements become part of the property and revert to the lessor at the end of the lease.  These amounts are </w:t>
            </w:r>
            <w:r w:rsidR="00530442">
              <w:t>depreciate</w:t>
            </w:r>
            <w:r>
              <w:t>d over the life of the lease or life of the improvements, whichever is less.</w:t>
            </w:r>
          </w:p>
          <w:p w:rsidR="007F626F" w:rsidRDefault="007F626F">
            <w:pPr>
              <w:pStyle w:val="Outline2"/>
            </w:pPr>
            <w:r>
              <w:t>Machinery and Equipment—costs include all normal and necessary expenditures to purchase them and prepare them for their intended use (purchase price, taxes, transportation charges, insurance while in transit, and the installing, assembling and testing of machinery and equipment).</w:t>
            </w:r>
          </w:p>
          <w:p w:rsidR="007F626F" w:rsidRDefault="007F626F" w:rsidP="007C1D68">
            <w:pPr>
              <w:pStyle w:val="Outline2"/>
              <w:rPr>
                <w:b/>
              </w:rPr>
            </w:pPr>
            <w:r>
              <w:t>Lump-Sum Purchase—a group of property, plant and equipment purchased with a single transaction for a lump-sum price. Individual asset cost determined by allocating the cost of the purchase among the different types of assets acquired based on their relative values</w:t>
            </w:r>
            <w:r>
              <w:rPr>
                <w:i/>
              </w:rPr>
              <w:t>.</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335596" w:rsidRDefault="00335596" w:rsidP="00C00D56">
            <w:pPr>
              <w:pStyle w:val="Outline1"/>
              <w:numPr>
                <w:ilvl w:val="0"/>
                <w:numId w:val="0"/>
              </w:numPr>
              <w:ind w:left="540"/>
              <w:rPr>
                <w:b/>
              </w:rPr>
            </w:pPr>
          </w:p>
          <w:p w:rsidR="00335596" w:rsidRDefault="007F626F" w:rsidP="00335596">
            <w:pPr>
              <w:pStyle w:val="Heading1"/>
            </w:pPr>
            <w:r>
              <w:t>Depreciation</w:t>
            </w:r>
            <w:r w:rsidR="00352FAD">
              <w:t xml:space="preserve"> </w:t>
            </w:r>
            <w:r>
              <w:t>(LO2)</w:t>
            </w:r>
          </w:p>
          <w:p w:rsidR="007F626F" w:rsidRDefault="00335596" w:rsidP="00C00D56">
            <w:pPr>
              <w:pStyle w:val="Outline1"/>
              <w:numPr>
                <w:ilvl w:val="0"/>
                <w:numId w:val="0"/>
              </w:numPr>
              <w:ind w:left="540"/>
            </w:pPr>
            <w:r>
              <w:t>The</w:t>
            </w:r>
            <w:r w:rsidR="007F626F">
              <w:t xml:space="preserve"> process of allocating to expense the cost of a capital asset to the accounting periods benefiting from its use.  Recorded as a debit to Depreciation Expense and a credit to Accumulated Depreciation.</w:t>
            </w:r>
          </w:p>
          <w:p w:rsidR="00335596" w:rsidRDefault="00335596" w:rsidP="00C00D56">
            <w:pPr>
              <w:pStyle w:val="Outline1"/>
              <w:numPr>
                <w:ilvl w:val="0"/>
                <w:numId w:val="0"/>
              </w:numPr>
              <w:ind w:left="540"/>
              <w:rPr>
                <w:b/>
              </w:rPr>
            </w:pP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581887" w:rsidP="00581887">
            <w:pPr>
              <w:pStyle w:val="Outline2"/>
              <w:numPr>
                <w:ilvl w:val="0"/>
                <w:numId w:val="0"/>
              </w:numPr>
              <w:ind w:left="720"/>
              <w:rPr>
                <w:b/>
              </w:rPr>
            </w:pPr>
            <w:r>
              <w:t xml:space="preserve">A. </w:t>
            </w:r>
            <w:r w:rsidR="007F626F">
              <w:t>Factors in Computing Depreciation</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pPr>
              <w:pStyle w:val="Outline3"/>
            </w:pPr>
            <w:r>
              <w:t>Cost—described above.</w:t>
            </w:r>
          </w:p>
          <w:p w:rsidR="007F626F" w:rsidRDefault="007F626F">
            <w:pPr>
              <w:pStyle w:val="Outline3"/>
            </w:pPr>
            <w:r>
              <w:t>Residual value</w:t>
            </w:r>
            <w:r w:rsidR="008461B0">
              <w:t>— (</w:t>
            </w:r>
            <w:r w:rsidR="00352FAD">
              <w:rPr>
                <w:i/>
              </w:rPr>
              <w:t>residual</w:t>
            </w:r>
            <w:r w:rsidRPr="00CE7DB2">
              <w:rPr>
                <w:i/>
              </w:rPr>
              <w:t xml:space="preserve"> </w:t>
            </w:r>
            <w:r w:rsidR="008461B0">
              <w:rPr>
                <w:i/>
              </w:rPr>
              <w:t>value</w:t>
            </w:r>
            <w:r w:rsidR="008461B0">
              <w:t>)</w:t>
            </w:r>
            <w:r>
              <w:t xml:space="preserve"> an estimate of the asset</w:t>
            </w:r>
            <w:r w:rsidR="00581887">
              <w:t>’</w:t>
            </w:r>
            <w:r>
              <w:t>s value at the end of its benefit period.</w:t>
            </w:r>
          </w:p>
          <w:p w:rsidR="007F626F" w:rsidRDefault="007F626F">
            <w:pPr>
              <w:pStyle w:val="Outline3"/>
            </w:pPr>
            <w:r>
              <w:t>Useful life</w:t>
            </w:r>
            <w:r w:rsidR="008461B0">
              <w:t>— (</w:t>
            </w:r>
            <w:r>
              <w:rPr>
                <w:i/>
              </w:rPr>
              <w:t>service life</w:t>
            </w:r>
            <w:r>
              <w:t>) length of time the asset is expected to be productively used in a company</w:t>
            </w:r>
            <w:r w:rsidR="00581887">
              <w:t>’</w:t>
            </w:r>
            <w:r>
              <w:t>s operations. Factors affecting useful life include:</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pPr>
              <w:pStyle w:val="Outline3"/>
              <w:numPr>
                <w:ilvl w:val="3"/>
                <w:numId w:val="8"/>
              </w:numPr>
            </w:pPr>
            <w:r>
              <w:rPr>
                <w:i/>
              </w:rPr>
              <w:t>Inadequacy—</w:t>
            </w:r>
            <w:r>
              <w:t>a</w:t>
            </w:r>
            <w:r>
              <w:rPr>
                <w:i/>
              </w:rPr>
              <w:t xml:space="preserve"> </w:t>
            </w:r>
            <w:r>
              <w:t>condition in which the capacity of property, plant and equipment becomes too small for the productive demands of the business.</w:t>
            </w:r>
          </w:p>
          <w:p w:rsidR="00335596" w:rsidRDefault="007F626F" w:rsidP="00835EA4">
            <w:pPr>
              <w:pStyle w:val="Outline3"/>
              <w:numPr>
                <w:ilvl w:val="3"/>
                <w:numId w:val="8"/>
              </w:numPr>
            </w:pPr>
            <w:r>
              <w:rPr>
                <w:i/>
              </w:rPr>
              <w:t>Obsolescence</w:t>
            </w:r>
            <w:r>
              <w:t>—a condition in which, because of new inventions and improvements, a capital asset can no longer be used to produce goods or services with a competitive advantage.</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rsidP="00581887">
            <w:pPr>
              <w:pStyle w:val="Outline2"/>
              <w:numPr>
                <w:ilvl w:val="1"/>
                <w:numId w:val="8"/>
              </w:numPr>
            </w:pPr>
            <w:r>
              <w:t>Depreciation Methods</w:t>
            </w:r>
            <w:r w:rsidR="00192DA2">
              <w:t xml:space="preserve"> (See Visual #9-1)</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6B394E" w:rsidRDefault="007F626F" w:rsidP="00581887">
            <w:pPr>
              <w:pStyle w:val="Outline3"/>
              <w:numPr>
                <w:ilvl w:val="0"/>
                <w:numId w:val="22"/>
              </w:numPr>
            </w:pPr>
            <w:r>
              <w:t xml:space="preserve">Straight-line Method—charges the same amount to expense for each period of the asset’s useful life.  </w:t>
            </w:r>
            <w:r>
              <w:rPr>
                <w:i/>
              </w:rPr>
              <w:t>Calculation:</w:t>
            </w:r>
            <w:r>
              <w:t xml:space="preserve"> </w:t>
            </w:r>
          </w:p>
          <w:p w:rsidR="007F626F" w:rsidRDefault="007F626F" w:rsidP="006B394E">
            <w:pPr>
              <w:pStyle w:val="Outline3"/>
              <w:numPr>
                <w:ilvl w:val="0"/>
                <w:numId w:val="15"/>
              </w:numPr>
            </w:pPr>
            <w:r>
              <w:t xml:space="preserve">Cost minus residual value </w:t>
            </w:r>
            <w:r>
              <w:rPr>
                <w:i/>
                <w:iCs/>
              </w:rPr>
              <w:t xml:space="preserve">(equals the cost to be </w:t>
            </w:r>
            <w:r w:rsidR="00530442">
              <w:rPr>
                <w:i/>
                <w:iCs/>
              </w:rPr>
              <w:t>depreciate</w:t>
            </w:r>
            <w:r>
              <w:rPr>
                <w:i/>
                <w:iCs/>
              </w:rPr>
              <w:t>d)</w:t>
            </w:r>
            <w:r>
              <w:rPr>
                <w:i/>
              </w:rPr>
              <w:t xml:space="preserve"> </w:t>
            </w:r>
            <w:r>
              <w:t>divided by the asset's useful life</w:t>
            </w:r>
            <w:r>
              <w:rPr>
                <w:i/>
                <w:iCs/>
              </w:rPr>
              <w:t>. (usually in years</w:t>
            </w:r>
            <w:r>
              <w:t xml:space="preserve">) </w:t>
            </w:r>
          </w:p>
          <w:p w:rsidR="007F626F" w:rsidRDefault="007F626F" w:rsidP="00E530F7">
            <w:pPr>
              <w:pStyle w:val="Outline3"/>
              <w:numPr>
                <w:ilvl w:val="0"/>
                <w:numId w:val="5"/>
              </w:numPr>
              <w:ind w:left="1440" w:firstLine="0"/>
              <w:rPr>
                <w:i/>
              </w:rPr>
            </w:pPr>
            <w:r>
              <w:t>Units-of-Production Method—charges a varying amount to expense for each period of an asset’s useful life depending on its usage.  Charges are based on the consumed capacity of the asset.  Examples of capacity measurements: miles driven, product outputs, hours used.</w:t>
            </w:r>
            <w:r>
              <w:br/>
            </w:r>
            <w:r>
              <w:rPr>
                <w:i/>
              </w:rPr>
              <w:t>Calculation:</w:t>
            </w:r>
            <w:r>
              <w:t xml:space="preserve"> </w:t>
            </w:r>
          </w:p>
          <w:p w:rsidR="007F626F" w:rsidRDefault="007F626F" w:rsidP="00352FAD">
            <w:pPr>
              <w:pStyle w:val="Outline3"/>
              <w:numPr>
                <w:ilvl w:val="0"/>
                <w:numId w:val="14"/>
              </w:numPr>
              <w:tabs>
                <w:tab w:val="clear" w:pos="1080"/>
                <w:tab w:val="clear" w:pos="2520"/>
              </w:tabs>
              <w:rPr>
                <w:i/>
              </w:rPr>
            </w:pPr>
            <w:r>
              <w:t>Cost minus residual value</w:t>
            </w:r>
            <w:r>
              <w:rPr>
                <w:i/>
              </w:rPr>
              <w:t xml:space="preserve"> </w:t>
            </w:r>
            <w:r>
              <w:t xml:space="preserve">divided by the number of units to be produced equals the </w:t>
            </w:r>
            <w:r>
              <w:rPr>
                <w:i/>
                <w:iCs/>
              </w:rPr>
              <w:lastRenderedPageBreak/>
              <w:t>depreciation</w:t>
            </w:r>
            <w:r>
              <w:rPr>
                <w:i/>
              </w:rPr>
              <w:t xml:space="preserve"> per unit.</w:t>
            </w:r>
          </w:p>
          <w:p w:rsidR="007F626F" w:rsidRDefault="007F626F" w:rsidP="00352FAD">
            <w:pPr>
              <w:pStyle w:val="Outline3"/>
              <w:numPr>
                <w:ilvl w:val="0"/>
                <w:numId w:val="14"/>
              </w:numPr>
              <w:tabs>
                <w:tab w:val="clear" w:pos="1080"/>
                <w:tab w:val="clear" w:pos="2520"/>
              </w:tabs>
            </w:pPr>
            <w:r>
              <w:t>Depreciation per unit X number of units consumed in period equals the period’s depreciation.</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Pr="00766215" w:rsidRDefault="007F626F" w:rsidP="00036252">
            <w:pPr>
              <w:pStyle w:val="Outline3"/>
              <w:numPr>
                <w:ilvl w:val="0"/>
                <w:numId w:val="5"/>
              </w:numPr>
              <w:tabs>
                <w:tab w:val="left" w:pos="1710"/>
              </w:tabs>
              <w:ind w:left="1440" w:firstLine="0"/>
              <w:rPr>
                <w:i/>
              </w:rPr>
            </w:pPr>
            <w:r>
              <w:lastRenderedPageBreak/>
              <w:t>Declining-Balance Method—an accelerated depreciation method.  Charges larger depreciation during the early years of an asset's life and smaller expenses in the later years.</w:t>
            </w:r>
            <w:r>
              <w:br/>
              <w:t>Double-declining balance method</w:t>
            </w:r>
            <w:r w:rsidR="00352FAD">
              <w:t xml:space="preserve"> </w:t>
            </w:r>
            <w:r>
              <w:t xml:space="preserve">(DDB) is also referred to as being twice the </w:t>
            </w:r>
            <w:r w:rsidR="008461B0">
              <w:t>straight-line</w:t>
            </w:r>
            <w:r>
              <w:t xml:space="preserve"> rate.</w:t>
            </w:r>
          </w:p>
          <w:p w:rsidR="007F626F" w:rsidRDefault="007F626F" w:rsidP="004062E7">
            <w:pPr>
              <w:pStyle w:val="Outline3"/>
              <w:numPr>
                <w:ilvl w:val="0"/>
                <w:numId w:val="0"/>
              </w:numPr>
              <w:tabs>
                <w:tab w:val="left" w:pos="1710"/>
              </w:tabs>
              <w:ind w:left="1440"/>
              <w:rPr>
                <w:i/>
              </w:rPr>
            </w:pPr>
            <w:r>
              <w:rPr>
                <w:i/>
              </w:rPr>
              <w:t>Calculation:</w:t>
            </w:r>
          </w:p>
          <w:p w:rsidR="007F626F" w:rsidRDefault="007F626F" w:rsidP="006B394E">
            <w:pPr>
              <w:pStyle w:val="Outline3"/>
              <w:numPr>
                <w:ilvl w:val="0"/>
                <w:numId w:val="0"/>
              </w:numPr>
              <w:tabs>
                <w:tab w:val="clear" w:pos="1080"/>
                <w:tab w:val="clear" w:pos="2520"/>
                <w:tab w:val="left" w:pos="1710"/>
              </w:tabs>
              <w:ind w:left="2160"/>
              <w:rPr>
                <w:i/>
              </w:rPr>
            </w:pPr>
            <w:r>
              <w:t>Calculate the rate.  2/useful life= % (or 100%/useful life X 2)</w:t>
            </w:r>
          </w:p>
          <w:p w:rsidR="007F626F" w:rsidRDefault="007F626F" w:rsidP="006B394E">
            <w:pPr>
              <w:pStyle w:val="Outline3"/>
              <w:numPr>
                <w:ilvl w:val="0"/>
                <w:numId w:val="0"/>
              </w:numPr>
              <w:tabs>
                <w:tab w:val="clear" w:pos="1080"/>
                <w:tab w:val="clear" w:pos="2520"/>
                <w:tab w:val="left" w:pos="1710"/>
              </w:tabs>
              <w:ind w:left="2160"/>
              <w:rPr>
                <w:i/>
              </w:rPr>
            </w:pPr>
            <w:r>
              <w:t xml:space="preserve">Calculate annual depreciation </w:t>
            </w:r>
            <w:r w:rsidR="008461B0">
              <w:t>as:</w:t>
            </w:r>
          </w:p>
          <w:p w:rsidR="007F626F" w:rsidRDefault="007F626F" w:rsidP="00036252">
            <w:pPr>
              <w:pStyle w:val="Outline3"/>
              <w:numPr>
                <w:ilvl w:val="0"/>
                <w:numId w:val="0"/>
              </w:numPr>
              <w:tabs>
                <w:tab w:val="left" w:pos="1710"/>
              </w:tabs>
              <w:ind w:left="1800"/>
              <w:rPr>
                <w:i/>
              </w:rPr>
            </w:pPr>
            <w:r>
              <w:t xml:space="preserve">Net Book Value </w:t>
            </w:r>
            <w:r w:rsidR="008461B0">
              <w:t>X Rate</w:t>
            </w:r>
          </w:p>
          <w:p w:rsidR="007F626F" w:rsidRDefault="007F626F" w:rsidP="00991428">
            <w:pPr>
              <w:pStyle w:val="ListContinue5"/>
              <w:tabs>
                <w:tab w:val="left" w:pos="1710"/>
              </w:tabs>
              <w:spacing w:line="240" w:lineRule="auto"/>
              <w:ind w:left="1980" w:hanging="540"/>
              <w:rPr>
                <w:rFonts w:ascii="Times New Roman" w:hAnsi="Times New Roman"/>
                <w:sz w:val="22"/>
              </w:rPr>
            </w:pPr>
            <w:r>
              <w:rPr>
                <w:rFonts w:ascii="Times New Roman" w:hAnsi="Times New Roman"/>
                <w:i/>
                <w:sz w:val="22"/>
              </w:rPr>
              <w:t>Note:</w:t>
            </w:r>
            <w:r>
              <w:rPr>
                <w:rFonts w:ascii="Times New Roman" w:hAnsi="Times New Roman"/>
                <w:sz w:val="22"/>
              </w:rPr>
              <w:t xml:space="preserve"> Depreciation is a method of allocation, not of valuation. The cost of a capital asset, less estimated residual, is allocated over the estimated useful life in a systematic and rational manner.  The amount of depreciation charged per year may vary with the different methods.  However, the total depreciation over an asset’s life will be the same regardless of which method is used.</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rsidP="00036252">
            <w:pPr>
              <w:pStyle w:val="Outline2"/>
              <w:numPr>
                <w:ilvl w:val="0"/>
                <w:numId w:val="0"/>
              </w:numPr>
              <w:tabs>
                <w:tab w:val="left" w:pos="1710"/>
              </w:tabs>
              <w:ind w:left="1440"/>
            </w:pPr>
            <w:r>
              <w:t>Depreciation for Tax Reporting—differences between financial and tax accounting systems are normal and expected.</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rsidP="00036252">
            <w:pPr>
              <w:pStyle w:val="Outline3"/>
              <w:numPr>
                <w:ilvl w:val="2"/>
                <w:numId w:val="10"/>
              </w:numPr>
              <w:tabs>
                <w:tab w:val="left" w:pos="1710"/>
              </w:tabs>
            </w:pPr>
            <w:r>
              <w:t xml:space="preserve">Many companies use accelerated depreciation in computing taxable income because it </w:t>
            </w:r>
            <w:r w:rsidR="008461B0">
              <w:t>postpones</w:t>
            </w:r>
            <w:r>
              <w:t xml:space="preserve"> its tax payments by charging higher depreciation expense in the early years and lower amounts in the later years. </w:t>
            </w:r>
          </w:p>
          <w:p w:rsidR="007F626F" w:rsidRDefault="007F626F" w:rsidP="00036252">
            <w:pPr>
              <w:pStyle w:val="Outline3"/>
              <w:tabs>
                <w:tab w:val="left" w:pos="1710"/>
              </w:tabs>
            </w:pPr>
            <w:r>
              <w:t>Federal income tax regulations require a company to depreciate assets according to the Capital Cost Allowance system (CCA)</w:t>
            </w:r>
          </w:p>
          <w:p w:rsidR="007F626F" w:rsidRDefault="007F626F" w:rsidP="00036252">
            <w:pPr>
              <w:pStyle w:val="Outline3"/>
              <w:tabs>
                <w:tab w:val="left" w:pos="1710"/>
              </w:tabs>
            </w:pPr>
            <w:r>
              <w:t xml:space="preserve">The income tax regulations specify maximum CCA rates that businesses may claim but a business may decide to claim less than the maximum or claim none at all. </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335596" w:rsidRDefault="00335596" w:rsidP="00335596">
            <w:pPr>
              <w:pStyle w:val="Outline2"/>
              <w:numPr>
                <w:ilvl w:val="0"/>
                <w:numId w:val="0"/>
              </w:numPr>
              <w:tabs>
                <w:tab w:val="left" w:pos="1710"/>
              </w:tabs>
              <w:ind w:left="720"/>
              <w:rPr>
                <w:b/>
              </w:rPr>
            </w:pPr>
          </w:p>
          <w:p w:rsidR="00335596" w:rsidRDefault="007F626F" w:rsidP="00335596">
            <w:pPr>
              <w:pStyle w:val="Heading1"/>
            </w:pPr>
            <w:r w:rsidRPr="006B394E">
              <w:t>Partial</w:t>
            </w:r>
            <w:r w:rsidR="009976D7">
              <w:t>-</w:t>
            </w:r>
            <w:r w:rsidRPr="006B394E">
              <w:t>Year Depreciation</w:t>
            </w:r>
            <w:r w:rsidR="00C00D56">
              <w:t xml:space="preserve"> </w:t>
            </w:r>
            <w:r w:rsidRPr="006B394E">
              <w:t>(LO3)</w:t>
            </w:r>
          </w:p>
          <w:p w:rsidR="007F626F" w:rsidRDefault="00335596" w:rsidP="00335596">
            <w:pPr>
              <w:pStyle w:val="Outline2"/>
              <w:numPr>
                <w:ilvl w:val="0"/>
                <w:numId w:val="0"/>
              </w:numPr>
              <w:tabs>
                <w:tab w:val="left" w:pos="1710"/>
              </w:tabs>
              <w:ind w:left="720"/>
            </w:pPr>
            <w:r w:rsidRPr="00335596">
              <w:t>When</w:t>
            </w:r>
            <w:r>
              <w:rPr>
                <w:b/>
              </w:rPr>
              <w:t xml:space="preserve"> </w:t>
            </w:r>
            <w:r w:rsidR="007F626F">
              <w:t>an asset is purchased (or disposed of) at a time other than the beginning or end of an accounting period, depreciation is recorded for the part of the year the asset was in use.  The two methods we will examine are:</w:t>
            </w:r>
          </w:p>
          <w:p w:rsidR="007F626F" w:rsidRDefault="007F626F" w:rsidP="003B382E">
            <w:pPr>
              <w:pStyle w:val="Outline3"/>
              <w:numPr>
                <w:ilvl w:val="0"/>
                <w:numId w:val="23"/>
              </w:numPr>
              <w:tabs>
                <w:tab w:val="left" w:pos="1710"/>
              </w:tabs>
            </w:pPr>
            <w:r>
              <w:t>Nearest whole month, depreciation is calculated if the asset was in use for more than half of the month of acquisition.</w:t>
            </w:r>
          </w:p>
          <w:p w:rsidR="007F626F" w:rsidRDefault="007F626F" w:rsidP="003B382E">
            <w:pPr>
              <w:pStyle w:val="Outline3"/>
              <w:numPr>
                <w:ilvl w:val="0"/>
                <w:numId w:val="23"/>
              </w:numPr>
              <w:tabs>
                <w:tab w:val="left" w:pos="1710"/>
              </w:tabs>
            </w:pPr>
            <w:r>
              <w:t>Half-Year Convention, six months depreciation is recorded for the partial year, regardless of when the asset was acquired.</w:t>
            </w:r>
          </w:p>
          <w:p w:rsidR="00335596" w:rsidRDefault="00335596" w:rsidP="00C00D56">
            <w:pPr>
              <w:pStyle w:val="Outline2"/>
              <w:numPr>
                <w:ilvl w:val="0"/>
                <w:numId w:val="0"/>
              </w:numPr>
              <w:tabs>
                <w:tab w:val="left" w:pos="1710"/>
              </w:tabs>
              <w:ind w:left="720"/>
              <w:rPr>
                <w:b/>
              </w:rPr>
            </w:pPr>
          </w:p>
          <w:p w:rsidR="00335596" w:rsidRDefault="007F626F" w:rsidP="00335596">
            <w:pPr>
              <w:pStyle w:val="Heading1"/>
            </w:pPr>
            <w:r w:rsidRPr="00C00D56">
              <w:t>Revising Depreciation Rates</w:t>
            </w:r>
            <w:r w:rsidR="00335596">
              <w:t xml:space="preserve"> </w:t>
            </w:r>
            <w:r w:rsidRPr="00C00D56">
              <w:t>(LO4)</w:t>
            </w:r>
          </w:p>
          <w:p w:rsidR="007F626F" w:rsidRDefault="003B382E" w:rsidP="003B382E">
            <w:pPr>
              <w:pStyle w:val="Outline2"/>
              <w:numPr>
                <w:ilvl w:val="0"/>
                <w:numId w:val="0"/>
              </w:numPr>
              <w:tabs>
                <w:tab w:val="left" w:pos="1710"/>
              </w:tabs>
              <w:ind w:left="720"/>
            </w:pPr>
            <w:r>
              <w:t xml:space="preserve">A. </w:t>
            </w:r>
            <w:r w:rsidR="007F5534" w:rsidRPr="007F5534">
              <w:t>Revising Depreciation Rates When There Is a Change in the Estimated Residual Value and/or Estimated Useful Life</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3B382E" w:rsidRDefault="003B382E" w:rsidP="00335596">
            <w:pPr>
              <w:pStyle w:val="Outline2"/>
              <w:numPr>
                <w:ilvl w:val="0"/>
                <w:numId w:val="0"/>
              </w:numPr>
              <w:tabs>
                <w:tab w:val="left" w:pos="1710"/>
              </w:tabs>
              <w:ind w:left="720"/>
              <w:rPr>
                <w:b/>
              </w:rPr>
            </w:pP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991428" w:rsidRDefault="007F626F" w:rsidP="00C00D56">
            <w:pPr>
              <w:pStyle w:val="Outline3"/>
              <w:numPr>
                <w:ilvl w:val="0"/>
                <w:numId w:val="0"/>
              </w:numPr>
              <w:tabs>
                <w:tab w:val="left" w:pos="1710"/>
              </w:tabs>
              <w:ind w:left="1080"/>
            </w:pPr>
            <w:r>
              <w:t xml:space="preserve">Depreciation expense calculations are revised by spreading the remaining cost to be </w:t>
            </w:r>
            <w:r w:rsidR="00530442">
              <w:t>depreciate</w:t>
            </w:r>
            <w:r>
              <w:t xml:space="preserve">d over the revised useful life remaining.  </w:t>
            </w:r>
          </w:p>
          <w:p w:rsidR="007F626F" w:rsidRDefault="0088614F" w:rsidP="00C00D56">
            <w:pPr>
              <w:pStyle w:val="Outline3"/>
              <w:numPr>
                <w:ilvl w:val="0"/>
                <w:numId w:val="0"/>
              </w:numPr>
              <w:tabs>
                <w:tab w:val="left" w:pos="1710"/>
              </w:tabs>
              <w:ind w:left="1080"/>
            </w:pPr>
            <w:r>
              <w:t>Calculation</w:t>
            </w:r>
            <w:r w:rsidR="00C00D56">
              <w:t>:</w:t>
            </w:r>
          </w:p>
          <w:p w:rsidR="007F626F" w:rsidRDefault="007F626F" w:rsidP="00C00D56">
            <w:pPr>
              <w:pStyle w:val="Outline3"/>
              <w:numPr>
                <w:ilvl w:val="0"/>
                <w:numId w:val="0"/>
              </w:numPr>
              <w:tabs>
                <w:tab w:val="left" w:pos="1710"/>
              </w:tabs>
              <w:ind w:left="1080"/>
              <w:rPr>
                <w:u w:val="single"/>
              </w:rPr>
            </w:pPr>
            <w:r>
              <w:rPr>
                <w:u w:val="single"/>
              </w:rPr>
              <w:t>Remaining Book value</w:t>
            </w:r>
            <w:r w:rsidR="009976D7">
              <w:rPr>
                <w:u w:val="single"/>
              </w:rPr>
              <w:t xml:space="preserve"> </w:t>
            </w:r>
            <w:r>
              <w:rPr>
                <w:u w:val="single"/>
              </w:rPr>
              <w:t>-</w:t>
            </w:r>
            <w:r w:rsidR="009976D7">
              <w:rPr>
                <w:u w:val="single"/>
              </w:rPr>
              <w:t xml:space="preserve"> </w:t>
            </w:r>
            <w:r>
              <w:rPr>
                <w:u w:val="single"/>
              </w:rPr>
              <w:t>Revised residual value</w:t>
            </w:r>
          </w:p>
          <w:p w:rsidR="007F626F" w:rsidRDefault="007F626F" w:rsidP="00036252">
            <w:pPr>
              <w:pStyle w:val="Outline3"/>
              <w:numPr>
                <w:ilvl w:val="0"/>
                <w:numId w:val="0"/>
              </w:numPr>
              <w:tabs>
                <w:tab w:val="left" w:pos="1710"/>
              </w:tabs>
              <w:ind w:left="1080"/>
            </w:pPr>
            <w:r>
              <w:t xml:space="preserve">      Revised remaining useful life</w:t>
            </w:r>
          </w:p>
          <w:p w:rsidR="00991428" w:rsidRDefault="00991428" w:rsidP="00036252">
            <w:pPr>
              <w:pStyle w:val="Outline3"/>
              <w:numPr>
                <w:ilvl w:val="0"/>
                <w:numId w:val="0"/>
              </w:numPr>
              <w:tabs>
                <w:tab w:val="left" w:pos="1710"/>
              </w:tabs>
              <w:ind w:left="1080"/>
            </w:pPr>
          </w:p>
          <w:p w:rsidR="007F626F" w:rsidRDefault="007F626F" w:rsidP="00C00D56">
            <w:pPr>
              <w:pStyle w:val="Outline3"/>
              <w:numPr>
                <w:ilvl w:val="0"/>
                <w:numId w:val="0"/>
              </w:numPr>
              <w:tabs>
                <w:tab w:val="left" w:pos="1710"/>
              </w:tabs>
              <w:ind w:left="1080"/>
            </w:pPr>
            <w:r>
              <w:t>The revision is referred to as a</w:t>
            </w:r>
            <w:r>
              <w:rPr>
                <w:b/>
              </w:rPr>
              <w:t xml:space="preserve"> </w:t>
            </w:r>
            <w:r>
              <w:rPr>
                <w:i/>
              </w:rPr>
              <w:t>change in an accounting estimate</w:t>
            </w:r>
            <w:r>
              <w:rPr>
                <w:b/>
              </w:rPr>
              <w:t xml:space="preserve"> </w:t>
            </w:r>
            <w:r>
              <w:t xml:space="preserve">and is reflected in future financial </w:t>
            </w:r>
            <w:r>
              <w:lastRenderedPageBreak/>
              <w:t>statements.  Past statements are not changed.</w:t>
            </w:r>
          </w:p>
          <w:p w:rsidR="00CD5818" w:rsidRDefault="00CD5818" w:rsidP="00C00D56">
            <w:pPr>
              <w:pStyle w:val="Outline3"/>
              <w:numPr>
                <w:ilvl w:val="0"/>
                <w:numId w:val="0"/>
              </w:numPr>
              <w:tabs>
                <w:tab w:val="left" w:pos="1710"/>
              </w:tabs>
              <w:ind w:left="1080"/>
            </w:pPr>
          </w:p>
          <w:p w:rsidR="00CD5818" w:rsidRDefault="003B382E" w:rsidP="003B382E">
            <w:pPr>
              <w:pStyle w:val="Outline3"/>
              <w:numPr>
                <w:ilvl w:val="0"/>
                <w:numId w:val="0"/>
              </w:numPr>
              <w:tabs>
                <w:tab w:val="left" w:pos="1710"/>
              </w:tabs>
              <w:ind w:left="720"/>
            </w:pPr>
            <w:r>
              <w:t>B.</w:t>
            </w:r>
            <w:r w:rsidR="007F5534">
              <w:t xml:space="preserve"> </w:t>
            </w:r>
            <w:r w:rsidR="007F5534" w:rsidRPr="007F5534">
              <w:t>Revising Depreciation Rates When There Is a Betterment</w:t>
            </w:r>
          </w:p>
          <w:p w:rsidR="00CD5818" w:rsidRDefault="00CD5818" w:rsidP="00C00D56">
            <w:pPr>
              <w:pStyle w:val="Outline3"/>
              <w:numPr>
                <w:ilvl w:val="0"/>
                <w:numId w:val="0"/>
              </w:numPr>
              <w:tabs>
                <w:tab w:val="left" w:pos="1710"/>
              </w:tabs>
              <w:ind w:left="1080"/>
            </w:pPr>
            <w:r>
              <w:t xml:space="preserve">Subsequent capital expenditures will change the book value of the asset.  A revision to depreciation is required to reflect the change.  The first step is to bring depreciation up to date at the time of the subsequent capital expenditure. (using the original </w:t>
            </w:r>
            <w:r w:rsidR="008461B0">
              <w:t>rate) The</w:t>
            </w:r>
            <w:r>
              <w:t xml:space="preserve"> capital expenditure may involve replacing a portion of an asset or adding to the asset without removing any portion.  A journal entry is done to record the addition or the addition and removal of an old part.  If an old part is removed there may be a loss recorded.  Depreciation is then calculated at the revised rate.</w:t>
            </w:r>
          </w:p>
          <w:p w:rsidR="00991428" w:rsidRDefault="00991428" w:rsidP="00C00D56">
            <w:pPr>
              <w:pStyle w:val="Outline3"/>
              <w:numPr>
                <w:ilvl w:val="0"/>
                <w:numId w:val="0"/>
              </w:numPr>
              <w:tabs>
                <w:tab w:val="left" w:pos="1710"/>
              </w:tabs>
              <w:ind w:left="1080"/>
            </w:pP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Pr="00036252" w:rsidRDefault="007F626F" w:rsidP="00335596">
            <w:pPr>
              <w:pStyle w:val="Heading1"/>
            </w:pPr>
            <w:r w:rsidRPr="00036252">
              <w:lastRenderedPageBreak/>
              <w:t>Impairment of PPE Assets</w:t>
            </w:r>
            <w:r w:rsidR="00335596">
              <w:t xml:space="preserve"> </w:t>
            </w:r>
            <w:r>
              <w:t>(LO5)</w:t>
            </w:r>
          </w:p>
          <w:p w:rsidR="007F626F" w:rsidRDefault="007F626F" w:rsidP="003B382E">
            <w:pPr>
              <w:pStyle w:val="Outline2"/>
              <w:numPr>
                <w:ilvl w:val="0"/>
                <w:numId w:val="0"/>
              </w:numPr>
              <w:tabs>
                <w:tab w:val="left" w:pos="1710"/>
              </w:tabs>
              <w:ind w:left="720"/>
            </w:pPr>
            <w:r>
              <w:t>An impairment loss happens when a PPE item’s book value is greater than the amount to be recovered through the asset’s use or sale.  Assets should be assessed for impairment annually.  Technological, economic or legal factors can all cause impairments to occur.  The journal entry to record impairment:</w:t>
            </w:r>
          </w:p>
          <w:p w:rsidR="007F626F" w:rsidRDefault="007F626F" w:rsidP="002E7262">
            <w:pPr>
              <w:pStyle w:val="Outline2"/>
              <w:numPr>
                <w:ilvl w:val="0"/>
                <w:numId w:val="0"/>
              </w:numPr>
              <w:tabs>
                <w:tab w:val="left" w:pos="1710"/>
              </w:tabs>
              <w:ind w:left="720"/>
            </w:pPr>
            <w:r>
              <w:t>Date   Impairment loss        XX</w:t>
            </w:r>
          </w:p>
          <w:p w:rsidR="007F626F" w:rsidRDefault="007F626F" w:rsidP="002E7262">
            <w:pPr>
              <w:pStyle w:val="Outline2"/>
              <w:numPr>
                <w:ilvl w:val="0"/>
                <w:numId w:val="0"/>
              </w:numPr>
              <w:tabs>
                <w:tab w:val="left" w:pos="1710"/>
              </w:tabs>
              <w:ind w:left="720"/>
            </w:pPr>
            <w:r>
              <w:t xml:space="preserve">              Asset account                XX</w:t>
            </w:r>
          </w:p>
          <w:p w:rsidR="007F626F" w:rsidRDefault="007F626F" w:rsidP="002E7262">
            <w:pPr>
              <w:pStyle w:val="Outline2"/>
              <w:numPr>
                <w:ilvl w:val="0"/>
                <w:numId w:val="0"/>
              </w:numPr>
              <w:tabs>
                <w:tab w:val="left" w:pos="1710"/>
              </w:tabs>
              <w:ind w:left="720"/>
            </w:pPr>
            <w:r>
              <w:t xml:space="preserve">The asset’s book value will be reduced.  Depreciation would be revised to reflect this change.  </w:t>
            </w:r>
          </w:p>
          <w:p w:rsidR="00335596" w:rsidRDefault="00335596" w:rsidP="002E7262">
            <w:pPr>
              <w:pStyle w:val="Outline2"/>
              <w:numPr>
                <w:ilvl w:val="0"/>
                <w:numId w:val="0"/>
              </w:numPr>
              <w:tabs>
                <w:tab w:val="left" w:pos="1710"/>
              </w:tabs>
              <w:ind w:left="720"/>
            </w:pP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335596" w:rsidRPr="00335596" w:rsidRDefault="007F626F" w:rsidP="00335596">
            <w:pPr>
              <w:pStyle w:val="Heading1"/>
            </w:pPr>
            <w:r>
              <w:t xml:space="preserve">Disposals of </w:t>
            </w:r>
            <w:r w:rsidR="00314AE1">
              <w:t>PPE</w:t>
            </w:r>
            <w:r w:rsidR="00C00D56">
              <w:t xml:space="preserve"> </w:t>
            </w:r>
            <w:r>
              <w:t>(LO6)</w:t>
            </w:r>
          </w:p>
          <w:p w:rsidR="007F626F" w:rsidRDefault="00335596" w:rsidP="00335596">
            <w:pPr>
              <w:pStyle w:val="Outline1"/>
              <w:numPr>
                <w:ilvl w:val="0"/>
                <w:numId w:val="0"/>
              </w:numPr>
              <w:tabs>
                <w:tab w:val="left" w:pos="1710"/>
              </w:tabs>
              <w:ind w:left="540"/>
            </w:pPr>
            <w:r>
              <w:t>A</w:t>
            </w:r>
            <w:r w:rsidR="007F626F">
              <w:t xml:space="preserve">ssets may be </w:t>
            </w:r>
            <w:r w:rsidR="007F626F">
              <w:rPr>
                <w:i/>
              </w:rPr>
              <w:t>discarded, sold, or exchanged</w:t>
            </w:r>
            <w:r w:rsidR="007F626F">
              <w:t xml:space="preserve"> due to wear and tear, obsolescence, inadequacy, or damage by fire or other accident.</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Pr="003B382E" w:rsidRDefault="007F626F" w:rsidP="003B382E">
            <w:pPr>
              <w:pStyle w:val="Outline2"/>
              <w:numPr>
                <w:ilvl w:val="1"/>
                <w:numId w:val="25"/>
              </w:numPr>
              <w:rPr>
                <w:b/>
              </w:rPr>
            </w:pPr>
            <w:r>
              <w:t>In general, accounting for disposals requires the following steps:</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BB41E6" w:rsidRDefault="00BB41E6" w:rsidP="008461B0">
            <w:pPr>
              <w:pStyle w:val="Outline3"/>
              <w:numPr>
                <w:ilvl w:val="0"/>
                <w:numId w:val="0"/>
              </w:numPr>
              <w:ind w:left="2160"/>
            </w:pPr>
          </w:p>
          <w:p w:rsidR="007F626F" w:rsidRDefault="008461B0" w:rsidP="004062E7">
            <w:pPr>
              <w:pStyle w:val="Outline3"/>
              <w:numPr>
                <w:ilvl w:val="0"/>
                <w:numId w:val="0"/>
              </w:numPr>
              <w:ind w:left="2160"/>
            </w:pPr>
            <w:r>
              <w:lastRenderedPageBreak/>
              <w:pict>
                <v:shape id="_x0000_i1027" type="#_x0000_t75" style="width:386.25pt;height:346.5pt">
                  <v:imagedata r:id="rId11" o:title="Capture"/>
                </v:shape>
              </w:pict>
            </w:r>
            <w:r w:rsidR="007F626F">
              <w:rPr>
                <w:i/>
              </w:rPr>
              <w:t xml:space="preserve"> </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rsidP="00385D52">
            <w:pPr>
              <w:pStyle w:val="Outline1"/>
              <w:numPr>
                <w:ilvl w:val="0"/>
                <w:numId w:val="28"/>
              </w:numPr>
            </w:pPr>
            <w:r>
              <w:lastRenderedPageBreak/>
              <w:t>Discarding P</w:t>
            </w:r>
            <w:r w:rsidR="00385D52">
              <w:t>PE</w:t>
            </w:r>
            <w:r>
              <w:t>—follow general accounting procedure above.</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rsidP="003B382E">
            <w:pPr>
              <w:pStyle w:val="Outline3"/>
              <w:numPr>
                <w:ilvl w:val="0"/>
                <w:numId w:val="29"/>
              </w:numPr>
            </w:pPr>
            <w:r>
              <w:t xml:space="preserve">If fully </w:t>
            </w:r>
            <w:r w:rsidR="00530442">
              <w:t>depreciate</w:t>
            </w:r>
            <w:r>
              <w:t>d—no loss (can never have a gain if discarding)</w:t>
            </w:r>
          </w:p>
          <w:p w:rsidR="007F626F" w:rsidRDefault="007F626F" w:rsidP="003B382E">
            <w:pPr>
              <w:pStyle w:val="Outline3"/>
              <w:numPr>
                <w:ilvl w:val="0"/>
                <w:numId w:val="29"/>
              </w:numPr>
            </w:pPr>
            <w:r>
              <w:t xml:space="preserve">If not fully </w:t>
            </w:r>
            <w:r w:rsidR="00530442">
              <w:t>depreciate</w:t>
            </w:r>
            <w:r>
              <w:t>d—Record a loss (debit) equal to the book value.</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rsidP="00385D52">
            <w:pPr>
              <w:pStyle w:val="Outline2"/>
              <w:numPr>
                <w:ilvl w:val="1"/>
                <w:numId w:val="30"/>
              </w:numPr>
            </w:pPr>
            <w:r>
              <w:t>Selling P</w:t>
            </w:r>
            <w:r w:rsidR="00385D52">
              <w:t>PE</w:t>
            </w:r>
            <w:r>
              <w:t>—follow general accounting procedure above.  Compare value received to book value to determine gain (receive value greater than book value) or loss (receive value less than book value).</w:t>
            </w:r>
          </w:p>
        </w:tc>
      </w:tr>
      <w:tr w:rsidR="00BD0FDE" w:rsidTr="00BD0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95" w:type="dxa"/>
        </w:trPr>
        <w:tc>
          <w:tcPr>
            <w:tcW w:w="10145" w:type="dxa"/>
            <w:gridSpan w:val="5"/>
            <w:tcBorders>
              <w:top w:val="nil"/>
              <w:left w:val="nil"/>
              <w:bottom w:val="nil"/>
            </w:tcBorders>
          </w:tcPr>
          <w:p w:rsidR="007F626F" w:rsidRDefault="007F626F" w:rsidP="006900FA">
            <w:pPr>
              <w:pStyle w:val="Outline3"/>
              <w:numPr>
                <w:ilvl w:val="0"/>
                <w:numId w:val="31"/>
              </w:numPr>
            </w:pPr>
            <w:r>
              <w:t>Sale is at a gain if value received exceeds book value.</w:t>
            </w:r>
          </w:p>
          <w:p w:rsidR="007F626F" w:rsidRDefault="007F626F" w:rsidP="006900FA">
            <w:pPr>
              <w:pStyle w:val="Outline3"/>
              <w:numPr>
                <w:ilvl w:val="0"/>
                <w:numId w:val="31"/>
              </w:numPr>
            </w:pPr>
            <w:r>
              <w:t>Sale</w:t>
            </w:r>
            <w:r w:rsidR="00116A62">
              <w:t xml:space="preserve"> is</w:t>
            </w:r>
            <w:r>
              <w:t xml:space="preserve"> at a loss if value received is less than book value.</w:t>
            </w:r>
          </w:p>
          <w:p w:rsidR="007F626F" w:rsidRDefault="007F626F" w:rsidP="001D01EF">
            <w:pPr>
              <w:pStyle w:val="Outline3"/>
              <w:numPr>
                <w:ilvl w:val="0"/>
                <w:numId w:val="0"/>
              </w:numPr>
              <w:ind w:left="1440"/>
            </w:pPr>
            <w:r>
              <w:t>Students frequently have difficulty in deriving the journal entry involving a gain or loss.  It is very helpful to have them journalize the parts of the entry that they already know such as cash received, debit to accumulated depreciation and credit to the asset account.  I usually leave a space between the debits and credits and show the calculation as being the difference between the two sides.  A debit or credit can then be recorded with the entry still in the correct order.  They just have to fill in the space!</w:t>
            </w:r>
          </w:p>
          <w:p w:rsidR="00CD47EF" w:rsidRDefault="00CD47EF" w:rsidP="00B926D6">
            <w:pPr>
              <w:pStyle w:val="Outline1"/>
              <w:numPr>
                <w:ilvl w:val="0"/>
                <w:numId w:val="33"/>
              </w:numPr>
            </w:pPr>
            <w:r>
              <w:t xml:space="preserve">Exchanging </w:t>
            </w:r>
            <w:r w:rsidR="00385D52">
              <w:t>PPE</w:t>
            </w:r>
          </w:p>
          <w:p w:rsidR="00CD47EF" w:rsidRDefault="00CD47EF" w:rsidP="00CD47EF">
            <w:pPr>
              <w:pStyle w:val="Outline2"/>
              <w:numPr>
                <w:ilvl w:val="0"/>
                <w:numId w:val="0"/>
              </w:numPr>
              <w:ind w:left="720"/>
            </w:pPr>
            <w:r>
              <w:t>Assets are often exchanged (traded-in) for new assets. The exchange is treated as a sale of the old asset and the purchase of a new asset. The cost and accumulated depreciation of the old asset is removed from the books. The cost of the new asset will be recorded at the fair value of the asset(s) received. If the fair value cannot be reliably determined, the new asset will be recorded at the carrying value of the assets given up. Any gains or losses realized on the exchange are recorded at the time of disposal.</w:t>
            </w:r>
          </w:p>
          <w:p w:rsidR="00D1090E" w:rsidRDefault="00D1090E" w:rsidP="00CD47EF">
            <w:pPr>
              <w:pStyle w:val="Outline2"/>
              <w:numPr>
                <w:ilvl w:val="0"/>
                <w:numId w:val="0"/>
              </w:numPr>
              <w:ind w:left="720"/>
            </w:pPr>
          </w:p>
          <w:p w:rsidR="00C00D56" w:rsidRDefault="00C00D56" w:rsidP="00335596">
            <w:pPr>
              <w:pStyle w:val="Heading1"/>
            </w:pPr>
            <w:r w:rsidRPr="00C00D56">
              <w:t>Intangible Assets</w:t>
            </w:r>
            <w:r>
              <w:t xml:space="preserve"> (LO7)</w:t>
            </w:r>
          </w:p>
          <w:p w:rsidR="00C00D56" w:rsidRDefault="00C00D56" w:rsidP="00C00D56">
            <w:pPr>
              <w:pStyle w:val="Outline3"/>
              <w:numPr>
                <w:ilvl w:val="0"/>
                <w:numId w:val="0"/>
              </w:numPr>
              <w:ind w:left="720"/>
              <w:rPr>
                <w:szCs w:val="22"/>
                <w:lang w:val="en-CA"/>
              </w:rPr>
            </w:pPr>
            <w:r w:rsidRPr="00C00D56">
              <w:t>In</w:t>
            </w:r>
            <w:r>
              <w:t>tangible assets have no</w:t>
            </w:r>
            <w:r w:rsidR="00C95D8D">
              <w:t xml:space="preserve"> physical substance but provide</w:t>
            </w:r>
            <w:r>
              <w:t xml:space="preserve"> future economic benefits.    </w:t>
            </w:r>
            <w:r w:rsidR="003E50B1">
              <w:t xml:space="preserve">Examples include </w:t>
            </w:r>
            <w:r w:rsidR="003E50B1">
              <w:lastRenderedPageBreak/>
              <w:t xml:space="preserve">patents, copyrights, leaseholds, drilling rights and trademarks.  Accounting for intangibles is similar to accounting for PPE.  Intangibles are recorded at cost when purchased.  Cost is allocated to the asset over its useful life through amortization.  </w:t>
            </w:r>
            <w:r w:rsidR="00C95D8D">
              <w:t xml:space="preserve">The asset account itself is reduced.  There is no accumulated account used.  </w:t>
            </w:r>
            <w:r w:rsidR="00C95D8D" w:rsidRPr="00026192">
              <w:rPr>
                <w:szCs w:val="22"/>
              </w:rPr>
              <w:t xml:space="preserve">In this way intangibles will always be shown at net book value.  </w:t>
            </w:r>
            <w:r w:rsidR="00026192" w:rsidRPr="00026192">
              <w:rPr>
                <w:szCs w:val="22"/>
                <w:lang w:val="en-CA"/>
              </w:rPr>
              <w:t>Intangible assets are shown on the balance sheet separately from goodwill and property, plant and equipment.</w:t>
            </w:r>
          </w:p>
          <w:p w:rsidR="009B1FD9" w:rsidRDefault="009B1FD9" w:rsidP="004062E7">
            <w:pPr>
              <w:pStyle w:val="Outline3"/>
              <w:numPr>
                <w:ilvl w:val="0"/>
                <w:numId w:val="35"/>
              </w:numPr>
              <w:rPr>
                <w:szCs w:val="22"/>
                <w:lang w:val="en-CA"/>
              </w:rPr>
            </w:pPr>
            <w:r w:rsidRPr="009B1FD9">
              <w:rPr>
                <w:szCs w:val="22"/>
                <w:lang w:val="en-CA"/>
              </w:rPr>
              <w:t xml:space="preserve">Depreciation is the systematic allocation of the cost of plant and equipment over its useful life. </w:t>
            </w:r>
          </w:p>
          <w:p w:rsidR="009B1FD9" w:rsidRDefault="009B1FD9" w:rsidP="004062E7">
            <w:pPr>
              <w:pStyle w:val="Outline3"/>
              <w:numPr>
                <w:ilvl w:val="0"/>
                <w:numId w:val="35"/>
              </w:numPr>
              <w:rPr>
                <w:szCs w:val="22"/>
                <w:lang w:val="en-CA"/>
              </w:rPr>
            </w:pPr>
            <w:r w:rsidRPr="009B1FD9">
              <w:rPr>
                <w:szCs w:val="22"/>
                <w:lang w:val="en-CA"/>
              </w:rPr>
              <w:t>Amortization is the systematic allocation of the cost of an intangible asset over its useful life.</w:t>
            </w:r>
          </w:p>
          <w:p w:rsidR="00026192" w:rsidRDefault="00026192" w:rsidP="00026192">
            <w:pPr>
              <w:pStyle w:val="Outline3"/>
              <w:numPr>
                <w:ilvl w:val="0"/>
                <w:numId w:val="0"/>
              </w:numPr>
              <w:rPr>
                <w:szCs w:val="22"/>
                <w:lang w:val="en-CA"/>
              </w:rPr>
            </w:pPr>
          </w:p>
          <w:p w:rsidR="00026192" w:rsidRDefault="00C2392A" w:rsidP="00C00D56">
            <w:pPr>
              <w:pStyle w:val="Outline3"/>
              <w:numPr>
                <w:ilvl w:val="0"/>
                <w:numId w:val="0"/>
              </w:numPr>
              <w:ind w:left="720"/>
              <w:rPr>
                <w:szCs w:val="22"/>
                <w:lang w:val="en-CA"/>
              </w:rPr>
            </w:pPr>
            <w:r>
              <w:rPr>
                <w:szCs w:val="22"/>
                <w:lang w:val="en-CA"/>
              </w:rPr>
              <w:t>Goodwill</w:t>
            </w:r>
          </w:p>
          <w:p w:rsidR="00C2392A" w:rsidRDefault="00730D82" w:rsidP="00C00D56">
            <w:pPr>
              <w:pStyle w:val="Outline3"/>
              <w:numPr>
                <w:ilvl w:val="0"/>
                <w:numId w:val="0"/>
              </w:numPr>
              <w:ind w:left="720"/>
              <w:rPr>
                <w:szCs w:val="22"/>
                <w:lang w:val="en-CA"/>
              </w:rPr>
            </w:pPr>
            <w:r>
              <w:rPr>
                <w:szCs w:val="22"/>
                <w:lang w:val="en-CA"/>
              </w:rPr>
              <w:t xml:space="preserve">Goodwill </w:t>
            </w:r>
            <w:r w:rsidRPr="00730D82">
              <w:rPr>
                <w:szCs w:val="22"/>
                <w:lang w:val="en-CA"/>
              </w:rPr>
              <w:t>arises as a result of a business acquisition and reflects the amount paid for a business that exceeds the fair market value of the company’s net assets (assets minus liabilities) if purchased separately. It is accounted for separately from other identifiable intangible assets on the financial statements.</w:t>
            </w:r>
          </w:p>
          <w:p w:rsidR="00730D82" w:rsidRDefault="00730D82" w:rsidP="00C00D56">
            <w:pPr>
              <w:pStyle w:val="Outline3"/>
              <w:numPr>
                <w:ilvl w:val="0"/>
                <w:numId w:val="0"/>
              </w:numPr>
              <w:ind w:left="720"/>
              <w:rPr>
                <w:szCs w:val="22"/>
                <w:lang w:val="en-CA"/>
              </w:rPr>
            </w:pPr>
          </w:p>
          <w:p w:rsidR="00730D82" w:rsidRDefault="00730D82" w:rsidP="00C00D56">
            <w:pPr>
              <w:pStyle w:val="Outline3"/>
              <w:numPr>
                <w:ilvl w:val="0"/>
                <w:numId w:val="0"/>
              </w:numPr>
              <w:ind w:left="720"/>
              <w:rPr>
                <w:szCs w:val="22"/>
                <w:lang w:val="en-CA"/>
              </w:rPr>
            </w:pPr>
            <w:r>
              <w:rPr>
                <w:szCs w:val="22"/>
                <w:lang w:val="en-CA"/>
              </w:rPr>
              <w:t xml:space="preserve">At this point of student learning it is good to mention the concept of Goodwill and that it will be further discussed and learned in future accounting courses. </w:t>
            </w:r>
          </w:p>
          <w:p w:rsidR="008D1929" w:rsidRDefault="008D1929" w:rsidP="00026192">
            <w:pPr>
              <w:pStyle w:val="bchph"/>
              <w:suppressAutoHyphens w:val="0"/>
              <w:spacing w:before="0" w:line="240" w:lineRule="auto"/>
              <w:rPr>
                <w:rFonts w:ascii="Arial" w:hAnsi="Arial" w:cs="Arial"/>
                <w:b/>
                <w:color w:val="auto"/>
                <w:sz w:val="24"/>
                <w:szCs w:val="24"/>
                <w:u w:val="single"/>
                <w:lang w:val="en-CA"/>
              </w:rPr>
            </w:pPr>
          </w:p>
          <w:p w:rsidR="00026192" w:rsidRPr="008A636B" w:rsidRDefault="00026192" w:rsidP="008461B0">
            <w:pPr>
              <w:pStyle w:val="Outline3"/>
              <w:numPr>
                <w:ilvl w:val="0"/>
                <w:numId w:val="0"/>
              </w:numPr>
              <w:ind w:left="720"/>
              <w:rPr>
                <w:rFonts w:ascii="Arial" w:hAnsi="Arial" w:cs="Arial"/>
                <w:b/>
                <w:sz w:val="24"/>
                <w:szCs w:val="24"/>
                <w:u w:val="single"/>
                <w:lang w:val="en-CA"/>
              </w:rPr>
            </w:pPr>
            <w:r w:rsidRPr="008A636B">
              <w:rPr>
                <w:rFonts w:ascii="Arial" w:hAnsi="Arial" w:cs="Arial"/>
                <w:b/>
                <w:sz w:val="24"/>
                <w:szCs w:val="24"/>
                <w:u w:val="single"/>
                <w:lang w:val="en-CA"/>
              </w:rPr>
              <w:t>Appendix 9A</w:t>
            </w:r>
            <w:r w:rsidR="00281605">
              <w:rPr>
                <w:rFonts w:ascii="Arial" w:hAnsi="Arial" w:cs="Arial"/>
                <w:b/>
                <w:sz w:val="24"/>
                <w:szCs w:val="24"/>
                <w:u w:val="single"/>
                <w:lang w:val="en-CA"/>
              </w:rPr>
              <w:t xml:space="preserve"> </w:t>
            </w:r>
            <w:r w:rsidR="00281605" w:rsidRPr="008D1929">
              <w:rPr>
                <w:rFonts w:ascii="Arial" w:hAnsi="Arial" w:cs="Arial"/>
                <w:b/>
                <w:sz w:val="24"/>
                <w:szCs w:val="24"/>
                <w:u w:val="single"/>
                <w:lang w:val="en-CA"/>
              </w:rPr>
              <w:t xml:space="preserve">Revised Depreciation When There Is a Betterment That Creates Partial-Period </w:t>
            </w:r>
            <w:r w:rsidR="008461B0" w:rsidRPr="008D1929">
              <w:rPr>
                <w:rFonts w:ascii="Arial" w:hAnsi="Arial" w:cs="Arial"/>
                <w:b/>
                <w:sz w:val="24"/>
                <w:szCs w:val="24"/>
                <w:u w:val="single"/>
                <w:lang w:val="en-CA"/>
              </w:rPr>
              <w:t>Depreciation</w:t>
            </w:r>
            <w:r w:rsidR="008461B0">
              <w:rPr>
                <w:rFonts w:ascii="Arial" w:hAnsi="Arial" w:cs="Arial"/>
                <w:b/>
                <w:sz w:val="24"/>
                <w:szCs w:val="24"/>
                <w:u w:val="single"/>
                <w:lang w:val="en-CA"/>
              </w:rPr>
              <w:t xml:space="preserve"> </w:t>
            </w:r>
            <w:r w:rsidR="008461B0" w:rsidRPr="008A636B">
              <w:rPr>
                <w:rFonts w:ascii="Arial" w:hAnsi="Arial" w:cs="Arial"/>
                <w:b/>
                <w:sz w:val="24"/>
                <w:szCs w:val="24"/>
                <w:u w:val="single"/>
                <w:lang w:val="en-CA"/>
              </w:rPr>
              <w:t>(</w:t>
            </w:r>
            <w:r w:rsidR="008A636B" w:rsidRPr="008A636B">
              <w:rPr>
                <w:rFonts w:ascii="Arial" w:hAnsi="Arial" w:cs="Arial"/>
                <w:b/>
                <w:sz w:val="24"/>
                <w:szCs w:val="24"/>
                <w:u w:val="single"/>
                <w:lang w:val="en-CA"/>
              </w:rPr>
              <w:t>LO8)</w:t>
            </w:r>
          </w:p>
          <w:p w:rsidR="00281605" w:rsidRDefault="00281605" w:rsidP="00C00D56">
            <w:pPr>
              <w:pStyle w:val="Outline3"/>
              <w:numPr>
                <w:ilvl w:val="0"/>
                <w:numId w:val="0"/>
              </w:numPr>
              <w:ind w:left="720"/>
              <w:rPr>
                <w:rFonts w:ascii="Arial" w:hAnsi="Arial" w:cs="Arial"/>
                <w:b/>
                <w:sz w:val="24"/>
                <w:szCs w:val="24"/>
                <w:u w:val="single"/>
                <w:lang w:val="en-CA"/>
              </w:rPr>
            </w:pPr>
          </w:p>
          <w:p w:rsidR="00E42989" w:rsidRDefault="00E42989" w:rsidP="00C00D56">
            <w:pPr>
              <w:pStyle w:val="Outline3"/>
              <w:numPr>
                <w:ilvl w:val="0"/>
                <w:numId w:val="0"/>
              </w:numPr>
              <w:ind w:left="720"/>
              <w:rPr>
                <w:lang w:val="en-CA"/>
              </w:rPr>
            </w:pPr>
            <w:r w:rsidRPr="00E42989">
              <w:rPr>
                <w:lang w:val="en-CA"/>
              </w:rPr>
              <w:t>In this case depreciation is calculated and recorded using the following steps:</w:t>
            </w:r>
          </w:p>
          <w:p w:rsidR="00E257B4" w:rsidRPr="00E42989" w:rsidRDefault="00E257B4" w:rsidP="00C00D56">
            <w:pPr>
              <w:pStyle w:val="Outline3"/>
              <w:numPr>
                <w:ilvl w:val="0"/>
                <w:numId w:val="0"/>
              </w:numPr>
              <w:ind w:left="720"/>
              <w:rPr>
                <w:lang w:val="en-CA"/>
              </w:rPr>
            </w:pPr>
          </w:p>
          <w:p w:rsidR="00E42989" w:rsidRDefault="00E257B4" w:rsidP="004062E7">
            <w:pPr>
              <w:pStyle w:val="Outline3"/>
              <w:numPr>
                <w:ilvl w:val="0"/>
                <w:numId w:val="36"/>
              </w:numPr>
              <w:rPr>
                <w:szCs w:val="22"/>
              </w:rPr>
            </w:pPr>
            <w:r w:rsidRPr="00E257B4">
              <w:rPr>
                <w:szCs w:val="22"/>
              </w:rPr>
              <w:t>Update depreciation on the equipment to the date of the betterment.</w:t>
            </w:r>
          </w:p>
          <w:p w:rsidR="00E42989" w:rsidRDefault="00E257B4" w:rsidP="004062E7">
            <w:pPr>
              <w:pStyle w:val="Outline3"/>
              <w:numPr>
                <w:ilvl w:val="0"/>
                <w:numId w:val="36"/>
              </w:numPr>
              <w:rPr>
                <w:szCs w:val="22"/>
              </w:rPr>
            </w:pPr>
            <w:r w:rsidRPr="00E257B4">
              <w:rPr>
                <w:szCs w:val="22"/>
              </w:rPr>
              <w:t>Record the betterment and remove the component being replaced.</w:t>
            </w:r>
          </w:p>
          <w:p w:rsidR="00E42989" w:rsidRDefault="00E257B4" w:rsidP="004062E7">
            <w:pPr>
              <w:pStyle w:val="Outline3"/>
              <w:numPr>
                <w:ilvl w:val="0"/>
                <w:numId w:val="36"/>
              </w:numPr>
              <w:rPr>
                <w:szCs w:val="22"/>
              </w:rPr>
            </w:pPr>
            <w:r w:rsidRPr="00E257B4">
              <w:rPr>
                <w:szCs w:val="22"/>
              </w:rPr>
              <w:t xml:space="preserve">Calculate and record revised depreciation on the equipment from </w:t>
            </w:r>
            <w:r>
              <w:rPr>
                <w:szCs w:val="22"/>
              </w:rPr>
              <w:t>date of betterment to end of Year</w:t>
            </w:r>
            <w:r w:rsidRPr="00E257B4">
              <w:rPr>
                <w:szCs w:val="22"/>
              </w:rPr>
              <w:t>.</w:t>
            </w:r>
          </w:p>
          <w:p w:rsidR="00E42989" w:rsidRDefault="00E42989" w:rsidP="00C00D56">
            <w:pPr>
              <w:pStyle w:val="Outline3"/>
              <w:numPr>
                <w:ilvl w:val="0"/>
                <w:numId w:val="0"/>
              </w:numPr>
              <w:ind w:left="720"/>
              <w:rPr>
                <w:szCs w:val="22"/>
              </w:rPr>
            </w:pPr>
          </w:p>
          <w:p w:rsidR="00E42989" w:rsidRDefault="00E42989" w:rsidP="00C00D56">
            <w:pPr>
              <w:pStyle w:val="Outline3"/>
              <w:numPr>
                <w:ilvl w:val="0"/>
                <w:numId w:val="0"/>
              </w:numPr>
              <w:ind w:left="720"/>
              <w:rPr>
                <w:szCs w:val="22"/>
              </w:rPr>
            </w:pPr>
          </w:p>
          <w:p w:rsidR="00E42989" w:rsidRDefault="00E42989" w:rsidP="00C00D56">
            <w:pPr>
              <w:pStyle w:val="Outline3"/>
              <w:numPr>
                <w:ilvl w:val="0"/>
                <w:numId w:val="0"/>
              </w:numPr>
              <w:ind w:left="720"/>
              <w:rPr>
                <w:szCs w:val="22"/>
              </w:rPr>
            </w:pPr>
          </w:p>
          <w:p w:rsidR="00E42989" w:rsidRPr="00026192" w:rsidRDefault="00E42989" w:rsidP="00C00D56">
            <w:pPr>
              <w:pStyle w:val="Outline3"/>
              <w:numPr>
                <w:ilvl w:val="0"/>
                <w:numId w:val="0"/>
              </w:numPr>
              <w:ind w:left="720"/>
              <w:rPr>
                <w:szCs w:val="22"/>
              </w:rPr>
            </w:pPr>
          </w:p>
          <w:p w:rsidR="00116A62" w:rsidRDefault="00116A62" w:rsidP="00C00D56">
            <w:pPr>
              <w:pStyle w:val="Outline3"/>
              <w:numPr>
                <w:ilvl w:val="0"/>
                <w:numId w:val="0"/>
              </w:numPr>
              <w:ind w:left="720"/>
            </w:pPr>
          </w:p>
          <w:p w:rsidR="00C00D56" w:rsidRDefault="00C00D56" w:rsidP="00CD5818">
            <w:pPr>
              <w:pStyle w:val="Outline3"/>
              <w:numPr>
                <w:ilvl w:val="0"/>
                <w:numId w:val="0"/>
              </w:numPr>
              <w:ind w:left="720"/>
            </w:pPr>
          </w:p>
        </w:tc>
      </w:tr>
    </w:tbl>
    <w:p w:rsidR="00E607A3" w:rsidRDefault="00E607A3">
      <w:pPr>
        <w:pStyle w:val="TableBody"/>
      </w:pPr>
      <w:r>
        <w:lastRenderedPageBreak/>
        <w:br w:type="page"/>
      </w:r>
    </w:p>
    <w:p w:rsidR="00E607A3" w:rsidRDefault="00E607A3">
      <w:pPr>
        <w:pStyle w:val="Heading1"/>
        <w:jc w:val="center"/>
      </w:pPr>
      <w:r>
        <w:t>VISUAL #</w:t>
      </w:r>
      <w:r w:rsidR="0005343A">
        <w:t>9</w:t>
      </w:r>
      <w:r>
        <w:t>-1</w:t>
      </w:r>
    </w:p>
    <w:p w:rsidR="00E607A3" w:rsidRDefault="008461B0">
      <w:pPr>
        <w:pStyle w:val="TableBody"/>
        <w:jc w:val="center"/>
        <w:rPr>
          <w:b/>
          <w:sz w:val="28"/>
          <w:u w:val="single"/>
        </w:rPr>
      </w:pPr>
      <w:r>
        <w:rPr>
          <w:b/>
          <w:noProof/>
          <w:sz w:val="28"/>
          <w:u w:val="single"/>
        </w:rPr>
        <w:pict>
          <v:rect id="_x0000_s1076" style="position:absolute;left:0;text-align:left;margin-left:0;margin-top:-2.65pt;width:468pt;height:523.5pt;z-index:251657728" o:allowincell="f" filled="f" strokeweight="4pt"/>
        </w:pict>
      </w:r>
      <w:r w:rsidR="00717EE4">
        <w:rPr>
          <w:b/>
          <w:sz w:val="28"/>
          <w:u w:val="single"/>
        </w:rPr>
        <w:t>FORMULAE</w:t>
      </w:r>
      <w:r w:rsidR="00E607A3">
        <w:rPr>
          <w:b/>
          <w:sz w:val="28"/>
          <w:u w:val="single"/>
        </w:rPr>
        <w:t xml:space="preserve"> FOR </w:t>
      </w:r>
      <w:r w:rsidR="00225B7A">
        <w:rPr>
          <w:b/>
          <w:sz w:val="28"/>
          <w:u w:val="single"/>
        </w:rPr>
        <w:t>DEPRECIATION</w:t>
      </w:r>
      <w:r w:rsidR="00E607A3">
        <w:rPr>
          <w:b/>
          <w:sz w:val="28"/>
          <w:u w:val="single"/>
        </w:rPr>
        <w:t xml:space="preserve"> METHODS</w:t>
      </w:r>
    </w:p>
    <w:p w:rsidR="00E607A3" w:rsidRDefault="00E607A3">
      <w:pPr>
        <w:pStyle w:val="TableBody"/>
        <w:jc w:val="center"/>
        <w:rPr>
          <w:sz w:val="28"/>
        </w:rPr>
      </w:pPr>
    </w:p>
    <w:p w:rsidR="00E607A3" w:rsidRDefault="00E607A3">
      <w:pPr>
        <w:pStyle w:val="TableBody"/>
        <w:jc w:val="center"/>
        <w:rPr>
          <w:b/>
          <w:sz w:val="28"/>
        </w:rPr>
      </w:pPr>
      <w:r>
        <w:rPr>
          <w:b/>
          <w:sz w:val="28"/>
        </w:rPr>
        <w:t>1.  STRAIGHT LINE</w:t>
      </w:r>
    </w:p>
    <w:p w:rsidR="00E607A3" w:rsidRDefault="00E607A3">
      <w:pPr>
        <w:pStyle w:val="TableBody"/>
        <w:jc w:val="center"/>
        <w:rPr>
          <w:sz w:val="28"/>
        </w:rPr>
      </w:pPr>
    </w:p>
    <w:p w:rsidR="00E607A3" w:rsidRDefault="008461B0">
      <w:pPr>
        <w:pStyle w:val="TableBody"/>
        <w:tabs>
          <w:tab w:val="center" w:pos="3690"/>
          <w:tab w:val="center" w:pos="6570"/>
        </w:tabs>
        <w:rPr>
          <w:sz w:val="28"/>
        </w:rPr>
      </w:pPr>
      <w:r>
        <w:rPr>
          <w:noProof/>
          <w:sz w:val="28"/>
        </w:rPr>
        <w:pict>
          <v:shapetype id="_x0000_t202" coordsize="21600,21600" o:spt="202" path="m,l,21600r21600,l21600,xe">
            <v:stroke joinstyle="miter"/>
            <v:path gradientshapeok="t" o:connecttype="rect"/>
          </v:shapetype>
          <v:shape id="_x0000_s1079" type="#_x0000_t202" style="position:absolute;margin-left:269.25pt;margin-top:2pt;width:48pt;height:26.25pt;z-index:251659776" o:allowincell="f" filled="f" stroked="f">
            <v:textbox style="mso-next-textbox:#_x0000_s1079">
              <w:txbxContent>
                <w:p w:rsidR="0043417A" w:rsidRDefault="0043417A" w:rsidP="0043417A">
                  <w:pPr>
                    <w:pStyle w:val="TableBody"/>
                    <w:rPr>
                      <w:sz w:val="28"/>
                    </w:rPr>
                  </w:pPr>
                  <w:r>
                    <w:rPr>
                      <w:sz w:val="28"/>
                    </w:rPr>
                    <w:t>=</w:t>
                  </w:r>
                </w:p>
              </w:txbxContent>
            </v:textbox>
          </v:shape>
        </w:pict>
      </w:r>
      <w:r w:rsidR="00E607A3">
        <w:rPr>
          <w:sz w:val="28"/>
        </w:rPr>
        <w:tab/>
      </w:r>
      <w:r w:rsidR="00E607A3" w:rsidRPr="00CD5774">
        <w:rPr>
          <w:sz w:val="28"/>
          <w:u w:val="single"/>
        </w:rPr>
        <w:t xml:space="preserve">Cost-Estimated </w:t>
      </w:r>
      <w:r w:rsidR="00CE7DB2" w:rsidRPr="00CD5774">
        <w:rPr>
          <w:sz w:val="28"/>
          <w:u w:val="single"/>
        </w:rPr>
        <w:t>Residual</w:t>
      </w:r>
      <w:r w:rsidR="00CD5774" w:rsidRPr="00CD5774">
        <w:rPr>
          <w:sz w:val="28"/>
          <w:u w:val="single"/>
        </w:rPr>
        <w:t xml:space="preserve"> Value</w:t>
      </w:r>
      <w:r w:rsidR="00CD5774">
        <w:rPr>
          <w:sz w:val="28"/>
        </w:rPr>
        <w:t xml:space="preserve"> </w:t>
      </w:r>
      <w:r w:rsidR="00E607A3">
        <w:rPr>
          <w:sz w:val="28"/>
        </w:rPr>
        <w:tab/>
        <w:t>Annual</w:t>
      </w:r>
    </w:p>
    <w:p w:rsidR="00E607A3" w:rsidRDefault="00E607A3">
      <w:pPr>
        <w:pStyle w:val="TableBody"/>
        <w:tabs>
          <w:tab w:val="center" w:pos="3690"/>
          <w:tab w:val="center" w:pos="6570"/>
        </w:tabs>
        <w:rPr>
          <w:sz w:val="28"/>
        </w:rPr>
      </w:pPr>
      <w:r>
        <w:rPr>
          <w:sz w:val="28"/>
        </w:rPr>
        <w:tab/>
        <w:t>Estimated Useful Life (in years)</w:t>
      </w:r>
      <w:r>
        <w:rPr>
          <w:sz w:val="28"/>
        </w:rPr>
        <w:tab/>
      </w:r>
      <w:r w:rsidR="00225B7A">
        <w:rPr>
          <w:sz w:val="28"/>
        </w:rPr>
        <w:t>Depreciation</w:t>
      </w:r>
    </w:p>
    <w:p w:rsidR="00E607A3" w:rsidRDefault="00E607A3">
      <w:pPr>
        <w:pStyle w:val="TableBody"/>
        <w:jc w:val="center"/>
        <w:rPr>
          <w:sz w:val="28"/>
        </w:rPr>
      </w:pPr>
    </w:p>
    <w:p w:rsidR="00E607A3" w:rsidRDefault="008461B0">
      <w:pPr>
        <w:pStyle w:val="TableBody"/>
        <w:jc w:val="center"/>
        <w:rPr>
          <w:sz w:val="28"/>
        </w:rPr>
      </w:pPr>
      <w:r>
        <w:rPr>
          <w:noProof/>
          <w:sz w:val="28"/>
        </w:rPr>
        <w:pict>
          <v:line id="_x0000_s1071" style="position:absolute;left:0;text-align:left;z-index:251655680" from="26.7pt,.5pt" to="437.15pt,.55pt" o:allowincell="f">
            <v:stroke startarrowwidth="narrow" startarrowlength="short" endarrowwidth="narrow" endarrowlength="short"/>
          </v:line>
        </w:pict>
      </w:r>
    </w:p>
    <w:p w:rsidR="00E607A3" w:rsidRDefault="00E607A3">
      <w:pPr>
        <w:pStyle w:val="TableBody"/>
        <w:jc w:val="center"/>
        <w:rPr>
          <w:b/>
          <w:sz w:val="28"/>
        </w:rPr>
      </w:pPr>
      <w:r>
        <w:rPr>
          <w:b/>
          <w:sz w:val="28"/>
        </w:rPr>
        <w:t>2.  UNITS OF PRODUCTION</w:t>
      </w:r>
    </w:p>
    <w:p w:rsidR="00E607A3" w:rsidRDefault="00E607A3">
      <w:pPr>
        <w:pStyle w:val="TableBody"/>
        <w:jc w:val="center"/>
        <w:rPr>
          <w:sz w:val="28"/>
        </w:rPr>
      </w:pPr>
    </w:p>
    <w:p w:rsidR="00E607A3" w:rsidRDefault="00E607A3">
      <w:pPr>
        <w:pStyle w:val="TableBody"/>
        <w:tabs>
          <w:tab w:val="center" w:pos="3780"/>
          <w:tab w:val="center" w:pos="6660"/>
        </w:tabs>
        <w:rPr>
          <w:sz w:val="28"/>
        </w:rPr>
      </w:pPr>
      <w:r>
        <w:rPr>
          <w:sz w:val="28"/>
        </w:rPr>
        <w:tab/>
      </w:r>
      <w:r>
        <w:rPr>
          <w:sz w:val="28"/>
        </w:rPr>
        <w:tab/>
      </w:r>
      <w:r w:rsidR="00CD5774">
        <w:rPr>
          <w:sz w:val="28"/>
        </w:rPr>
        <w:t xml:space="preserve">    </w:t>
      </w:r>
      <w:r w:rsidR="00225B7A">
        <w:rPr>
          <w:sz w:val="28"/>
        </w:rPr>
        <w:t>Depreciation</w:t>
      </w:r>
      <w:r>
        <w:rPr>
          <w:sz w:val="28"/>
        </w:rPr>
        <w:t xml:space="preserve"> </w:t>
      </w:r>
    </w:p>
    <w:p w:rsidR="00E607A3" w:rsidRDefault="008461B0">
      <w:pPr>
        <w:pStyle w:val="TableBody"/>
        <w:tabs>
          <w:tab w:val="left" w:pos="1530"/>
          <w:tab w:val="center" w:pos="3780"/>
          <w:tab w:val="center" w:pos="6660"/>
        </w:tabs>
        <w:rPr>
          <w:sz w:val="28"/>
        </w:rPr>
      </w:pPr>
      <w:r>
        <w:rPr>
          <w:noProof/>
          <w:sz w:val="28"/>
        </w:rPr>
        <w:pict>
          <v:shape id="_x0000_s1078" type="#_x0000_t202" style="position:absolute;margin-left:275.25pt;margin-top:5.7pt;width:48pt;height:26.25pt;z-index:251658752" o:allowincell="f" filled="f" stroked="f">
            <v:textbox style="mso-next-textbox:#_x0000_s1078">
              <w:txbxContent>
                <w:p w:rsidR="00E607A3" w:rsidRDefault="00E607A3">
                  <w:pPr>
                    <w:pStyle w:val="TableBody"/>
                    <w:rPr>
                      <w:sz w:val="28"/>
                    </w:rPr>
                  </w:pPr>
                  <w:r>
                    <w:rPr>
                      <w:sz w:val="28"/>
                    </w:rPr>
                    <w:t>=</w:t>
                  </w:r>
                </w:p>
              </w:txbxContent>
            </v:textbox>
          </v:shape>
        </w:pict>
      </w:r>
      <w:r w:rsidR="00E607A3">
        <w:rPr>
          <w:sz w:val="28"/>
        </w:rPr>
        <w:tab/>
        <w:t>a)</w:t>
      </w:r>
      <w:r w:rsidR="00E607A3">
        <w:rPr>
          <w:sz w:val="28"/>
        </w:rPr>
        <w:tab/>
        <w:t xml:space="preserve">Cost- Estimated </w:t>
      </w:r>
      <w:r w:rsidR="00CE7DB2">
        <w:rPr>
          <w:sz w:val="28"/>
        </w:rPr>
        <w:t>Residual</w:t>
      </w:r>
      <w:r w:rsidR="00E607A3">
        <w:rPr>
          <w:sz w:val="28"/>
        </w:rPr>
        <w:t xml:space="preserve"> </w:t>
      </w:r>
      <w:r w:rsidR="00CD5774">
        <w:rPr>
          <w:sz w:val="28"/>
        </w:rPr>
        <w:t xml:space="preserve">Value </w:t>
      </w:r>
      <w:r w:rsidR="00E607A3">
        <w:rPr>
          <w:sz w:val="28"/>
        </w:rPr>
        <w:tab/>
        <w:t xml:space="preserve"> per</w:t>
      </w:r>
    </w:p>
    <w:p w:rsidR="00E607A3" w:rsidRDefault="008461B0">
      <w:pPr>
        <w:pStyle w:val="TableBody"/>
        <w:tabs>
          <w:tab w:val="center" w:pos="3780"/>
          <w:tab w:val="center" w:pos="6660"/>
        </w:tabs>
        <w:rPr>
          <w:sz w:val="28"/>
        </w:rPr>
      </w:pPr>
      <w:r>
        <w:rPr>
          <w:noProof/>
          <w:sz w:val="28"/>
        </w:rPr>
        <w:pict>
          <v:line id="_x0000_s1073" style="position:absolute;z-index:251656704" from="104.05pt,.55pt" to="271.7pt,.6pt" o:allowincell="f">
            <v:stroke startarrowwidth="narrow" startarrowlength="short" endarrowwidth="narrow" endarrowlength="short"/>
          </v:line>
        </w:pict>
      </w:r>
      <w:r w:rsidR="00E607A3">
        <w:rPr>
          <w:sz w:val="28"/>
        </w:rPr>
        <w:tab/>
        <w:t>Predicted units of production</w:t>
      </w:r>
      <w:r w:rsidR="00E607A3">
        <w:rPr>
          <w:sz w:val="28"/>
        </w:rPr>
        <w:tab/>
        <w:t>Unit</w:t>
      </w:r>
    </w:p>
    <w:p w:rsidR="00E607A3" w:rsidRDefault="00E607A3">
      <w:pPr>
        <w:pStyle w:val="TableBody"/>
        <w:jc w:val="center"/>
        <w:rPr>
          <w:sz w:val="28"/>
        </w:rPr>
      </w:pPr>
    </w:p>
    <w:p w:rsidR="00E607A3" w:rsidRDefault="00E607A3">
      <w:pPr>
        <w:pStyle w:val="TableBody"/>
        <w:tabs>
          <w:tab w:val="left" w:pos="1530"/>
          <w:tab w:val="center" w:pos="3600"/>
          <w:tab w:val="center" w:pos="6750"/>
        </w:tabs>
        <w:rPr>
          <w:sz w:val="28"/>
        </w:rPr>
      </w:pPr>
      <w:r>
        <w:rPr>
          <w:sz w:val="28"/>
        </w:rPr>
        <w:tab/>
        <w:t>b)</w:t>
      </w:r>
      <w:r>
        <w:rPr>
          <w:sz w:val="28"/>
        </w:rPr>
        <w:tab/>
      </w:r>
      <w:r w:rsidR="00225B7A">
        <w:rPr>
          <w:sz w:val="28"/>
        </w:rPr>
        <w:t>Depreciation</w:t>
      </w:r>
      <w:r>
        <w:rPr>
          <w:sz w:val="28"/>
        </w:rPr>
        <w:t xml:space="preserve"> per unit x units produced</w:t>
      </w:r>
      <w:r>
        <w:rPr>
          <w:sz w:val="28"/>
        </w:rPr>
        <w:tab/>
        <w:t xml:space="preserve">=   </w:t>
      </w:r>
      <w:r w:rsidR="00225B7A">
        <w:rPr>
          <w:sz w:val="28"/>
        </w:rPr>
        <w:t>Depreciation</w:t>
      </w:r>
    </w:p>
    <w:p w:rsidR="00E607A3" w:rsidRDefault="00E607A3">
      <w:pPr>
        <w:pStyle w:val="TableBody"/>
        <w:tabs>
          <w:tab w:val="center" w:pos="3600"/>
          <w:tab w:val="center" w:pos="6750"/>
        </w:tabs>
        <w:rPr>
          <w:sz w:val="28"/>
        </w:rPr>
      </w:pPr>
      <w:r>
        <w:rPr>
          <w:sz w:val="28"/>
        </w:rPr>
        <w:tab/>
      </w:r>
      <w:r>
        <w:rPr>
          <w:sz w:val="28"/>
        </w:rPr>
        <w:tab/>
        <w:t xml:space="preserve">     for PERIOD</w:t>
      </w:r>
    </w:p>
    <w:p w:rsidR="00E607A3" w:rsidRDefault="00E607A3">
      <w:pPr>
        <w:pStyle w:val="TableBody"/>
        <w:tabs>
          <w:tab w:val="center" w:pos="3780"/>
          <w:tab w:val="center" w:pos="6750"/>
        </w:tabs>
        <w:rPr>
          <w:sz w:val="28"/>
        </w:rPr>
      </w:pPr>
    </w:p>
    <w:p w:rsidR="00E607A3" w:rsidRDefault="00CD5774">
      <w:pPr>
        <w:pStyle w:val="TableBody"/>
        <w:jc w:val="center"/>
        <w:rPr>
          <w:sz w:val="28"/>
        </w:rPr>
      </w:pPr>
      <w:r>
        <w:rPr>
          <w:sz w:val="28"/>
        </w:rPr>
        <w:t xml:space="preserve">Depreciation should </w:t>
      </w:r>
      <w:r w:rsidR="009320E8">
        <w:rPr>
          <w:sz w:val="28"/>
        </w:rPr>
        <w:t>stop</w:t>
      </w:r>
      <w:r>
        <w:rPr>
          <w:sz w:val="28"/>
        </w:rPr>
        <w:t xml:space="preserve"> when book value is equal to residual value.</w:t>
      </w:r>
    </w:p>
    <w:p w:rsidR="00E607A3" w:rsidRDefault="00E607A3">
      <w:pPr>
        <w:pStyle w:val="TableBody"/>
        <w:jc w:val="center"/>
        <w:rPr>
          <w:sz w:val="28"/>
        </w:rPr>
      </w:pPr>
    </w:p>
    <w:p w:rsidR="00E607A3" w:rsidRDefault="00E607A3">
      <w:pPr>
        <w:pStyle w:val="TableBody"/>
        <w:jc w:val="center"/>
        <w:rPr>
          <w:sz w:val="28"/>
        </w:rPr>
      </w:pPr>
    </w:p>
    <w:p w:rsidR="00E607A3" w:rsidRDefault="00E607A3">
      <w:pPr>
        <w:pStyle w:val="TableBody"/>
        <w:jc w:val="center"/>
        <w:rPr>
          <w:b/>
          <w:sz w:val="28"/>
        </w:rPr>
      </w:pPr>
      <w:r>
        <w:rPr>
          <w:b/>
          <w:sz w:val="28"/>
        </w:rPr>
        <w:t>3.  DOUBLE DECLINING BALANCE</w:t>
      </w:r>
    </w:p>
    <w:p w:rsidR="00CD5774" w:rsidRDefault="00CD5774">
      <w:pPr>
        <w:pStyle w:val="TableBody"/>
        <w:jc w:val="center"/>
        <w:rPr>
          <w:b/>
          <w:sz w:val="28"/>
        </w:rPr>
      </w:pPr>
    </w:p>
    <w:p w:rsidR="00E607A3" w:rsidRDefault="00E607A3">
      <w:pPr>
        <w:pStyle w:val="TableBody"/>
        <w:ind w:left="720"/>
        <w:rPr>
          <w:sz w:val="28"/>
        </w:rPr>
      </w:pPr>
      <w:r>
        <w:rPr>
          <w:sz w:val="28"/>
        </w:rPr>
        <w:t>Step 1:  Calculate rate to be used----</w:t>
      </w:r>
      <w:r w:rsidR="00CD5774">
        <w:rPr>
          <w:sz w:val="28"/>
        </w:rPr>
        <w:t xml:space="preserve">2/Estimated useful life </w:t>
      </w:r>
    </w:p>
    <w:p w:rsidR="00E607A3" w:rsidRDefault="00E607A3">
      <w:pPr>
        <w:pStyle w:val="TableBody"/>
        <w:ind w:left="720"/>
        <w:rPr>
          <w:sz w:val="28"/>
        </w:rPr>
      </w:pPr>
    </w:p>
    <w:p w:rsidR="00E607A3" w:rsidRDefault="00E607A3">
      <w:pPr>
        <w:pStyle w:val="TableBody"/>
        <w:ind w:left="720"/>
        <w:rPr>
          <w:sz w:val="28"/>
        </w:rPr>
      </w:pPr>
      <w:r>
        <w:rPr>
          <w:sz w:val="28"/>
        </w:rPr>
        <w:t>Step 2.  Multiply Net Book Value by Rate</w:t>
      </w:r>
    </w:p>
    <w:p w:rsidR="00E607A3" w:rsidRDefault="00E607A3">
      <w:pPr>
        <w:pStyle w:val="TableBody"/>
        <w:rPr>
          <w:sz w:val="28"/>
        </w:rPr>
      </w:pPr>
      <w:r>
        <w:rPr>
          <w:sz w:val="28"/>
        </w:rPr>
        <w:tab/>
      </w:r>
    </w:p>
    <w:p w:rsidR="00E607A3" w:rsidRDefault="00E607A3">
      <w:pPr>
        <w:pStyle w:val="TableBody"/>
        <w:jc w:val="center"/>
        <w:rPr>
          <w:sz w:val="28"/>
        </w:rPr>
      </w:pPr>
      <w:r>
        <w:rPr>
          <w:sz w:val="28"/>
        </w:rPr>
        <w:t xml:space="preserve">Net Book Value =Cost – Accumulated </w:t>
      </w:r>
      <w:r w:rsidR="00225B7A">
        <w:rPr>
          <w:sz w:val="28"/>
        </w:rPr>
        <w:t>Depreciation</w:t>
      </w:r>
      <w:r>
        <w:rPr>
          <w:sz w:val="28"/>
        </w:rPr>
        <w:t xml:space="preserve"> to Date</w:t>
      </w:r>
    </w:p>
    <w:p w:rsidR="00CD5774" w:rsidRDefault="00CD5774">
      <w:pPr>
        <w:pStyle w:val="TableBody"/>
        <w:jc w:val="center"/>
        <w:rPr>
          <w:sz w:val="28"/>
        </w:rPr>
      </w:pPr>
    </w:p>
    <w:p w:rsidR="00CD5774" w:rsidRDefault="00CD5774" w:rsidP="00CD5774">
      <w:pPr>
        <w:pStyle w:val="TableBody"/>
        <w:jc w:val="center"/>
        <w:rPr>
          <w:sz w:val="28"/>
        </w:rPr>
      </w:pPr>
      <w:r>
        <w:rPr>
          <w:sz w:val="28"/>
        </w:rPr>
        <w:t>Depreciation should</w:t>
      </w:r>
      <w:r w:rsidR="00CD7E88">
        <w:rPr>
          <w:sz w:val="28"/>
        </w:rPr>
        <w:t xml:space="preserve"> </w:t>
      </w:r>
      <w:r w:rsidR="009320E8">
        <w:rPr>
          <w:sz w:val="28"/>
        </w:rPr>
        <w:t>stop</w:t>
      </w:r>
      <w:r>
        <w:rPr>
          <w:sz w:val="28"/>
        </w:rPr>
        <w:t xml:space="preserve"> when book value is equal to residual value.</w:t>
      </w:r>
    </w:p>
    <w:p w:rsidR="00CD5774" w:rsidRDefault="00CD5774" w:rsidP="00CD5774">
      <w:pPr>
        <w:pStyle w:val="TableBody"/>
        <w:jc w:val="center"/>
        <w:rPr>
          <w:sz w:val="28"/>
        </w:rPr>
      </w:pPr>
    </w:p>
    <w:p w:rsidR="00E607A3" w:rsidRDefault="00E607A3">
      <w:pPr>
        <w:pStyle w:val="TableBody"/>
        <w:jc w:val="center"/>
        <w:rPr>
          <w:sz w:val="28"/>
        </w:rPr>
      </w:pPr>
    </w:p>
    <w:p w:rsidR="00E607A3" w:rsidRPr="00E950E2" w:rsidRDefault="00E607A3" w:rsidP="00E950E2">
      <w:pPr>
        <w:pStyle w:val="TableBodyArial13"/>
      </w:pPr>
      <w:r>
        <w:br w:type="page"/>
      </w:r>
      <w:r w:rsidRPr="00E950E2">
        <w:lastRenderedPageBreak/>
        <w:t xml:space="preserve">Alternate Demo Problem Chapter </w:t>
      </w:r>
      <w:r w:rsidR="0005343A">
        <w:t>9</w:t>
      </w:r>
    </w:p>
    <w:p w:rsidR="00E607A3" w:rsidRPr="00E950E2" w:rsidRDefault="00E607A3" w:rsidP="00E950E2">
      <w:pPr>
        <w:pStyle w:val="TableBodyArial13"/>
      </w:pPr>
    </w:p>
    <w:p w:rsidR="00E607A3" w:rsidRPr="00E950E2" w:rsidRDefault="00CD5774">
      <w:pPr>
        <w:pStyle w:val="BodyTextArial13"/>
        <w:rPr>
          <w:rFonts w:ascii="Times New Roman" w:hAnsi="Times New Roman"/>
          <w:b w:val="0"/>
          <w:sz w:val="22"/>
          <w:szCs w:val="22"/>
        </w:rPr>
      </w:pPr>
      <w:r w:rsidRPr="00E950E2">
        <w:rPr>
          <w:rFonts w:ascii="Times New Roman" w:hAnsi="Times New Roman"/>
          <w:b w:val="0"/>
          <w:sz w:val="22"/>
          <w:szCs w:val="22"/>
        </w:rPr>
        <w:t>A new machine cost</w:t>
      </w:r>
      <w:r w:rsidR="00E607A3" w:rsidRPr="00E950E2">
        <w:rPr>
          <w:rFonts w:ascii="Times New Roman" w:hAnsi="Times New Roman"/>
          <w:b w:val="0"/>
          <w:sz w:val="22"/>
          <w:szCs w:val="22"/>
        </w:rPr>
        <w:t xml:space="preserve"> $</w:t>
      </w:r>
      <w:r w:rsidR="007F626F">
        <w:rPr>
          <w:rFonts w:ascii="Times New Roman" w:hAnsi="Times New Roman"/>
          <w:b w:val="0"/>
          <w:sz w:val="22"/>
          <w:szCs w:val="22"/>
        </w:rPr>
        <w:t>10</w:t>
      </w:r>
      <w:r w:rsidR="00E607A3" w:rsidRPr="00E950E2">
        <w:rPr>
          <w:rFonts w:ascii="Times New Roman" w:hAnsi="Times New Roman"/>
          <w:b w:val="0"/>
          <w:sz w:val="22"/>
          <w:szCs w:val="22"/>
        </w:rPr>
        <w:t xml:space="preserve">0,000, has an estimated useful life of five years and an estimated </w:t>
      </w:r>
      <w:r w:rsidR="00CE7DB2" w:rsidRPr="00E950E2">
        <w:rPr>
          <w:rFonts w:ascii="Times New Roman" w:hAnsi="Times New Roman"/>
          <w:b w:val="0"/>
          <w:sz w:val="22"/>
          <w:szCs w:val="22"/>
        </w:rPr>
        <w:t>residual</w:t>
      </w:r>
      <w:r w:rsidR="00E607A3" w:rsidRPr="00E950E2">
        <w:rPr>
          <w:rFonts w:ascii="Times New Roman" w:hAnsi="Times New Roman"/>
          <w:b w:val="0"/>
          <w:sz w:val="22"/>
          <w:szCs w:val="22"/>
        </w:rPr>
        <w:t xml:space="preserve"> value of $15,000 at the end of that time.  It is expected that the machine can produce </w:t>
      </w:r>
      <w:r w:rsidR="001A5DF7">
        <w:rPr>
          <w:rFonts w:ascii="Times New Roman" w:hAnsi="Times New Roman"/>
          <w:b w:val="0"/>
          <w:sz w:val="22"/>
          <w:szCs w:val="22"/>
        </w:rPr>
        <w:t>17</w:t>
      </w:r>
      <w:r w:rsidR="00E607A3" w:rsidRPr="00E950E2">
        <w:rPr>
          <w:rFonts w:ascii="Times New Roman" w:hAnsi="Times New Roman"/>
          <w:b w:val="0"/>
          <w:sz w:val="22"/>
          <w:szCs w:val="22"/>
        </w:rPr>
        <w:t>0,000 widgets during its useful life.</w:t>
      </w:r>
    </w:p>
    <w:p w:rsidR="00E607A3" w:rsidRPr="00E950E2" w:rsidRDefault="00E607A3">
      <w:pPr>
        <w:pStyle w:val="BodyTextArial13"/>
        <w:rPr>
          <w:rFonts w:ascii="Times New Roman" w:hAnsi="Times New Roman"/>
          <w:b w:val="0"/>
          <w:sz w:val="22"/>
          <w:szCs w:val="22"/>
        </w:rPr>
      </w:pPr>
    </w:p>
    <w:p w:rsidR="00E607A3" w:rsidRPr="00E950E2" w:rsidRDefault="00E607A3">
      <w:pPr>
        <w:pStyle w:val="BodyTextArial13"/>
        <w:rPr>
          <w:rFonts w:ascii="Times New Roman" w:hAnsi="Times New Roman"/>
          <w:b w:val="0"/>
          <w:sz w:val="22"/>
          <w:szCs w:val="22"/>
        </w:rPr>
      </w:pPr>
      <w:r w:rsidRPr="00E950E2">
        <w:rPr>
          <w:rFonts w:ascii="Times New Roman" w:hAnsi="Times New Roman"/>
          <w:b w:val="0"/>
          <w:sz w:val="22"/>
          <w:szCs w:val="22"/>
        </w:rPr>
        <w:t>The New Times Company purchases</w:t>
      </w:r>
      <w:r w:rsidR="004C5404" w:rsidRPr="00E950E2">
        <w:rPr>
          <w:rFonts w:ascii="Times New Roman" w:hAnsi="Times New Roman"/>
          <w:b w:val="0"/>
          <w:sz w:val="22"/>
          <w:szCs w:val="22"/>
        </w:rPr>
        <w:t xml:space="preserve"> this machine on </w:t>
      </w:r>
      <w:r w:rsidR="008461B0" w:rsidRPr="00E950E2">
        <w:rPr>
          <w:rFonts w:ascii="Times New Roman" w:hAnsi="Times New Roman"/>
          <w:b w:val="0"/>
          <w:sz w:val="22"/>
          <w:szCs w:val="22"/>
        </w:rPr>
        <w:t xml:space="preserve">January 1, </w:t>
      </w:r>
      <w:r w:rsidR="008461B0">
        <w:rPr>
          <w:rFonts w:ascii="Times New Roman" w:hAnsi="Times New Roman"/>
          <w:b w:val="0"/>
          <w:sz w:val="22"/>
          <w:szCs w:val="22"/>
        </w:rPr>
        <w:t>2019</w:t>
      </w:r>
      <w:r w:rsidR="008461B0" w:rsidRPr="00E950E2">
        <w:rPr>
          <w:rFonts w:ascii="Times New Roman" w:hAnsi="Times New Roman"/>
          <w:b w:val="0"/>
          <w:sz w:val="22"/>
          <w:szCs w:val="22"/>
        </w:rPr>
        <w:t xml:space="preserve"> and</w:t>
      </w:r>
      <w:r w:rsidRPr="00E950E2">
        <w:rPr>
          <w:rFonts w:ascii="Times New Roman" w:hAnsi="Times New Roman"/>
          <w:b w:val="0"/>
          <w:sz w:val="22"/>
          <w:szCs w:val="22"/>
        </w:rPr>
        <w:t xml:space="preserve"> uses it for exactly three years.  During these years the annual production of widgets has been 80,000, 50,000, and 30,000 units, r</w:t>
      </w:r>
      <w:r w:rsidR="004C5404" w:rsidRPr="00E950E2">
        <w:rPr>
          <w:rFonts w:ascii="Times New Roman" w:hAnsi="Times New Roman"/>
          <w:b w:val="0"/>
          <w:sz w:val="22"/>
          <w:szCs w:val="22"/>
        </w:rPr>
        <w:t>espectively.  On January 1, 201</w:t>
      </w:r>
      <w:r w:rsidR="00FE44B4">
        <w:rPr>
          <w:rFonts w:ascii="Times New Roman" w:hAnsi="Times New Roman"/>
          <w:b w:val="0"/>
          <w:sz w:val="22"/>
          <w:szCs w:val="22"/>
        </w:rPr>
        <w:t>9</w:t>
      </w:r>
      <w:r w:rsidRPr="00E950E2">
        <w:rPr>
          <w:rFonts w:ascii="Times New Roman" w:hAnsi="Times New Roman"/>
          <w:b w:val="0"/>
          <w:sz w:val="22"/>
          <w:szCs w:val="22"/>
        </w:rPr>
        <w:t>, the machine is sold for $45,000.</w:t>
      </w:r>
    </w:p>
    <w:p w:rsidR="00E607A3" w:rsidRPr="00E950E2" w:rsidRDefault="00E607A3">
      <w:pPr>
        <w:pStyle w:val="BodyText"/>
        <w:rPr>
          <w:szCs w:val="22"/>
        </w:rPr>
      </w:pPr>
    </w:p>
    <w:p w:rsidR="00E607A3" w:rsidRPr="00E950E2" w:rsidRDefault="00E607A3">
      <w:pPr>
        <w:pStyle w:val="BodyText"/>
        <w:rPr>
          <w:i/>
          <w:szCs w:val="22"/>
        </w:rPr>
      </w:pPr>
      <w:r w:rsidRPr="00E950E2">
        <w:rPr>
          <w:i/>
          <w:szCs w:val="22"/>
        </w:rPr>
        <w:t>Required:</w:t>
      </w:r>
    </w:p>
    <w:p w:rsidR="00E607A3" w:rsidRPr="00E950E2" w:rsidRDefault="00E607A3">
      <w:pPr>
        <w:pStyle w:val="Outline1"/>
        <w:numPr>
          <w:ilvl w:val="0"/>
          <w:numId w:val="0"/>
        </w:numPr>
        <w:rPr>
          <w:szCs w:val="22"/>
        </w:rPr>
      </w:pPr>
      <w:r w:rsidRPr="00E950E2">
        <w:rPr>
          <w:szCs w:val="22"/>
        </w:rPr>
        <w:t>1.</w:t>
      </w:r>
      <w:r w:rsidR="00400999" w:rsidRPr="00E950E2">
        <w:rPr>
          <w:szCs w:val="22"/>
        </w:rPr>
        <w:t xml:space="preserve">  </w:t>
      </w:r>
      <w:r w:rsidRPr="00E950E2">
        <w:rPr>
          <w:szCs w:val="22"/>
        </w:rPr>
        <w:t xml:space="preserve">Calculate the </w:t>
      </w:r>
      <w:r w:rsidR="00225B7A" w:rsidRPr="00E950E2">
        <w:rPr>
          <w:szCs w:val="22"/>
        </w:rPr>
        <w:t>depreciation</w:t>
      </w:r>
      <w:r w:rsidRPr="00E950E2">
        <w:rPr>
          <w:szCs w:val="22"/>
        </w:rPr>
        <w:t xml:space="preserve"> expense for each of the first three years using</w:t>
      </w:r>
    </w:p>
    <w:p w:rsidR="00E607A3" w:rsidRPr="00E950E2" w:rsidRDefault="00E607A3">
      <w:pPr>
        <w:pStyle w:val="Outline2"/>
        <w:numPr>
          <w:ilvl w:val="1"/>
          <w:numId w:val="11"/>
        </w:numPr>
        <w:rPr>
          <w:szCs w:val="22"/>
        </w:rPr>
      </w:pPr>
      <w:r w:rsidRPr="00E950E2">
        <w:rPr>
          <w:szCs w:val="22"/>
        </w:rPr>
        <w:t>straight-line</w:t>
      </w:r>
    </w:p>
    <w:p w:rsidR="00E607A3" w:rsidRPr="00E950E2" w:rsidRDefault="00E607A3">
      <w:pPr>
        <w:pStyle w:val="Outline2"/>
        <w:numPr>
          <w:ilvl w:val="1"/>
          <w:numId w:val="11"/>
        </w:numPr>
        <w:rPr>
          <w:szCs w:val="22"/>
        </w:rPr>
      </w:pPr>
      <w:r w:rsidRPr="00E950E2">
        <w:rPr>
          <w:szCs w:val="22"/>
        </w:rPr>
        <w:t>units-of-production</w:t>
      </w:r>
    </w:p>
    <w:p w:rsidR="00E607A3" w:rsidRPr="00E950E2" w:rsidRDefault="00E607A3">
      <w:pPr>
        <w:pStyle w:val="Outline2"/>
        <w:numPr>
          <w:ilvl w:val="1"/>
          <w:numId w:val="11"/>
        </w:numPr>
        <w:rPr>
          <w:szCs w:val="22"/>
        </w:rPr>
      </w:pPr>
      <w:r w:rsidRPr="00E950E2">
        <w:rPr>
          <w:szCs w:val="22"/>
        </w:rPr>
        <w:t>double-declining-balance</w:t>
      </w:r>
    </w:p>
    <w:p w:rsidR="00E607A3" w:rsidRPr="00E950E2" w:rsidRDefault="00E607A3">
      <w:pPr>
        <w:pStyle w:val="Outline2"/>
        <w:numPr>
          <w:ilvl w:val="0"/>
          <w:numId w:val="0"/>
        </w:numPr>
        <w:rPr>
          <w:szCs w:val="22"/>
        </w:rPr>
      </w:pPr>
    </w:p>
    <w:p w:rsidR="00E607A3" w:rsidRPr="00E950E2" w:rsidRDefault="00E607A3">
      <w:pPr>
        <w:pStyle w:val="Outline1"/>
        <w:numPr>
          <w:ilvl w:val="0"/>
          <w:numId w:val="0"/>
        </w:numPr>
        <w:rPr>
          <w:szCs w:val="22"/>
        </w:rPr>
      </w:pPr>
      <w:r w:rsidRPr="00E950E2">
        <w:rPr>
          <w:szCs w:val="22"/>
        </w:rPr>
        <w:t>2.</w:t>
      </w:r>
      <w:r w:rsidR="00400999" w:rsidRPr="00E950E2">
        <w:rPr>
          <w:szCs w:val="22"/>
        </w:rPr>
        <w:t xml:space="preserve">  </w:t>
      </w:r>
      <w:r w:rsidRPr="00E950E2">
        <w:rPr>
          <w:szCs w:val="22"/>
        </w:rPr>
        <w:t xml:space="preserve">Prepare the proper journal entry for the sale of the machine under the three different </w:t>
      </w:r>
      <w:r w:rsidR="00225B7A" w:rsidRPr="00E950E2">
        <w:rPr>
          <w:szCs w:val="22"/>
        </w:rPr>
        <w:t>depreciation</w:t>
      </w:r>
      <w:r w:rsidRPr="00E950E2">
        <w:rPr>
          <w:szCs w:val="22"/>
        </w:rPr>
        <w:t xml:space="preserve"> methods.</w:t>
      </w:r>
    </w:p>
    <w:p w:rsidR="00E607A3" w:rsidRPr="00E950E2" w:rsidRDefault="00E607A3" w:rsidP="00E950E2">
      <w:pPr>
        <w:pStyle w:val="TableBodyArial13"/>
      </w:pPr>
      <w:r w:rsidRPr="00E950E2">
        <w:rPr>
          <w:sz w:val="22"/>
          <w:szCs w:val="22"/>
        </w:rPr>
        <w:br w:type="page"/>
      </w:r>
      <w:r w:rsidRPr="00E950E2">
        <w:lastRenderedPageBreak/>
        <w:t xml:space="preserve">Solution to Alternate Demo Problem Chapter </w:t>
      </w:r>
      <w:r w:rsidR="008A636B">
        <w:t>9</w:t>
      </w:r>
    </w:p>
    <w:p w:rsidR="00400999" w:rsidRPr="00E950E2" w:rsidRDefault="00400999">
      <w:pPr>
        <w:pStyle w:val="Outline1"/>
        <w:numPr>
          <w:ilvl w:val="0"/>
          <w:numId w:val="0"/>
        </w:numPr>
        <w:rPr>
          <w:szCs w:val="22"/>
        </w:rPr>
      </w:pPr>
    </w:p>
    <w:p w:rsidR="00E607A3" w:rsidRPr="00E950E2" w:rsidRDefault="00E607A3">
      <w:pPr>
        <w:pStyle w:val="Outline1"/>
        <w:numPr>
          <w:ilvl w:val="0"/>
          <w:numId w:val="0"/>
        </w:numPr>
        <w:rPr>
          <w:szCs w:val="22"/>
        </w:rPr>
      </w:pPr>
      <w:r w:rsidRPr="00E950E2">
        <w:rPr>
          <w:szCs w:val="22"/>
        </w:rPr>
        <w:t>1a</w:t>
      </w:r>
      <w:r w:rsidR="009320E8" w:rsidRPr="00E950E2">
        <w:rPr>
          <w:szCs w:val="22"/>
        </w:rPr>
        <w:t>. Straight</w:t>
      </w:r>
      <w:r w:rsidRPr="00E950E2">
        <w:rPr>
          <w:szCs w:val="22"/>
        </w:rPr>
        <w:t>-line</w:t>
      </w:r>
      <w:r w:rsidRPr="00E950E2">
        <w:rPr>
          <w:szCs w:val="22"/>
        </w:rPr>
        <w:br/>
      </w:r>
      <w:r w:rsidRPr="00E950E2">
        <w:rPr>
          <w:szCs w:val="22"/>
        </w:rPr>
        <w:br/>
        <w:t xml:space="preserve">The </w:t>
      </w:r>
      <w:r w:rsidR="00225B7A" w:rsidRPr="00E950E2">
        <w:rPr>
          <w:szCs w:val="22"/>
        </w:rPr>
        <w:t>depreciation</w:t>
      </w:r>
      <w:r w:rsidRPr="00E950E2">
        <w:rPr>
          <w:szCs w:val="22"/>
        </w:rPr>
        <w:t xml:space="preserve"> expense each year is equal to (cost - </w:t>
      </w:r>
      <w:r w:rsidR="00CE7DB2" w:rsidRPr="00E950E2">
        <w:rPr>
          <w:szCs w:val="22"/>
        </w:rPr>
        <w:t>residual</w:t>
      </w:r>
      <w:r w:rsidRPr="00E950E2">
        <w:rPr>
          <w:szCs w:val="22"/>
        </w:rPr>
        <w:t>) / useful life.  In this example the cost is $</w:t>
      </w:r>
      <w:r w:rsidR="007F626F">
        <w:rPr>
          <w:szCs w:val="22"/>
        </w:rPr>
        <w:t>10</w:t>
      </w:r>
      <w:r w:rsidRPr="00E950E2">
        <w:rPr>
          <w:szCs w:val="22"/>
        </w:rPr>
        <w:t xml:space="preserve">0,000, the </w:t>
      </w:r>
      <w:r w:rsidR="00CE7DB2" w:rsidRPr="00E950E2">
        <w:rPr>
          <w:szCs w:val="22"/>
        </w:rPr>
        <w:t>residual</w:t>
      </w:r>
      <w:r w:rsidRPr="00E950E2">
        <w:rPr>
          <w:szCs w:val="22"/>
        </w:rPr>
        <w:t xml:space="preserve"> is $15,000, and the useful life is 5 years.  Therefore,</w:t>
      </w:r>
    </w:p>
    <w:p w:rsidR="00E607A3" w:rsidRPr="00E950E2" w:rsidRDefault="00E607A3">
      <w:pPr>
        <w:pStyle w:val="TableBody"/>
        <w:rPr>
          <w:szCs w:val="22"/>
        </w:rPr>
      </w:pPr>
    </w:p>
    <w:tbl>
      <w:tblPr>
        <w:tblW w:w="0" w:type="auto"/>
        <w:tblLayout w:type="fixed"/>
        <w:tblLook w:val="0000" w:firstRow="0" w:lastRow="0" w:firstColumn="0" w:lastColumn="0" w:noHBand="0" w:noVBand="0"/>
      </w:tblPr>
      <w:tblGrid>
        <w:gridCol w:w="3090"/>
        <w:gridCol w:w="280"/>
        <w:gridCol w:w="3303"/>
      </w:tblGrid>
      <w:tr w:rsidR="00E607A3" w:rsidRPr="00E950E2">
        <w:trPr>
          <w:trHeight w:val="653"/>
        </w:trPr>
        <w:tc>
          <w:tcPr>
            <w:tcW w:w="3090" w:type="dxa"/>
          </w:tcPr>
          <w:p w:rsidR="00E607A3" w:rsidRPr="00E950E2" w:rsidRDefault="00E607A3">
            <w:pPr>
              <w:pStyle w:val="TableBody"/>
              <w:rPr>
                <w:szCs w:val="22"/>
              </w:rPr>
            </w:pPr>
            <w:r w:rsidRPr="00E950E2">
              <w:rPr>
                <w:szCs w:val="22"/>
              </w:rPr>
              <w:t xml:space="preserve">Annual </w:t>
            </w:r>
            <w:r w:rsidR="00225B7A" w:rsidRPr="00E950E2">
              <w:rPr>
                <w:szCs w:val="22"/>
              </w:rPr>
              <w:t>depreciation</w:t>
            </w:r>
          </w:p>
        </w:tc>
        <w:tc>
          <w:tcPr>
            <w:tcW w:w="280" w:type="dxa"/>
          </w:tcPr>
          <w:p w:rsidR="00E607A3" w:rsidRPr="00E950E2" w:rsidRDefault="00E607A3">
            <w:pPr>
              <w:pStyle w:val="TableBody"/>
              <w:jc w:val="center"/>
              <w:rPr>
                <w:szCs w:val="22"/>
              </w:rPr>
            </w:pPr>
            <w:r w:rsidRPr="00E950E2">
              <w:rPr>
                <w:szCs w:val="22"/>
              </w:rPr>
              <w:t>=</w:t>
            </w:r>
          </w:p>
        </w:tc>
        <w:tc>
          <w:tcPr>
            <w:tcW w:w="3303" w:type="dxa"/>
          </w:tcPr>
          <w:p w:rsidR="00E607A3" w:rsidRPr="00E950E2" w:rsidRDefault="00E607A3">
            <w:pPr>
              <w:pStyle w:val="TableBody"/>
              <w:rPr>
                <w:szCs w:val="22"/>
              </w:rPr>
            </w:pPr>
            <w:r w:rsidRPr="00E950E2">
              <w:rPr>
                <w:szCs w:val="22"/>
              </w:rPr>
              <w:t>(</w:t>
            </w:r>
            <w:r w:rsidR="007F626F">
              <w:rPr>
                <w:szCs w:val="22"/>
              </w:rPr>
              <w:t>10</w:t>
            </w:r>
            <w:r w:rsidRPr="00E950E2">
              <w:rPr>
                <w:szCs w:val="22"/>
              </w:rPr>
              <w:t>0,000-15,000)/ 5</w:t>
            </w:r>
          </w:p>
        </w:tc>
      </w:tr>
      <w:tr w:rsidR="00E607A3" w:rsidRPr="00E950E2">
        <w:trPr>
          <w:trHeight w:val="327"/>
        </w:trPr>
        <w:tc>
          <w:tcPr>
            <w:tcW w:w="3090" w:type="dxa"/>
          </w:tcPr>
          <w:p w:rsidR="00E607A3" w:rsidRPr="00E950E2" w:rsidRDefault="00E607A3">
            <w:pPr>
              <w:pStyle w:val="TableBody"/>
              <w:rPr>
                <w:szCs w:val="22"/>
              </w:rPr>
            </w:pPr>
          </w:p>
        </w:tc>
        <w:tc>
          <w:tcPr>
            <w:tcW w:w="280" w:type="dxa"/>
          </w:tcPr>
          <w:p w:rsidR="00E607A3" w:rsidRPr="00E950E2" w:rsidRDefault="00E607A3">
            <w:pPr>
              <w:pStyle w:val="TableBody"/>
              <w:jc w:val="center"/>
              <w:rPr>
                <w:szCs w:val="22"/>
              </w:rPr>
            </w:pPr>
            <w:r w:rsidRPr="00E950E2">
              <w:rPr>
                <w:szCs w:val="22"/>
              </w:rPr>
              <w:t>=</w:t>
            </w:r>
          </w:p>
        </w:tc>
        <w:tc>
          <w:tcPr>
            <w:tcW w:w="3303" w:type="dxa"/>
          </w:tcPr>
          <w:p w:rsidR="00E607A3" w:rsidRPr="00E950E2" w:rsidRDefault="001A5DF7">
            <w:pPr>
              <w:pStyle w:val="TableBody"/>
              <w:rPr>
                <w:szCs w:val="22"/>
              </w:rPr>
            </w:pPr>
            <w:r>
              <w:rPr>
                <w:szCs w:val="22"/>
              </w:rPr>
              <w:t>17,000</w:t>
            </w:r>
            <w:r w:rsidR="00E607A3" w:rsidRPr="00E950E2">
              <w:rPr>
                <w:szCs w:val="22"/>
              </w:rPr>
              <w:t xml:space="preserve"> each year</w:t>
            </w:r>
          </w:p>
        </w:tc>
      </w:tr>
    </w:tbl>
    <w:p w:rsidR="00E607A3" w:rsidRPr="00E950E2" w:rsidRDefault="00E607A3">
      <w:pPr>
        <w:pStyle w:val="TableBody"/>
        <w:rPr>
          <w:szCs w:val="22"/>
        </w:rPr>
      </w:pPr>
    </w:p>
    <w:p w:rsidR="00E607A3" w:rsidRPr="00E950E2" w:rsidRDefault="00E607A3">
      <w:pPr>
        <w:pStyle w:val="Outline1"/>
        <w:numPr>
          <w:ilvl w:val="0"/>
          <w:numId w:val="0"/>
        </w:numPr>
        <w:rPr>
          <w:szCs w:val="22"/>
        </w:rPr>
      </w:pPr>
      <w:r w:rsidRPr="00E950E2">
        <w:rPr>
          <w:szCs w:val="22"/>
        </w:rPr>
        <w:t>1b.</w:t>
      </w:r>
      <w:r w:rsidR="00400999" w:rsidRPr="00E950E2">
        <w:rPr>
          <w:szCs w:val="22"/>
        </w:rPr>
        <w:t xml:space="preserve"> </w:t>
      </w:r>
      <w:r w:rsidRPr="00E950E2">
        <w:rPr>
          <w:szCs w:val="22"/>
        </w:rPr>
        <w:t>Units-of-production</w:t>
      </w:r>
      <w:r w:rsidRPr="00E950E2">
        <w:rPr>
          <w:szCs w:val="22"/>
        </w:rPr>
        <w:br/>
      </w:r>
      <w:r w:rsidRPr="00E950E2">
        <w:rPr>
          <w:szCs w:val="22"/>
        </w:rPr>
        <w:br/>
      </w:r>
      <w:r w:rsidR="0043417A">
        <w:rPr>
          <w:szCs w:val="22"/>
        </w:rPr>
        <w:t>T</w:t>
      </w:r>
      <w:r w:rsidRPr="00E950E2">
        <w:rPr>
          <w:szCs w:val="22"/>
        </w:rPr>
        <w:t xml:space="preserve">he </w:t>
      </w:r>
      <w:r w:rsidR="00225B7A" w:rsidRPr="00E950E2">
        <w:rPr>
          <w:szCs w:val="22"/>
        </w:rPr>
        <w:t>depreciation</w:t>
      </w:r>
      <w:r w:rsidRPr="00E950E2">
        <w:rPr>
          <w:szCs w:val="22"/>
        </w:rPr>
        <w:t xml:space="preserve"> expense each year is equal to a rate</w:t>
      </w:r>
    </w:p>
    <w:p w:rsidR="00E607A3" w:rsidRPr="00E950E2" w:rsidRDefault="00E607A3" w:rsidP="00400999">
      <w:pPr>
        <w:pStyle w:val="Outline1"/>
        <w:numPr>
          <w:ilvl w:val="0"/>
          <w:numId w:val="0"/>
        </w:numPr>
        <w:jc w:val="both"/>
        <w:rPr>
          <w:szCs w:val="22"/>
        </w:rPr>
      </w:pPr>
      <w:r w:rsidRPr="00E950E2">
        <w:rPr>
          <w:szCs w:val="22"/>
        </w:rPr>
        <w:t>[(cost-</w:t>
      </w:r>
      <w:r w:rsidR="00CE7DB2" w:rsidRPr="00E950E2">
        <w:rPr>
          <w:szCs w:val="22"/>
        </w:rPr>
        <w:t>residual</w:t>
      </w:r>
      <w:r w:rsidRPr="00E950E2">
        <w:rPr>
          <w:szCs w:val="22"/>
        </w:rPr>
        <w:t>) / total production] multiplied by the actual number of units produced that year.  In this example the rate would be $0.50 per widget, (</w:t>
      </w:r>
      <w:r w:rsidR="007F626F">
        <w:rPr>
          <w:szCs w:val="22"/>
        </w:rPr>
        <w:t>10</w:t>
      </w:r>
      <w:r w:rsidRPr="00E950E2">
        <w:rPr>
          <w:szCs w:val="22"/>
        </w:rPr>
        <w:t>0,000</w:t>
      </w:r>
      <w:r w:rsidR="00400999" w:rsidRPr="00E950E2">
        <w:rPr>
          <w:szCs w:val="22"/>
        </w:rPr>
        <w:t>-</w:t>
      </w:r>
      <w:r w:rsidR="003610B3">
        <w:rPr>
          <w:szCs w:val="22"/>
        </w:rPr>
        <w:t>15,000)/ 170</w:t>
      </w:r>
      <w:r w:rsidRPr="00E950E2">
        <w:rPr>
          <w:szCs w:val="22"/>
        </w:rPr>
        <w:t xml:space="preserve">,000, and the </w:t>
      </w:r>
      <w:r w:rsidR="00225B7A" w:rsidRPr="00E950E2">
        <w:rPr>
          <w:szCs w:val="22"/>
        </w:rPr>
        <w:t>depreciation</w:t>
      </w:r>
      <w:r w:rsidRPr="00E950E2">
        <w:rPr>
          <w:szCs w:val="22"/>
        </w:rPr>
        <w:t xml:space="preserve"> expense for each of the first three years would be</w:t>
      </w:r>
      <w:r w:rsidR="00400999" w:rsidRPr="00E950E2">
        <w:rPr>
          <w:szCs w:val="22"/>
        </w:rPr>
        <w:t>:</w:t>
      </w:r>
    </w:p>
    <w:p w:rsidR="00E607A3" w:rsidRPr="00E950E2" w:rsidRDefault="00E607A3">
      <w:pPr>
        <w:pStyle w:val="TableBody"/>
        <w:rPr>
          <w:szCs w:val="22"/>
        </w:rPr>
      </w:pPr>
    </w:p>
    <w:p w:rsidR="00E607A3" w:rsidRPr="00E950E2" w:rsidRDefault="00E607A3">
      <w:pPr>
        <w:pStyle w:val="TableBody"/>
        <w:rPr>
          <w:szCs w:val="22"/>
        </w:rPr>
      </w:pPr>
    </w:p>
    <w:tbl>
      <w:tblPr>
        <w:tblW w:w="0" w:type="auto"/>
        <w:tblLayout w:type="fixed"/>
        <w:tblLook w:val="0000" w:firstRow="0" w:lastRow="0" w:firstColumn="0" w:lastColumn="0" w:noHBand="0" w:noVBand="0"/>
      </w:tblPr>
      <w:tblGrid>
        <w:gridCol w:w="989"/>
        <w:gridCol w:w="359"/>
        <w:gridCol w:w="806"/>
        <w:gridCol w:w="584"/>
        <w:gridCol w:w="1395"/>
        <w:gridCol w:w="605"/>
        <w:gridCol w:w="3006"/>
      </w:tblGrid>
      <w:tr w:rsidR="00E607A3" w:rsidRPr="00E950E2">
        <w:trPr>
          <w:trHeight w:val="591"/>
        </w:trPr>
        <w:tc>
          <w:tcPr>
            <w:tcW w:w="989" w:type="dxa"/>
          </w:tcPr>
          <w:p w:rsidR="00E607A3" w:rsidRPr="00E950E2" w:rsidRDefault="00BE0CFC">
            <w:pPr>
              <w:rPr>
                <w:szCs w:val="22"/>
              </w:rPr>
            </w:pPr>
            <w:r>
              <w:rPr>
                <w:szCs w:val="22"/>
              </w:rPr>
              <w:t>201</w:t>
            </w:r>
            <w:r w:rsidR="00FE44B4">
              <w:rPr>
                <w:szCs w:val="22"/>
              </w:rPr>
              <w:t>9</w:t>
            </w:r>
          </w:p>
        </w:tc>
        <w:tc>
          <w:tcPr>
            <w:tcW w:w="359" w:type="dxa"/>
          </w:tcPr>
          <w:p w:rsidR="00E607A3" w:rsidRPr="00E950E2" w:rsidRDefault="00E607A3">
            <w:pPr>
              <w:pStyle w:val="Equation1"/>
              <w:widowControl/>
              <w:tabs>
                <w:tab w:val="clear" w:pos="-720"/>
              </w:tabs>
              <w:suppressAutoHyphens w:val="0"/>
              <w:spacing w:before="0" w:after="0"/>
              <w:rPr>
                <w:rFonts w:ascii="Times New Roman" w:hAnsi="Times New Roman"/>
                <w:spacing w:val="0"/>
                <w:kern w:val="0"/>
                <w:szCs w:val="22"/>
              </w:rPr>
            </w:pPr>
            <w:r w:rsidRPr="00E950E2">
              <w:rPr>
                <w:rFonts w:ascii="Times New Roman" w:hAnsi="Times New Roman"/>
                <w:spacing w:val="0"/>
                <w:kern w:val="0"/>
                <w:szCs w:val="22"/>
              </w:rPr>
              <w:t>=</w:t>
            </w:r>
          </w:p>
        </w:tc>
        <w:tc>
          <w:tcPr>
            <w:tcW w:w="806" w:type="dxa"/>
          </w:tcPr>
          <w:p w:rsidR="00E607A3" w:rsidRPr="00E950E2" w:rsidRDefault="00E607A3">
            <w:pPr>
              <w:rPr>
                <w:szCs w:val="22"/>
              </w:rPr>
            </w:pPr>
            <w:r w:rsidRPr="00E950E2">
              <w:rPr>
                <w:szCs w:val="22"/>
              </w:rPr>
              <w:t>.50</w:t>
            </w:r>
          </w:p>
        </w:tc>
        <w:tc>
          <w:tcPr>
            <w:tcW w:w="584" w:type="dxa"/>
          </w:tcPr>
          <w:p w:rsidR="00E607A3" w:rsidRPr="00E950E2" w:rsidRDefault="00E607A3">
            <w:pPr>
              <w:pStyle w:val="Equation1"/>
              <w:widowControl/>
              <w:tabs>
                <w:tab w:val="clear" w:pos="-720"/>
              </w:tabs>
              <w:suppressAutoHyphens w:val="0"/>
              <w:spacing w:before="0" w:after="0"/>
              <w:rPr>
                <w:rFonts w:ascii="Times New Roman" w:hAnsi="Times New Roman"/>
                <w:spacing w:val="0"/>
                <w:kern w:val="0"/>
                <w:szCs w:val="22"/>
              </w:rPr>
            </w:pPr>
            <w:r w:rsidRPr="00E950E2">
              <w:rPr>
                <w:rFonts w:ascii="Times New Roman" w:hAnsi="Times New Roman"/>
                <w:spacing w:val="0"/>
                <w:kern w:val="0"/>
                <w:szCs w:val="22"/>
              </w:rPr>
              <w:t>x</w:t>
            </w:r>
          </w:p>
        </w:tc>
        <w:tc>
          <w:tcPr>
            <w:tcW w:w="1395" w:type="dxa"/>
          </w:tcPr>
          <w:p w:rsidR="00E607A3" w:rsidRPr="00E950E2" w:rsidRDefault="00E607A3">
            <w:pPr>
              <w:rPr>
                <w:szCs w:val="22"/>
              </w:rPr>
            </w:pPr>
            <w:r w:rsidRPr="00E950E2">
              <w:rPr>
                <w:szCs w:val="22"/>
              </w:rPr>
              <w:t>80,000</w:t>
            </w:r>
          </w:p>
        </w:tc>
        <w:tc>
          <w:tcPr>
            <w:tcW w:w="605" w:type="dxa"/>
          </w:tcPr>
          <w:p w:rsidR="00E607A3" w:rsidRPr="00E950E2" w:rsidRDefault="00E607A3">
            <w:pPr>
              <w:pStyle w:val="Equation1"/>
              <w:widowControl/>
              <w:tabs>
                <w:tab w:val="clear" w:pos="-720"/>
              </w:tabs>
              <w:suppressAutoHyphens w:val="0"/>
              <w:spacing w:before="0" w:after="0"/>
              <w:rPr>
                <w:rFonts w:ascii="Times New Roman" w:hAnsi="Times New Roman"/>
                <w:spacing w:val="0"/>
                <w:kern w:val="0"/>
                <w:szCs w:val="22"/>
              </w:rPr>
            </w:pPr>
            <w:r w:rsidRPr="00E950E2">
              <w:rPr>
                <w:rFonts w:ascii="Times New Roman" w:hAnsi="Times New Roman"/>
                <w:spacing w:val="0"/>
                <w:kern w:val="0"/>
                <w:szCs w:val="22"/>
              </w:rPr>
              <w:t>=</w:t>
            </w:r>
          </w:p>
        </w:tc>
        <w:tc>
          <w:tcPr>
            <w:tcW w:w="3006" w:type="dxa"/>
          </w:tcPr>
          <w:p w:rsidR="00E607A3" w:rsidRPr="00E950E2" w:rsidRDefault="00E607A3">
            <w:pPr>
              <w:rPr>
                <w:szCs w:val="22"/>
              </w:rPr>
            </w:pPr>
            <w:r w:rsidRPr="00E950E2">
              <w:rPr>
                <w:szCs w:val="22"/>
              </w:rPr>
              <w:t>40,000</w:t>
            </w:r>
          </w:p>
        </w:tc>
      </w:tr>
      <w:tr w:rsidR="00E607A3" w:rsidRPr="00E950E2">
        <w:trPr>
          <w:trHeight w:val="591"/>
        </w:trPr>
        <w:tc>
          <w:tcPr>
            <w:tcW w:w="989" w:type="dxa"/>
          </w:tcPr>
          <w:p w:rsidR="00E607A3" w:rsidRPr="00E950E2" w:rsidRDefault="00BE0CFC" w:rsidP="0005343A">
            <w:pPr>
              <w:rPr>
                <w:szCs w:val="22"/>
                <w:vertAlign w:val="subscript"/>
              </w:rPr>
            </w:pPr>
            <w:r>
              <w:rPr>
                <w:szCs w:val="22"/>
              </w:rPr>
              <w:t>20</w:t>
            </w:r>
            <w:r w:rsidR="00FE44B4">
              <w:rPr>
                <w:szCs w:val="22"/>
              </w:rPr>
              <w:t>20</w:t>
            </w:r>
          </w:p>
        </w:tc>
        <w:tc>
          <w:tcPr>
            <w:tcW w:w="359" w:type="dxa"/>
          </w:tcPr>
          <w:p w:rsidR="00E607A3" w:rsidRPr="00E950E2" w:rsidRDefault="00E607A3">
            <w:pPr>
              <w:jc w:val="center"/>
              <w:rPr>
                <w:szCs w:val="22"/>
              </w:rPr>
            </w:pPr>
            <w:r w:rsidRPr="00E950E2">
              <w:rPr>
                <w:szCs w:val="22"/>
              </w:rPr>
              <w:t>=</w:t>
            </w:r>
          </w:p>
        </w:tc>
        <w:tc>
          <w:tcPr>
            <w:tcW w:w="806" w:type="dxa"/>
          </w:tcPr>
          <w:p w:rsidR="00E607A3" w:rsidRPr="00E950E2" w:rsidRDefault="00E607A3">
            <w:pPr>
              <w:rPr>
                <w:szCs w:val="22"/>
              </w:rPr>
            </w:pPr>
            <w:r w:rsidRPr="00E950E2">
              <w:rPr>
                <w:szCs w:val="22"/>
              </w:rPr>
              <w:t>.50</w:t>
            </w:r>
          </w:p>
        </w:tc>
        <w:tc>
          <w:tcPr>
            <w:tcW w:w="584" w:type="dxa"/>
          </w:tcPr>
          <w:p w:rsidR="00E607A3" w:rsidRPr="00E950E2" w:rsidRDefault="00E607A3">
            <w:pPr>
              <w:jc w:val="center"/>
              <w:rPr>
                <w:szCs w:val="22"/>
              </w:rPr>
            </w:pPr>
            <w:r w:rsidRPr="00E950E2">
              <w:rPr>
                <w:szCs w:val="22"/>
              </w:rPr>
              <w:t>x</w:t>
            </w:r>
          </w:p>
        </w:tc>
        <w:tc>
          <w:tcPr>
            <w:tcW w:w="1395" w:type="dxa"/>
          </w:tcPr>
          <w:p w:rsidR="00E607A3" w:rsidRPr="00E950E2" w:rsidRDefault="00E607A3">
            <w:pPr>
              <w:rPr>
                <w:szCs w:val="22"/>
              </w:rPr>
            </w:pPr>
            <w:r w:rsidRPr="00E950E2">
              <w:rPr>
                <w:szCs w:val="22"/>
              </w:rPr>
              <w:t>50,000</w:t>
            </w:r>
          </w:p>
        </w:tc>
        <w:tc>
          <w:tcPr>
            <w:tcW w:w="605" w:type="dxa"/>
          </w:tcPr>
          <w:p w:rsidR="00E607A3" w:rsidRPr="00E950E2" w:rsidRDefault="00E607A3">
            <w:pPr>
              <w:jc w:val="center"/>
              <w:rPr>
                <w:szCs w:val="22"/>
              </w:rPr>
            </w:pPr>
            <w:r w:rsidRPr="00E950E2">
              <w:rPr>
                <w:szCs w:val="22"/>
              </w:rPr>
              <w:t>=</w:t>
            </w:r>
          </w:p>
        </w:tc>
        <w:tc>
          <w:tcPr>
            <w:tcW w:w="3006" w:type="dxa"/>
          </w:tcPr>
          <w:p w:rsidR="00E607A3" w:rsidRPr="00E950E2" w:rsidRDefault="00E607A3">
            <w:pPr>
              <w:rPr>
                <w:szCs w:val="22"/>
              </w:rPr>
            </w:pPr>
            <w:r w:rsidRPr="00E950E2">
              <w:rPr>
                <w:szCs w:val="22"/>
              </w:rPr>
              <w:t>25,000</w:t>
            </w:r>
          </w:p>
        </w:tc>
      </w:tr>
      <w:tr w:rsidR="00E607A3" w:rsidRPr="00E950E2">
        <w:trPr>
          <w:trHeight w:val="591"/>
        </w:trPr>
        <w:tc>
          <w:tcPr>
            <w:tcW w:w="989" w:type="dxa"/>
          </w:tcPr>
          <w:p w:rsidR="00E607A3" w:rsidRPr="00E950E2" w:rsidRDefault="00BE0CFC" w:rsidP="0005343A">
            <w:pPr>
              <w:rPr>
                <w:szCs w:val="22"/>
              </w:rPr>
            </w:pPr>
            <w:r>
              <w:rPr>
                <w:szCs w:val="22"/>
              </w:rPr>
              <w:t>20</w:t>
            </w:r>
            <w:r w:rsidR="00FE44B4">
              <w:rPr>
                <w:szCs w:val="22"/>
              </w:rPr>
              <w:t>21</w:t>
            </w:r>
          </w:p>
        </w:tc>
        <w:tc>
          <w:tcPr>
            <w:tcW w:w="359" w:type="dxa"/>
          </w:tcPr>
          <w:p w:rsidR="00E607A3" w:rsidRPr="00E950E2" w:rsidRDefault="00E607A3">
            <w:pPr>
              <w:jc w:val="center"/>
              <w:rPr>
                <w:szCs w:val="22"/>
              </w:rPr>
            </w:pPr>
            <w:r w:rsidRPr="00E950E2">
              <w:rPr>
                <w:szCs w:val="22"/>
              </w:rPr>
              <w:t>=</w:t>
            </w:r>
          </w:p>
        </w:tc>
        <w:tc>
          <w:tcPr>
            <w:tcW w:w="806" w:type="dxa"/>
          </w:tcPr>
          <w:p w:rsidR="00E607A3" w:rsidRPr="00E950E2" w:rsidRDefault="00E607A3">
            <w:pPr>
              <w:rPr>
                <w:szCs w:val="22"/>
              </w:rPr>
            </w:pPr>
            <w:r w:rsidRPr="00E950E2">
              <w:rPr>
                <w:szCs w:val="22"/>
              </w:rPr>
              <w:t>.50</w:t>
            </w:r>
          </w:p>
        </w:tc>
        <w:tc>
          <w:tcPr>
            <w:tcW w:w="584" w:type="dxa"/>
          </w:tcPr>
          <w:p w:rsidR="00E607A3" w:rsidRPr="00E950E2" w:rsidRDefault="00E607A3">
            <w:pPr>
              <w:jc w:val="center"/>
              <w:rPr>
                <w:szCs w:val="22"/>
              </w:rPr>
            </w:pPr>
            <w:r w:rsidRPr="00E950E2">
              <w:rPr>
                <w:szCs w:val="22"/>
              </w:rPr>
              <w:t>x</w:t>
            </w:r>
          </w:p>
        </w:tc>
        <w:tc>
          <w:tcPr>
            <w:tcW w:w="1395" w:type="dxa"/>
          </w:tcPr>
          <w:p w:rsidR="00E607A3" w:rsidRPr="00E950E2" w:rsidRDefault="00E607A3">
            <w:pPr>
              <w:rPr>
                <w:szCs w:val="22"/>
              </w:rPr>
            </w:pPr>
            <w:r w:rsidRPr="00E950E2">
              <w:rPr>
                <w:szCs w:val="22"/>
              </w:rPr>
              <w:t>30,000</w:t>
            </w:r>
          </w:p>
        </w:tc>
        <w:tc>
          <w:tcPr>
            <w:tcW w:w="605" w:type="dxa"/>
          </w:tcPr>
          <w:p w:rsidR="00E607A3" w:rsidRPr="00E950E2" w:rsidRDefault="00E607A3">
            <w:pPr>
              <w:jc w:val="center"/>
              <w:rPr>
                <w:szCs w:val="22"/>
              </w:rPr>
            </w:pPr>
            <w:r w:rsidRPr="00E950E2">
              <w:rPr>
                <w:szCs w:val="22"/>
              </w:rPr>
              <w:t>=</w:t>
            </w:r>
          </w:p>
        </w:tc>
        <w:tc>
          <w:tcPr>
            <w:tcW w:w="3006" w:type="dxa"/>
          </w:tcPr>
          <w:p w:rsidR="00E607A3" w:rsidRPr="00E950E2" w:rsidRDefault="00E607A3">
            <w:pPr>
              <w:rPr>
                <w:szCs w:val="22"/>
              </w:rPr>
            </w:pPr>
            <w:r w:rsidRPr="00E950E2">
              <w:rPr>
                <w:szCs w:val="22"/>
              </w:rPr>
              <w:t>15,000</w:t>
            </w:r>
          </w:p>
        </w:tc>
      </w:tr>
    </w:tbl>
    <w:p w:rsidR="00E607A3" w:rsidRPr="00E950E2" w:rsidRDefault="00E607A3">
      <w:pPr>
        <w:pStyle w:val="TableBody"/>
        <w:rPr>
          <w:szCs w:val="22"/>
        </w:rPr>
      </w:pPr>
    </w:p>
    <w:p w:rsidR="00E607A3" w:rsidRPr="00E950E2" w:rsidRDefault="00E607A3">
      <w:pPr>
        <w:pStyle w:val="TableBody"/>
        <w:rPr>
          <w:szCs w:val="22"/>
        </w:rPr>
      </w:pPr>
    </w:p>
    <w:p w:rsidR="00E607A3" w:rsidRPr="00E950E2" w:rsidRDefault="00E607A3">
      <w:pPr>
        <w:pStyle w:val="Outline1"/>
        <w:numPr>
          <w:ilvl w:val="0"/>
          <w:numId w:val="0"/>
        </w:numPr>
        <w:rPr>
          <w:szCs w:val="22"/>
        </w:rPr>
      </w:pPr>
      <w:r w:rsidRPr="00E950E2">
        <w:rPr>
          <w:szCs w:val="22"/>
        </w:rPr>
        <w:t>1c.</w:t>
      </w:r>
      <w:r w:rsidR="00400999" w:rsidRPr="00E950E2">
        <w:rPr>
          <w:szCs w:val="22"/>
        </w:rPr>
        <w:t xml:space="preserve"> </w:t>
      </w:r>
      <w:r w:rsidRPr="00E950E2">
        <w:rPr>
          <w:szCs w:val="22"/>
        </w:rPr>
        <w:t>Double-declining-balance</w:t>
      </w:r>
      <w:r w:rsidRPr="00E950E2">
        <w:rPr>
          <w:szCs w:val="22"/>
        </w:rPr>
        <w:br/>
      </w:r>
      <w:r w:rsidRPr="00E950E2">
        <w:rPr>
          <w:szCs w:val="22"/>
        </w:rPr>
        <w:br/>
        <w:t xml:space="preserve">The </w:t>
      </w:r>
      <w:r w:rsidR="00225B7A" w:rsidRPr="00E950E2">
        <w:rPr>
          <w:szCs w:val="22"/>
        </w:rPr>
        <w:t>depreciation</w:t>
      </w:r>
      <w:r w:rsidRPr="00E950E2">
        <w:rPr>
          <w:szCs w:val="22"/>
        </w:rPr>
        <w:t xml:space="preserve"> expense each year is equal to a rate (twice the straight-line rate, or 2 / useful life) multiplied by the </w:t>
      </w:r>
      <w:r w:rsidR="004C5404" w:rsidRPr="00E950E2">
        <w:rPr>
          <w:szCs w:val="22"/>
        </w:rPr>
        <w:t xml:space="preserve">asset’s net book value (cost less </w:t>
      </w:r>
      <w:r w:rsidRPr="00E950E2">
        <w:rPr>
          <w:szCs w:val="22"/>
        </w:rPr>
        <w:t xml:space="preserve">accumulated </w:t>
      </w:r>
      <w:r w:rsidR="00225B7A" w:rsidRPr="00E950E2">
        <w:rPr>
          <w:szCs w:val="22"/>
        </w:rPr>
        <w:t>depreciation</w:t>
      </w:r>
      <w:r w:rsidRPr="00E950E2">
        <w:rPr>
          <w:szCs w:val="22"/>
        </w:rPr>
        <w:t xml:space="preserve">) at the beginning of the year.  In this example the rate would be 2/5, or 40%, and the </w:t>
      </w:r>
      <w:r w:rsidR="00225B7A" w:rsidRPr="00E950E2">
        <w:rPr>
          <w:szCs w:val="22"/>
        </w:rPr>
        <w:t>depreciation</w:t>
      </w:r>
      <w:r w:rsidRPr="00E950E2">
        <w:rPr>
          <w:szCs w:val="22"/>
        </w:rPr>
        <w:t xml:space="preserve"> expense for each of the first three years would be</w:t>
      </w:r>
    </w:p>
    <w:p w:rsidR="00E607A3" w:rsidRPr="00E950E2" w:rsidRDefault="00E607A3">
      <w:pPr>
        <w:pStyle w:val="TableBody"/>
        <w:rPr>
          <w:szCs w:val="22"/>
        </w:rPr>
      </w:pPr>
    </w:p>
    <w:tbl>
      <w:tblPr>
        <w:tblW w:w="0" w:type="auto"/>
        <w:tblLayout w:type="fixed"/>
        <w:tblLook w:val="0000" w:firstRow="0" w:lastRow="0" w:firstColumn="0" w:lastColumn="0" w:noHBand="0" w:noVBand="0"/>
      </w:tblPr>
      <w:tblGrid>
        <w:gridCol w:w="1554"/>
        <w:gridCol w:w="726"/>
        <w:gridCol w:w="968"/>
        <w:gridCol w:w="702"/>
        <w:gridCol w:w="1918"/>
        <w:gridCol w:w="726"/>
        <w:gridCol w:w="1695"/>
      </w:tblGrid>
      <w:tr w:rsidR="00E607A3" w:rsidRPr="00E950E2">
        <w:trPr>
          <w:trHeight w:val="280"/>
        </w:trPr>
        <w:tc>
          <w:tcPr>
            <w:tcW w:w="1554" w:type="dxa"/>
          </w:tcPr>
          <w:p w:rsidR="00E607A3" w:rsidRPr="00E950E2" w:rsidRDefault="00BE0CFC">
            <w:pPr>
              <w:pStyle w:val="TableBody"/>
              <w:rPr>
                <w:szCs w:val="22"/>
              </w:rPr>
            </w:pPr>
            <w:r>
              <w:rPr>
                <w:szCs w:val="22"/>
              </w:rPr>
              <w:t>201</w:t>
            </w:r>
            <w:r w:rsidR="00FE44B4">
              <w:rPr>
                <w:szCs w:val="22"/>
              </w:rPr>
              <w:t>9</w:t>
            </w:r>
          </w:p>
        </w:tc>
        <w:tc>
          <w:tcPr>
            <w:tcW w:w="726" w:type="dxa"/>
          </w:tcPr>
          <w:p w:rsidR="00E607A3" w:rsidRPr="00E950E2" w:rsidRDefault="00E607A3">
            <w:pPr>
              <w:pStyle w:val="TableBody"/>
              <w:rPr>
                <w:szCs w:val="22"/>
              </w:rPr>
            </w:pPr>
            <w:r w:rsidRPr="00E950E2">
              <w:rPr>
                <w:szCs w:val="22"/>
              </w:rPr>
              <w:t>=</w:t>
            </w:r>
          </w:p>
        </w:tc>
        <w:tc>
          <w:tcPr>
            <w:tcW w:w="968" w:type="dxa"/>
          </w:tcPr>
          <w:p w:rsidR="00E607A3" w:rsidRPr="00E950E2" w:rsidRDefault="00E607A3">
            <w:pPr>
              <w:pStyle w:val="TableBody"/>
              <w:rPr>
                <w:szCs w:val="22"/>
              </w:rPr>
            </w:pPr>
            <w:r w:rsidRPr="00E950E2">
              <w:rPr>
                <w:szCs w:val="22"/>
              </w:rPr>
              <w:t>.40</w:t>
            </w:r>
          </w:p>
        </w:tc>
        <w:tc>
          <w:tcPr>
            <w:tcW w:w="702" w:type="dxa"/>
          </w:tcPr>
          <w:p w:rsidR="00E607A3" w:rsidRPr="00E950E2" w:rsidRDefault="00E607A3">
            <w:pPr>
              <w:pStyle w:val="TableBody"/>
              <w:rPr>
                <w:szCs w:val="22"/>
              </w:rPr>
            </w:pPr>
            <w:r w:rsidRPr="00E950E2">
              <w:rPr>
                <w:szCs w:val="22"/>
              </w:rPr>
              <w:t>x</w:t>
            </w:r>
          </w:p>
        </w:tc>
        <w:tc>
          <w:tcPr>
            <w:tcW w:w="1918" w:type="dxa"/>
          </w:tcPr>
          <w:p w:rsidR="00E607A3" w:rsidRPr="00E950E2" w:rsidRDefault="007F626F" w:rsidP="001A2D54">
            <w:pPr>
              <w:pStyle w:val="TableBody"/>
              <w:jc w:val="right"/>
              <w:rPr>
                <w:szCs w:val="22"/>
              </w:rPr>
            </w:pPr>
            <w:r>
              <w:rPr>
                <w:szCs w:val="22"/>
              </w:rPr>
              <w:t>10</w:t>
            </w:r>
            <w:r w:rsidR="00E607A3" w:rsidRPr="00E950E2">
              <w:rPr>
                <w:szCs w:val="22"/>
              </w:rPr>
              <w:t>0,000</w:t>
            </w:r>
          </w:p>
        </w:tc>
        <w:tc>
          <w:tcPr>
            <w:tcW w:w="726" w:type="dxa"/>
          </w:tcPr>
          <w:p w:rsidR="00E607A3" w:rsidRPr="00E950E2" w:rsidRDefault="00E607A3">
            <w:pPr>
              <w:pStyle w:val="TableBody"/>
              <w:rPr>
                <w:szCs w:val="22"/>
              </w:rPr>
            </w:pPr>
            <w:r w:rsidRPr="00E950E2">
              <w:rPr>
                <w:szCs w:val="22"/>
              </w:rPr>
              <w:t>=</w:t>
            </w:r>
          </w:p>
        </w:tc>
        <w:tc>
          <w:tcPr>
            <w:tcW w:w="1695" w:type="dxa"/>
          </w:tcPr>
          <w:p w:rsidR="00E607A3" w:rsidRPr="00E950E2" w:rsidRDefault="00E607A3" w:rsidP="001A2D54">
            <w:pPr>
              <w:pStyle w:val="TableBody"/>
              <w:jc w:val="center"/>
              <w:rPr>
                <w:szCs w:val="22"/>
              </w:rPr>
            </w:pPr>
            <w:r w:rsidRPr="00E950E2">
              <w:rPr>
                <w:szCs w:val="22"/>
              </w:rPr>
              <w:t>4</w:t>
            </w:r>
            <w:r w:rsidR="001A2D54">
              <w:rPr>
                <w:szCs w:val="22"/>
              </w:rPr>
              <w:t>0,000</w:t>
            </w:r>
          </w:p>
        </w:tc>
      </w:tr>
      <w:tr w:rsidR="00E607A3" w:rsidRPr="00E950E2">
        <w:trPr>
          <w:trHeight w:val="266"/>
        </w:trPr>
        <w:tc>
          <w:tcPr>
            <w:tcW w:w="1554" w:type="dxa"/>
          </w:tcPr>
          <w:p w:rsidR="00E607A3" w:rsidRPr="00E950E2" w:rsidRDefault="00BE0CFC" w:rsidP="0005343A">
            <w:pPr>
              <w:pStyle w:val="TableBody"/>
              <w:rPr>
                <w:szCs w:val="22"/>
              </w:rPr>
            </w:pPr>
            <w:r>
              <w:rPr>
                <w:szCs w:val="22"/>
              </w:rPr>
              <w:t>20</w:t>
            </w:r>
            <w:r w:rsidR="00FE44B4">
              <w:rPr>
                <w:szCs w:val="22"/>
              </w:rPr>
              <w:t>20</w:t>
            </w:r>
          </w:p>
        </w:tc>
        <w:tc>
          <w:tcPr>
            <w:tcW w:w="726" w:type="dxa"/>
          </w:tcPr>
          <w:p w:rsidR="00E607A3" w:rsidRPr="00E950E2" w:rsidRDefault="00E607A3">
            <w:pPr>
              <w:pStyle w:val="TableBody"/>
              <w:rPr>
                <w:szCs w:val="22"/>
              </w:rPr>
            </w:pPr>
            <w:r w:rsidRPr="00E950E2">
              <w:rPr>
                <w:szCs w:val="22"/>
              </w:rPr>
              <w:t>=</w:t>
            </w:r>
          </w:p>
        </w:tc>
        <w:tc>
          <w:tcPr>
            <w:tcW w:w="968" w:type="dxa"/>
          </w:tcPr>
          <w:p w:rsidR="00E607A3" w:rsidRPr="00E950E2" w:rsidRDefault="00E607A3">
            <w:pPr>
              <w:pStyle w:val="TableBody"/>
              <w:rPr>
                <w:szCs w:val="22"/>
              </w:rPr>
            </w:pPr>
            <w:r w:rsidRPr="00E950E2">
              <w:rPr>
                <w:szCs w:val="22"/>
              </w:rPr>
              <w:t>.40</w:t>
            </w:r>
          </w:p>
        </w:tc>
        <w:tc>
          <w:tcPr>
            <w:tcW w:w="702" w:type="dxa"/>
          </w:tcPr>
          <w:p w:rsidR="00E607A3" w:rsidRPr="00E950E2" w:rsidRDefault="00E607A3">
            <w:pPr>
              <w:pStyle w:val="TableBody"/>
              <w:rPr>
                <w:szCs w:val="22"/>
              </w:rPr>
            </w:pPr>
            <w:r w:rsidRPr="00E950E2">
              <w:rPr>
                <w:szCs w:val="22"/>
              </w:rPr>
              <w:t>x</w:t>
            </w:r>
          </w:p>
        </w:tc>
        <w:tc>
          <w:tcPr>
            <w:tcW w:w="1918" w:type="dxa"/>
          </w:tcPr>
          <w:p w:rsidR="00E607A3" w:rsidRPr="00E950E2" w:rsidRDefault="001A2D54" w:rsidP="001A2D54">
            <w:pPr>
              <w:pStyle w:val="TableBody"/>
              <w:jc w:val="right"/>
              <w:rPr>
                <w:szCs w:val="22"/>
              </w:rPr>
            </w:pPr>
            <w:r>
              <w:rPr>
                <w:szCs w:val="22"/>
              </w:rPr>
              <w:t>60,000</w:t>
            </w:r>
          </w:p>
        </w:tc>
        <w:tc>
          <w:tcPr>
            <w:tcW w:w="726" w:type="dxa"/>
          </w:tcPr>
          <w:p w:rsidR="00E607A3" w:rsidRPr="00E950E2" w:rsidRDefault="00E607A3">
            <w:pPr>
              <w:pStyle w:val="TableBody"/>
              <w:rPr>
                <w:szCs w:val="22"/>
              </w:rPr>
            </w:pPr>
            <w:r w:rsidRPr="00E950E2">
              <w:rPr>
                <w:szCs w:val="22"/>
              </w:rPr>
              <w:t>=</w:t>
            </w:r>
          </w:p>
        </w:tc>
        <w:tc>
          <w:tcPr>
            <w:tcW w:w="1695" w:type="dxa"/>
          </w:tcPr>
          <w:p w:rsidR="00E607A3" w:rsidRPr="00E950E2" w:rsidRDefault="001A2D54" w:rsidP="001A2D54">
            <w:pPr>
              <w:pStyle w:val="TableBody"/>
              <w:jc w:val="center"/>
              <w:rPr>
                <w:szCs w:val="22"/>
              </w:rPr>
            </w:pPr>
            <w:r>
              <w:rPr>
                <w:szCs w:val="22"/>
              </w:rPr>
              <w:t>24,000</w:t>
            </w:r>
          </w:p>
        </w:tc>
      </w:tr>
      <w:tr w:rsidR="00E607A3" w:rsidRPr="00E950E2">
        <w:trPr>
          <w:trHeight w:val="280"/>
        </w:trPr>
        <w:tc>
          <w:tcPr>
            <w:tcW w:w="1554" w:type="dxa"/>
          </w:tcPr>
          <w:p w:rsidR="00E607A3" w:rsidRPr="00E950E2" w:rsidRDefault="00BE0CFC" w:rsidP="0005343A">
            <w:pPr>
              <w:pStyle w:val="TableBody"/>
              <w:rPr>
                <w:szCs w:val="22"/>
              </w:rPr>
            </w:pPr>
            <w:r>
              <w:rPr>
                <w:szCs w:val="22"/>
              </w:rPr>
              <w:t>20</w:t>
            </w:r>
            <w:r w:rsidR="00FE44B4">
              <w:rPr>
                <w:szCs w:val="22"/>
              </w:rPr>
              <w:t>21</w:t>
            </w:r>
          </w:p>
        </w:tc>
        <w:tc>
          <w:tcPr>
            <w:tcW w:w="726" w:type="dxa"/>
          </w:tcPr>
          <w:p w:rsidR="00E607A3" w:rsidRPr="00E950E2" w:rsidRDefault="00E607A3">
            <w:pPr>
              <w:pStyle w:val="TableBody"/>
              <w:rPr>
                <w:szCs w:val="22"/>
              </w:rPr>
            </w:pPr>
            <w:r w:rsidRPr="00E950E2">
              <w:rPr>
                <w:szCs w:val="22"/>
              </w:rPr>
              <w:t>=</w:t>
            </w:r>
          </w:p>
        </w:tc>
        <w:tc>
          <w:tcPr>
            <w:tcW w:w="968" w:type="dxa"/>
          </w:tcPr>
          <w:p w:rsidR="00E607A3" w:rsidRPr="00E950E2" w:rsidRDefault="00E607A3">
            <w:pPr>
              <w:pStyle w:val="TableBody"/>
              <w:rPr>
                <w:szCs w:val="22"/>
              </w:rPr>
            </w:pPr>
            <w:r w:rsidRPr="00E950E2">
              <w:rPr>
                <w:szCs w:val="22"/>
              </w:rPr>
              <w:t>.40</w:t>
            </w:r>
          </w:p>
        </w:tc>
        <w:tc>
          <w:tcPr>
            <w:tcW w:w="702" w:type="dxa"/>
          </w:tcPr>
          <w:p w:rsidR="00E607A3" w:rsidRPr="00E950E2" w:rsidRDefault="00E607A3">
            <w:pPr>
              <w:pStyle w:val="TableBody"/>
              <w:rPr>
                <w:szCs w:val="22"/>
              </w:rPr>
            </w:pPr>
            <w:r w:rsidRPr="00E950E2">
              <w:rPr>
                <w:szCs w:val="22"/>
              </w:rPr>
              <w:t>x</w:t>
            </w:r>
          </w:p>
        </w:tc>
        <w:tc>
          <w:tcPr>
            <w:tcW w:w="1918" w:type="dxa"/>
          </w:tcPr>
          <w:p w:rsidR="00E607A3" w:rsidRPr="00E950E2" w:rsidRDefault="001A5DF7" w:rsidP="001A2D54">
            <w:pPr>
              <w:pStyle w:val="TableBody"/>
              <w:jc w:val="right"/>
              <w:rPr>
                <w:szCs w:val="22"/>
              </w:rPr>
            </w:pPr>
            <w:r>
              <w:rPr>
                <w:szCs w:val="22"/>
              </w:rPr>
              <w:t xml:space="preserve">  </w:t>
            </w:r>
            <w:r w:rsidR="001A2D54">
              <w:rPr>
                <w:szCs w:val="22"/>
              </w:rPr>
              <w:t>36,000</w:t>
            </w:r>
          </w:p>
        </w:tc>
        <w:tc>
          <w:tcPr>
            <w:tcW w:w="726" w:type="dxa"/>
          </w:tcPr>
          <w:p w:rsidR="00E607A3" w:rsidRPr="00E950E2" w:rsidRDefault="00E607A3">
            <w:pPr>
              <w:pStyle w:val="TableBody"/>
              <w:rPr>
                <w:szCs w:val="22"/>
              </w:rPr>
            </w:pPr>
            <w:r w:rsidRPr="00E950E2">
              <w:rPr>
                <w:szCs w:val="22"/>
              </w:rPr>
              <w:t>=</w:t>
            </w:r>
          </w:p>
        </w:tc>
        <w:tc>
          <w:tcPr>
            <w:tcW w:w="1695" w:type="dxa"/>
          </w:tcPr>
          <w:p w:rsidR="00E607A3" w:rsidRPr="00E950E2" w:rsidRDefault="001A2D54" w:rsidP="001A2D54">
            <w:pPr>
              <w:pStyle w:val="TableBody"/>
              <w:jc w:val="center"/>
              <w:rPr>
                <w:szCs w:val="22"/>
              </w:rPr>
            </w:pPr>
            <w:r>
              <w:rPr>
                <w:szCs w:val="22"/>
              </w:rPr>
              <w:t>14,400</w:t>
            </w:r>
          </w:p>
        </w:tc>
      </w:tr>
    </w:tbl>
    <w:p w:rsidR="00E607A3" w:rsidRPr="00E950E2" w:rsidRDefault="00E607A3">
      <w:pPr>
        <w:pStyle w:val="Outline1"/>
        <w:numPr>
          <w:ilvl w:val="0"/>
          <w:numId w:val="1"/>
        </w:numPr>
        <w:tabs>
          <w:tab w:val="left" w:leader="dot" w:pos="3384"/>
        </w:tabs>
        <w:rPr>
          <w:szCs w:val="22"/>
        </w:rPr>
      </w:pPr>
      <w:r w:rsidRPr="00E950E2">
        <w:rPr>
          <w:szCs w:val="22"/>
        </w:rPr>
        <w:br w:type="page"/>
      </w:r>
      <w:r w:rsidRPr="00E950E2">
        <w:rPr>
          <w:szCs w:val="22"/>
        </w:rPr>
        <w:lastRenderedPageBreak/>
        <w:t xml:space="preserve">The journal entry for the sale of the asset will have the same general form regardless of the method of </w:t>
      </w:r>
      <w:r w:rsidR="00225B7A" w:rsidRPr="00E950E2">
        <w:rPr>
          <w:szCs w:val="22"/>
        </w:rPr>
        <w:t>depreciation</w:t>
      </w:r>
      <w:r w:rsidRPr="00E950E2">
        <w:rPr>
          <w:szCs w:val="22"/>
        </w:rPr>
        <w:t xml:space="preserve"> adopted, except that whether there is a gain or a loss on the sale may change according to the </w:t>
      </w:r>
      <w:r w:rsidR="00225B7A" w:rsidRPr="00E950E2">
        <w:rPr>
          <w:szCs w:val="22"/>
        </w:rPr>
        <w:t>depreciation</w:t>
      </w:r>
      <w:r w:rsidRPr="00E950E2">
        <w:rPr>
          <w:szCs w:val="22"/>
        </w:rPr>
        <w:t xml:space="preserve"> method used.  The gain or loss on disposal of the asset is determined by comparing the sale price, in this case $45,000, with the net book value of the asset at the time of the sale.</w:t>
      </w:r>
    </w:p>
    <w:p w:rsidR="00E607A3" w:rsidRPr="00E950E2" w:rsidRDefault="00E607A3">
      <w:pPr>
        <w:pStyle w:val="BodyText"/>
        <w:tabs>
          <w:tab w:val="left" w:pos="432"/>
          <w:tab w:val="left" w:leader="dot" w:pos="3384"/>
        </w:tabs>
        <w:rPr>
          <w:szCs w:val="22"/>
        </w:rPr>
      </w:pPr>
    </w:p>
    <w:p w:rsidR="00E607A3" w:rsidRPr="00E950E2" w:rsidRDefault="00E607A3">
      <w:pPr>
        <w:pStyle w:val="BodyText"/>
        <w:tabs>
          <w:tab w:val="left" w:pos="432"/>
          <w:tab w:val="left" w:leader="dot" w:pos="3384"/>
        </w:tabs>
        <w:rPr>
          <w:szCs w:val="22"/>
        </w:rPr>
      </w:pPr>
      <w:r w:rsidRPr="00E950E2">
        <w:rPr>
          <w:szCs w:val="22"/>
        </w:rPr>
        <w:t>Straight-line</w:t>
      </w:r>
    </w:p>
    <w:tbl>
      <w:tblPr>
        <w:tblW w:w="0" w:type="auto"/>
        <w:tblLayout w:type="fixed"/>
        <w:tblLook w:val="0000" w:firstRow="0" w:lastRow="0" w:firstColumn="0" w:lastColumn="0" w:noHBand="0" w:noVBand="0"/>
      </w:tblPr>
      <w:tblGrid>
        <w:gridCol w:w="2394"/>
        <w:gridCol w:w="3960"/>
        <w:gridCol w:w="1191"/>
        <w:gridCol w:w="1191"/>
      </w:tblGrid>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Cash</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45,000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 xml:space="preserve">Accumulated </w:t>
            </w:r>
            <w:r w:rsidR="00225B7A" w:rsidRPr="00E950E2">
              <w:rPr>
                <w:szCs w:val="22"/>
              </w:rPr>
              <w:t>depreciation</w:t>
            </w:r>
            <w:r w:rsidRPr="00E950E2">
              <w:rPr>
                <w:szCs w:val="22"/>
              </w:rPr>
              <w:tab/>
            </w:r>
          </w:p>
        </w:tc>
        <w:tc>
          <w:tcPr>
            <w:tcW w:w="1191" w:type="dxa"/>
          </w:tcPr>
          <w:p w:rsidR="00E607A3" w:rsidRPr="00E950E2" w:rsidRDefault="001A5DF7">
            <w:pPr>
              <w:pStyle w:val="TableBody"/>
              <w:tabs>
                <w:tab w:val="left" w:pos="432"/>
                <w:tab w:val="left" w:leader="dot" w:pos="3384"/>
              </w:tabs>
              <w:jc w:val="right"/>
              <w:rPr>
                <w:szCs w:val="22"/>
              </w:rPr>
            </w:pPr>
            <w:r>
              <w:rPr>
                <w:szCs w:val="22"/>
              </w:rPr>
              <w:t>51,000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Loss on sale of machine</w:t>
            </w:r>
            <w:r w:rsidRPr="00E950E2">
              <w:rPr>
                <w:szCs w:val="22"/>
              </w:rPr>
              <w:tab/>
            </w:r>
          </w:p>
        </w:tc>
        <w:tc>
          <w:tcPr>
            <w:tcW w:w="1191" w:type="dxa"/>
          </w:tcPr>
          <w:p w:rsidR="00E607A3" w:rsidRPr="00E950E2" w:rsidRDefault="001A5DF7">
            <w:pPr>
              <w:pStyle w:val="TableBody"/>
              <w:tabs>
                <w:tab w:val="left" w:pos="432"/>
                <w:tab w:val="left" w:leader="dot" w:pos="3384"/>
              </w:tabs>
              <w:jc w:val="right"/>
              <w:rPr>
                <w:szCs w:val="22"/>
              </w:rPr>
            </w:pPr>
            <w:r>
              <w:rPr>
                <w:szCs w:val="22"/>
              </w:rPr>
              <w:t>4,000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ab/>
              <w:t>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7F626F">
            <w:pPr>
              <w:pStyle w:val="TableBody"/>
              <w:tabs>
                <w:tab w:val="left" w:pos="432"/>
                <w:tab w:val="left" w:leader="dot" w:pos="3384"/>
              </w:tabs>
              <w:jc w:val="right"/>
              <w:rPr>
                <w:szCs w:val="22"/>
              </w:rPr>
            </w:pPr>
            <w:r>
              <w:rPr>
                <w:szCs w:val="22"/>
              </w:rPr>
              <w:t>10</w:t>
            </w:r>
            <w:r w:rsidR="00E607A3" w:rsidRPr="00E950E2">
              <w:rPr>
                <w:szCs w:val="22"/>
              </w:rPr>
              <w:t>0,000</w:t>
            </w:r>
          </w:p>
        </w:tc>
      </w:tr>
    </w:tbl>
    <w:p w:rsidR="00E607A3" w:rsidRPr="00E950E2" w:rsidRDefault="00E607A3">
      <w:pPr>
        <w:pStyle w:val="BodyText"/>
        <w:tabs>
          <w:tab w:val="left" w:pos="432"/>
          <w:tab w:val="left" w:leader="dot" w:pos="3384"/>
        </w:tabs>
        <w:rPr>
          <w:szCs w:val="22"/>
        </w:rPr>
      </w:pPr>
    </w:p>
    <w:p w:rsidR="00E607A3" w:rsidRPr="00E950E2" w:rsidRDefault="00E607A3">
      <w:pPr>
        <w:pStyle w:val="BodyText"/>
        <w:tabs>
          <w:tab w:val="left" w:pos="432"/>
          <w:tab w:val="left" w:leader="dot" w:pos="3384"/>
        </w:tabs>
        <w:rPr>
          <w:szCs w:val="22"/>
        </w:rPr>
      </w:pPr>
      <w:r w:rsidRPr="00E950E2">
        <w:rPr>
          <w:szCs w:val="22"/>
        </w:rPr>
        <w:t>Units-of-production</w:t>
      </w:r>
    </w:p>
    <w:tbl>
      <w:tblPr>
        <w:tblW w:w="0" w:type="auto"/>
        <w:tblLayout w:type="fixed"/>
        <w:tblLook w:val="0000" w:firstRow="0" w:lastRow="0" w:firstColumn="0" w:lastColumn="0" w:noHBand="0" w:noVBand="0"/>
      </w:tblPr>
      <w:tblGrid>
        <w:gridCol w:w="2394"/>
        <w:gridCol w:w="3961"/>
        <w:gridCol w:w="1191"/>
        <w:gridCol w:w="1191"/>
      </w:tblGrid>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Cash</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45,000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 xml:space="preserve">Accumulated </w:t>
            </w:r>
            <w:r w:rsidR="00225B7A" w:rsidRPr="00E950E2">
              <w:rPr>
                <w:szCs w:val="22"/>
              </w:rPr>
              <w:t>depreciation</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80,000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ab/>
              <w:t>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7F626F">
            <w:pPr>
              <w:pStyle w:val="TableBody"/>
              <w:tabs>
                <w:tab w:val="left" w:pos="432"/>
                <w:tab w:val="left" w:leader="dot" w:pos="3384"/>
              </w:tabs>
              <w:jc w:val="right"/>
              <w:rPr>
                <w:szCs w:val="22"/>
              </w:rPr>
            </w:pPr>
            <w:r>
              <w:rPr>
                <w:szCs w:val="22"/>
              </w:rPr>
              <w:t>10</w:t>
            </w:r>
            <w:r w:rsidR="00E607A3" w:rsidRPr="00E950E2">
              <w:rPr>
                <w:szCs w:val="22"/>
              </w:rPr>
              <w:t>0,000</w:t>
            </w:r>
          </w:p>
        </w:tc>
      </w:tr>
      <w:tr w:rsidR="00E607A3" w:rsidRPr="00E950E2">
        <w:tc>
          <w:tcPr>
            <w:tcW w:w="2394" w:type="dxa"/>
          </w:tcPr>
          <w:p w:rsidR="00E607A3" w:rsidRPr="00E950E2" w:rsidRDefault="00E607A3">
            <w:pPr>
              <w:pStyle w:val="TableBody"/>
              <w:tabs>
                <w:tab w:val="left" w:pos="432"/>
                <w:tab w:val="left" w:leader="dot" w:pos="3384"/>
              </w:tabs>
              <w:rPr>
                <w:szCs w:val="22"/>
              </w:rPr>
            </w:pPr>
          </w:p>
        </w:tc>
        <w:tc>
          <w:tcPr>
            <w:tcW w:w="3961" w:type="dxa"/>
          </w:tcPr>
          <w:p w:rsidR="00E607A3" w:rsidRPr="00E950E2" w:rsidRDefault="00E607A3">
            <w:pPr>
              <w:pStyle w:val="TableBody"/>
              <w:tabs>
                <w:tab w:val="left" w:pos="432"/>
                <w:tab w:val="left" w:leader="dot" w:pos="3672"/>
              </w:tabs>
              <w:rPr>
                <w:szCs w:val="22"/>
              </w:rPr>
            </w:pPr>
            <w:r w:rsidRPr="00E950E2">
              <w:rPr>
                <w:szCs w:val="22"/>
              </w:rPr>
              <w:tab/>
              <w:t>Gain on sale of 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3610B3">
            <w:pPr>
              <w:pStyle w:val="TableBody"/>
              <w:tabs>
                <w:tab w:val="left" w:pos="432"/>
                <w:tab w:val="left" w:leader="dot" w:pos="3384"/>
              </w:tabs>
              <w:jc w:val="right"/>
              <w:rPr>
                <w:szCs w:val="22"/>
              </w:rPr>
            </w:pPr>
            <w:r>
              <w:rPr>
                <w:szCs w:val="22"/>
              </w:rPr>
              <w:t>2</w:t>
            </w:r>
            <w:r w:rsidR="00E607A3" w:rsidRPr="00E950E2">
              <w:rPr>
                <w:szCs w:val="22"/>
              </w:rPr>
              <w:t>5,000</w:t>
            </w:r>
          </w:p>
        </w:tc>
      </w:tr>
    </w:tbl>
    <w:p w:rsidR="00E607A3" w:rsidRPr="00E950E2" w:rsidRDefault="00E607A3">
      <w:pPr>
        <w:pStyle w:val="BodyText"/>
        <w:tabs>
          <w:tab w:val="left" w:pos="432"/>
          <w:tab w:val="left" w:leader="dot" w:pos="3384"/>
        </w:tabs>
        <w:rPr>
          <w:szCs w:val="22"/>
        </w:rPr>
      </w:pPr>
    </w:p>
    <w:p w:rsidR="00E607A3" w:rsidRPr="00E950E2" w:rsidRDefault="00E607A3">
      <w:pPr>
        <w:pStyle w:val="BodyText"/>
        <w:tabs>
          <w:tab w:val="left" w:pos="432"/>
          <w:tab w:val="left" w:leader="dot" w:pos="3384"/>
        </w:tabs>
        <w:rPr>
          <w:szCs w:val="22"/>
        </w:rPr>
      </w:pPr>
      <w:r w:rsidRPr="00E950E2">
        <w:rPr>
          <w:szCs w:val="22"/>
        </w:rPr>
        <w:t>Double-declining-balance</w:t>
      </w:r>
    </w:p>
    <w:tbl>
      <w:tblPr>
        <w:tblW w:w="0" w:type="auto"/>
        <w:tblLayout w:type="fixed"/>
        <w:tblLook w:val="0000" w:firstRow="0" w:lastRow="0" w:firstColumn="0" w:lastColumn="0" w:noHBand="0" w:noVBand="0"/>
      </w:tblPr>
      <w:tblGrid>
        <w:gridCol w:w="2390"/>
        <w:gridCol w:w="3960"/>
        <w:gridCol w:w="1191"/>
        <w:gridCol w:w="1191"/>
      </w:tblGrid>
      <w:tr w:rsidR="00E607A3" w:rsidRPr="00E950E2">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Cash</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r w:rsidRPr="00E950E2">
              <w:rPr>
                <w:szCs w:val="22"/>
              </w:rPr>
              <w:t>45,000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 xml:space="preserve">Accumulated </w:t>
            </w:r>
            <w:r w:rsidR="00225B7A" w:rsidRPr="00E950E2">
              <w:rPr>
                <w:szCs w:val="22"/>
              </w:rPr>
              <w:t>depreciation</w:t>
            </w:r>
            <w:r w:rsidRPr="00E950E2">
              <w:rPr>
                <w:szCs w:val="22"/>
              </w:rPr>
              <w:tab/>
            </w:r>
          </w:p>
        </w:tc>
        <w:tc>
          <w:tcPr>
            <w:tcW w:w="1191" w:type="dxa"/>
          </w:tcPr>
          <w:p w:rsidR="00E607A3" w:rsidRPr="00E950E2" w:rsidRDefault="001A2D54">
            <w:pPr>
              <w:pStyle w:val="TableBody"/>
              <w:tabs>
                <w:tab w:val="left" w:pos="432"/>
                <w:tab w:val="left" w:leader="dot" w:pos="3384"/>
              </w:tabs>
              <w:jc w:val="right"/>
              <w:rPr>
                <w:szCs w:val="22"/>
              </w:rPr>
            </w:pPr>
            <w:r>
              <w:rPr>
                <w:szCs w:val="22"/>
              </w:rPr>
              <w:t>78,400</w:t>
            </w:r>
          </w:p>
        </w:tc>
        <w:tc>
          <w:tcPr>
            <w:tcW w:w="1191" w:type="dxa"/>
          </w:tcPr>
          <w:p w:rsidR="00E607A3" w:rsidRPr="00E950E2" w:rsidRDefault="00E607A3">
            <w:pPr>
              <w:pStyle w:val="TableBody"/>
              <w:tabs>
                <w:tab w:val="left" w:pos="432"/>
                <w:tab w:val="left" w:leader="dot" w:pos="3384"/>
              </w:tabs>
              <w:jc w:val="right"/>
              <w:rPr>
                <w:szCs w:val="22"/>
              </w:rPr>
            </w:pPr>
          </w:p>
        </w:tc>
      </w:tr>
      <w:tr w:rsidR="00E607A3" w:rsidRPr="00E950E2">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ab/>
              <w:t>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7F626F">
            <w:pPr>
              <w:pStyle w:val="TableBody"/>
              <w:tabs>
                <w:tab w:val="left" w:pos="432"/>
                <w:tab w:val="left" w:leader="dot" w:pos="3384"/>
              </w:tabs>
              <w:jc w:val="right"/>
              <w:rPr>
                <w:szCs w:val="22"/>
              </w:rPr>
            </w:pPr>
            <w:r>
              <w:rPr>
                <w:szCs w:val="22"/>
              </w:rPr>
              <w:t>10</w:t>
            </w:r>
            <w:r w:rsidR="00E607A3" w:rsidRPr="00E950E2">
              <w:rPr>
                <w:szCs w:val="22"/>
              </w:rPr>
              <w:t>0,000</w:t>
            </w:r>
          </w:p>
        </w:tc>
      </w:tr>
      <w:tr w:rsidR="00E607A3" w:rsidRPr="00E950E2">
        <w:tc>
          <w:tcPr>
            <w:tcW w:w="2390" w:type="dxa"/>
          </w:tcPr>
          <w:p w:rsidR="00E607A3" w:rsidRPr="00E950E2" w:rsidRDefault="00E607A3">
            <w:pPr>
              <w:pStyle w:val="TableBody"/>
              <w:tabs>
                <w:tab w:val="left" w:pos="432"/>
                <w:tab w:val="left" w:leader="dot" w:pos="3384"/>
              </w:tabs>
              <w:rPr>
                <w:szCs w:val="22"/>
              </w:rPr>
            </w:pPr>
          </w:p>
        </w:tc>
        <w:tc>
          <w:tcPr>
            <w:tcW w:w="3960" w:type="dxa"/>
          </w:tcPr>
          <w:p w:rsidR="00E607A3" w:rsidRPr="00E950E2" w:rsidRDefault="00E607A3">
            <w:pPr>
              <w:pStyle w:val="TableBody"/>
              <w:tabs>
                <w:tab w:val="left" w:pos="432"/>
                <w:tab w:val="left" w:leader="dot" w:pos="3672"/>
              </w:tabs>
              <w:rPr>
                <w:szCs w:val="22"/>
              </w:rPr>
            </w:pPr>
            <w:r w:rsidRPr="00E950E2">
              <w:rPr>
                <w:szCs w:val="22"/>
              </w:rPr>
              <w:tab/>
              <w:t>Gain on sale of machine</w:t>
            </w:r>
            <w:r w:rsidRPr="00E950E2">
              <w:rPr>
                <w:szCs w:val="22"/>
              </w:rPr>
              <w:tab/>
            </w:r>
          </w:p>
        </w:tc>
        <w:tc>
          <w:tcPr>
            <w:tcW w:w="1191" w:type="dxa"/>
          </w:tcPr>
          <w:p w:rsidR="00E607A3" w:rsidRPr="00E950E2" w:rsidRDefault="00E607A3">
            <w:pPr>
              <w:pStyle w:val="TableBody"/>
              <w:tabs>
                <w:tab w:val="left" w:pos="432"/>
                <w:tab w:val="left" w:leader="dot" w:pos="3384"/>
              </w:tabs>
              <w:jc w:val="right"/>
              <w:rPr>
                <w:szCs w:val="22"/>
              </w:rPr>
            </w:pPr>
          </w:p>
        </w:tc>
        <w:tc>
          <w:tcPr>
            <w:tcW w:w="1191" w:type="dxa"/>
          </w:tcPr>
          <w:p w:rsidR="00E607A3" w:rsidRPr="00E950E2" w:rsidRDefault="001A2D54">
            <w:pPr>
              <w:pStyle w:val="TableBody"/>
              <w:tabs>
                <w:tab w:val="left" w:pos="432"/>
                <w:tab w:val="left" w:leader="dot" w:pos="3384"/>
              </w:tabs>
              <w:jc w:val="right"/>
              <w:rPr>
                <w:szCs w:val="22"/>
              </w:rPr>
            </w:pPr>
            <w:r>
              <w:rPr>
                <w:szCs w:val="22"/>
              </w:rPr>
              <w:t>23,400</w:t>
            </w:r>
          </w:p>
        </w:tc>
      </w:tr>
    </w:tbl>
    <w:p w:rsidR="00E607A3" w:rsidRPr="00E950E2" w:rsidRDefault="00E607A3" w:rsidP="00400999">
      <w:pPr>
        <w:pStyle w:val="Outline1"/>
        <w:numPr>
          <w:ilvl w:val="0"/>
          <w:numId w:val="0"/>
        </w:numPr>
        <w:rPr>
          <w:szCs w:val="22"/>
        </w:rPr>
      </w:pPr>
    </w:p>
    <w:p w:rsidR="00400999" w:rsidRPr="00E950E2" w:rsidRDefault="00400999" w:rsidP="00400999">
      <w:pPr>
        <w:pStyle w:val="Outline1"/>
        <w:numPr>
          <w:ilvl w:val="0"/>
          <w:numId w:val="0"/>
        </w:numPr>
        <w:rPr>
          <w:szCs w:val="22"/>
        </w:rPr>
      </w:pPr>
    </w:p>
    <w:sectPr w:rsidR="00400999" w:rsidRPr="00E950E2" w:rsidSect="008461B0">
      <w:headerReference w:type="even" r:id="rId12"/>
      <w:footerReference w:type="even" r:id="rId13"/>
      <w:footerReference w:type="default" r:id="rId14"/>
      <w:pgSz w:w="12240" w:h="15840" w:code="1"/>
      <w:pgMar w:top="1134" w:right="1134" w:bottom="1134" w:left="1134"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E67" w:rsidRDefault="00840E67">
      <w:r>
        <w:separator/>
      </w:r>
    </w:p>
  </w:endnote>
  <w:endnote w:type="continuationSeparator" w:id="0">
    <w:p w:rsidR="00840E67" w:rsidRDefault="0084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utigerLTStd-Black">
    <w:altName w:val="Cambria"/>
    <w:panose1 w:val="00000000000000000000"/>
    <w:charset w:val="4D"/>
    <w:family w:val="auto"/>
    <w:notTrueType/>
    <w:pitch w:val="default"/>
    <w:sig w:usb0="00000003" w:usb1="00000000" w:usb2="00000000" w:usb3="00000000" w:csb0="00000001" w:csb1="00000000"/>
  </w:font>
  <w:font w:name="FrutigerLTStd-BlackC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Narrow">
    <w:altName w:val="Arial Narrow"/>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4F1E" w:rsidRDefault="00E54F1E" w:rsidP="00E54F1E">
    <w:pPr>
      <w:pStyle w:val="Footer"/>
      <w:tabs>
        <w:tab w:val="clear" w:pos="8640"/>
        <w:tab w:val="right" w:pos="9360"/>
      </w:tabs>
      <w:jc w:val="left"/>
      <w:rPr>
        <w:rFonts w:ascii="Helvetica-Narrow" w:hAnsi="Helvetica-Narrow"/>
        <w:b/>
        <w:sz w:val="18"/>
        <w:szCs w:val="18"/>
      </w:rPr>
    </w:pPr>
    <w:r>
      <w:rPr>
        <w:rFonts w:ascii="Helvetica-Narrow" w:hAnsi="Helvetica-Narrow"/>
        <w:b/>
        <w:sz w:val="18"/>
        <w:szCs w:val="18"/>
      </w:rPr>
      <w:t xml:space="preserve">Copyright </w:t>
    </w:r>
    <w:r w:rsidR="00335596">
      <w:rPr>
        <w:rFonts w:ascii="Helvetica-Narrow" w:hAnsi="Helvetica-Narrow"/>
        <w:b/>
        <w:sz w:val="18"/>
        <w:szCs w:val="18"/>
      </w:rPr>
      <w:t>© 201</w:t>
    </w:r>
    <w:r w:rsidR="00A2472E">
      <w:rPr>
        <w:rFonts w:ascii="Helvetica-Narrow" w:hAnsi="Helvetica-Narrow"/>
        <w:b/>
        <w:sz w:val="18"/>
        <w:szCs w:val="18"/>
      </w:rPr>
      <w:t>9</w:t>
    </w:r>
    <w:r w:rsidR="00335596">
      <w:rPr>
        <w:rFonts w:ascii="Helvetica-Narrow" w:hAnsi="Helvetica-Narrow"/>
        <w:b/>
        <w:sz w:val="18"/>
        <w:szCs w:val="18"/>
      </w:rPr>
      <w:t xml:space="preserve"> Mc</w:t>
    </w:r>
    <w:r w:rsidR="004C5404">
      <w:rPr>
        <w:rFonts w:ascii="Helvetica-Narrow" w:hAnsi="Helvetica-Narrow"/>
        <w:b/>
        <w:sz w:val="18"/>
        <w:szCs w:val="18"/>
      </w:rPr>
      <w:t>Graw</w:t>
    </w:r>
    <w:r>
      <w:rPr>
        <w:rFonts w:ascii="Helvetica-Narrow" w:hAnsi="Helvetica-Narrow"/>
        <w:b/>
        <w:sz w:val="18"/>
        <w:szCs w:val="18"/>
      </w:rPr>
      <w:t xml:space="preserve">-Hill </w:t>
    </w:r>
    <w:r w:rsidR="0075432E">
      <w:rPr>
        <w:rFonts w:ascii="Helvetica-Narrow" w:hAnsi="Helvetica-Narrow"/>
        <w:b/>
        <w:sz w:val="18"/>
        <w:szCs w:val="18"/>
      </w:rPr>
      <w:t>Education</w:t>
    </w:r>
    <w:r>
      <w:rPr>
        <w:rFonts w:ascii="Helvetica-Narrow" w:hAnsi="Helvetica-Narrow"/>
        <w:b/>
        <w:sz w:val="18"/>
        <w:szCs w:val="18"/>
      </w:rPr>
      <w:t xml:space="preserve"> Limited.  All rights reserved.</w:t>
    </w:r>
  </w:p>
  <w:p w:rsidR="00E54F1E" w:rsidRPr="00E54F1E" w:rsidRDefault="00DC00DF" w:rsidP="00E54F1E">
    <w:pPr>
      <w:pStyle w:val="Footer"/>
      <w:pBdr>
        <w:top w:val="single" w:sz="2" w:space="1" w:color="auto"/>
      </w:pBdr>
      <w:tabs>
        <w:tab w:val="clear" w:pos="8640"/>
        <w:tab w:val="right" w:pos="9360"/>
      </w:tabs>
      <w:rPr>
        <w:rFonts w:ascii="Helvetica-Narrow" w:hAnsi="Helvetica-Narrow"/>
        <w:i/>
        <w:sz w:val="18"/>
        <w:szCs w:val="18"/>
      </w:rPr>
    </w:pPr>
    <w:r>
      <w:rPr>
        <w:rFonts w:ascii="Helvetica-Narrow" w:hAnsi="Helvetica-Narrow"/>
        <w:b/>
        <w:sz w:val="18"/>
        <w:szCs w:val="18"/>
      </w:rPr>
      <w:t>9</w:t>
    </w:r>
    <w:r w:rsidR="00E54F1E" w:rsidRPr="00E54F1E">
      <w:rPr>
        <w:rFonts w:ascii="Helvetica-Narrow" w:hAnsi="Helvetica-Narrow"/>
        <w:b/>
        <w:sz w:val="18"/>
        <w:szCs w:val="18"/>
      </w:rPr>
      <w:t>-</w:t>
    </w:r>
    <w:r w:rsidR="00E54F1E" w:rsidRPr="00E54F1E">
      <w:rPr>
        <w:rStyle w:val="PageNumber"/>
        <w:b/>
      </w:rPr>
      <w:fldChar w:fldCharType="begin"/>
    </w:r>
    <w:r w:rsidR="00E54F1E" w:rsidRPr="00E54F1E">
      <w:rPr>
        <w:rStyle w:val="PageNumber"/>
        <w:b/>
      </w:rPr>
      <w:instrText xml:space="preserve"> PAGE </w:instrText>
    </w:r>
    <w:r w:rsidR="00E54F1E" w:rsidRPr="00E54F1E">
      <w:rPr>
        <w:rStyle w:val="PageNumber"/>
        <w:b/>
      </w:rPr>
      <w:fldChar w:fldCharType="separate"/>
    </w:r>
    <w:r w:rsidR="00281605">
      <w:rPr>
        <w:rStyle w:val="PageNumber"/>
        <w:b/>
        <w:noProof/>
      </w:rPr>
      <w:t>10</w:t>
    </w:r>
    <w:r w:rsidR="00E54F1E" w:rsidRPr="00E54F1E">
      <w:rPr>
        <w:rStyle w:val="PageNumber"/>
        <w:b/>
      </w:rPr>
      <w:fldChar w:fldCharType="end"/>
    </w:r>
    <w:r w:rsidR="00E54F1E">
      <w:rPr>
        <w:rStyle w:val="PageNumber"/>
        <w:b/>
      </w:rPr>
      <w:tab/>
    </w:r>
    <w:r w:rsidR="00E54F1E">
      <w:rPr>
        <w:rStyle w:val="PageNumber"/>
        <w:b/>
      </w:rPr>
      <w:tab/>
    </w:r>
    <w:r w:rsidR="00E54F1E">
      <w:rPr>
        <w:rFonts w:ascii="Helvetica-Narrow" w:hAnsi="Helvetica-Narrow"/>
        <w:b/>
        <w:i/>
        <w:sz w:val="18"/>
        <w:szCs w:val="18"/>
      </w:rPr>
      <w:t>Fundamental Accounting Principles</w:t>
    </w:r>
    <w:r w:rsidR="00E54F1E" w:rsidRPr="00335596">
      <w:rPr>
        <w:rFonts w:ascii="Helvetica-Narrow" w:hAnsi="Helvetica-Narrow"/>
        <w:b/>
        <w:sz w:val="18"/>
        <w:szCs w:val="18"/>
      </w:rPr>
      <w:t xml:space="preserve">, </w:t>
    </w:r>
    <w:r w:rsidR="00036252" w:rsidRPr="00335596">
      <w:rPr>
        <w:rFonts w:ascii="Helvetica-Narrow" w:hAnsi="Helvetica-Narrow"/>
        <w:b/>
        <w:sz w:val="18"/>
        <w:szCs w:val="18"/>
      </w:rPr>
      <w:t>1</w:t>
    </w:r>
    <w:r w:rsidR="00D13D39">
      <w:rPr>
        <w:rFonts w:ascii="Helvetica-Narrow" w:hAnsi="Helvetica-Narrow"/>
        <w:b/>
        <w:sz w:val="18"/>
        <w:szCs w:val="18"/>
      </w:rPr>
      <w:t>6</w:t>
    </w:r>
    <w:r w:rsidR="00036252" w:rsidRPr="00335596">
      <w:rPr>
        <w:rFonts w:ascii="Helvetica-Narrow" w:hAnsi="Helvetica-Narrow"/>
        <w:b/>
        <w:sz w:val="18"/>
        <w:szCs w:val="18"/>
      </w:rPr>
      <w:t>th Canadian edition</w:t>
    </w:r>
  </w:p>
  <w:p w:rsidR="00E607A3" w:rsidRPr="00E54F1E" w:rsidRDefault="00E607A3" w:rsidP="00E54F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7A3" w:rsidRDefault="00E54F1E" w:rsidP="00E54F1E">
    <w:pPr>
      <w:pStyle w:val="Footer"/>
      <w:tabs>
        <w:tab w:val="clear" w:pos="8640"/>
        <w:tab w:val="right" w:pos="9360"/>
      </w:tabs>
      <w:jc w:val="right"/>
      <w:rPr>
        <w:rFonts w:ascii="Helvetica-Narrow" w:hAnsi="Helvetica-Narrow"/>
        <w:b/>
        <w:sz w:val="18"/>
        <w:szCs w:val="18"/>
      </w:rPr>
    </w:pPr>
    <w:r>
      <w:rPr>
        <w:rFonts w:ascii="Helvetica-Narrow" w:hAnsi="Helvetica-Narrow"/>
        <w:b/>
        <w:sz w:val="18"/>
        <w:szCs w:val="18"/>
      </w:rPr>
      <w:t xml:space="preserve">Copyright </w:t>
    </w:r>
    <w:r w:rsidR="00335596">
      <w:rPr>
        <w:rFonts w:ascii="Helvetica-Narrow" w:hAnsi="Helvetica-Narrow"/>
        <w:b/>
        <w:sz w:val="18"/>
        <w:szCs w:val="18"/>
      </w:rPr>
      <w:t>© 201</w:t>
    </w:r>
    <w:r w:rsidR="00D13D39">
      <w:rPr>
        <w:rFonts w:ascii="Helvetica-Narrow" w:hAnsi="Helvetica-Narrow"/>
        <w:b/>
        <w:sz w:val="18"/>
        <w:szCs w:val="18"/>
      </w:rPr>
      <w:t>9</w:t>
    </w:r>
    <w:r w:rsidR="00335596">
      <w:rPr>
        <w:rFonts w:ascii="Helvetica-Narrow" w:hAnsi="Helvetica-Narrow"/>
        <w:b/>
        <w:sz w:val="18"/>
        <w:szCs w:val="18"/>
      </w:rPr>
      <w:t xml:space="preserve"> Mc</w:t>
    </w:r>
    <w:r>
      <w:rPr>
        <w:rFonts w:ascii="Helvetica-Narrow" w:hAnsi="Helvetica-Narrow"/>
        <w:b/>
        <w:sz w:val="18"/>
        <w:szCs w:val="18"/>
      </w:rPr>
      <w:t>Graw-Hill Ryerson Limited.  All rights reserved.</w:t>
    </w:r>
  </w:p>
  <w:p w:rsidR="00E54F1E" w:rsidRPr="00E54F1E" w:rsidRDefault="00E54F1E" w:rsidP="00E54F1E">
    <w:pPr>
      <w:pStyle w:val="Footer"/>
      <w:pBdr>
        <w:top w:val="single" w:sz="2" w:space="1" w:color="auto"/>
      </w:pBdr>
      <w:tabs>
        <w:tab w:val="clear" w:pos="8640"/>
        <w:tab w:val="right" w:pos="9360"/>
      </w:tabs>
      <w:jc w:val="right"/>
      <w:rPr>
        <w:rFonts w:ascii="Helvetica-Narrow" w:hAnsi="Helvetica-Narrow"/>
        <w:i/>
        <w:sz w:val="18"/>
        <w:szCs w:val="18"/>
      </w:rPr>
    </w:pPr>
    <w:r>
      <w:rPr>
        <w:rFonts w:ascii="Helvetica-Narrow" w:hAnsi="Helvetica-Narrow"/>
        <w:b/>
        <w:i/>
        <w:sz w:val="18"/>
        <w:szCs w:val="18"/>
      </w:rPr>
      <w:t xml:space="preserve">Fundamental Accounting Principles, </w:t>
    </w:r>
    <w:r w:rsidR="00036252" w:rsidRPr="00335596">
      <w:rPr>
        <w:rFonts w:ascii="Helvetica-Narrow" w:hAnsi="Helvetica-Narrow"/>
        <w:b/>
        <w:sz w:val="18"/>
        <w:szCs w:val="18"/>
      </w:rPr>
      <w:t>1</w:t>
    </w:r>
    <w:r w:rsidR="00D13D39">
      <w:rPr>
        <w:rFonts w:ascii="Helvetica-Narrow" w:hAnsi="Helvetica-Narrow"/>
        <w:b/>
        <w:sz w:val="18"/>
        <w:szCs w:val="18"/>
      </w:rPr>
      <w:t>6</w:t>
    </w:r>
    <w:r w:rsidR="00036252" w:rsidRPr="00335596">
      <w:rPr>
        <w:rFonts w:ascii="Helvetica-Narrow" w:hAnsi="Helvetica-Narrow"/>
        <w:b/>
        <w:sz w:val="18"/>
        <w:szCs w:val="18"/>
      </w:rPr>
      <w:t>th Canadian edition</w:t>
    </w:r>
    <w:r w:rsidRPr="00335596">
      <w:rPr>
        <w:rFonts w:ascii="Helvetica-Narrow" w:hAnsi="Helvetica-Narrow"/>
        <w:b/>
        <w:sz w:val="18"/>
        <w:szCs w:val="18"/>
      </w:rPr>
      <w:tab/>
    </w:r>
    <w:r>
      <w:rPr>
        <w:rFonts w:ascii="Helvetica-Narrow" w:hAnsi="Helvetica-Narrow"/>
        <w:b/>
        <w:i/>
        <w:sz w:val="18"/>
        <w:szCs w:val="18"/>
      </w:rPr>
      <w:tab/>
    </w:r>
    <w:r w:rsidR="00DC00DF">
      <w:rPr>
        <w:rFonts w:ascii="Helvetica-Narrow" w:hAnsi="Helvetica-Narrow"/>
        <w:b/>
        <w:i/>
        <w:sz w:val="18"/>
        <w:szCs w:val="18"/>
      </w:rPr>
      <w:t>9</w:t>
    </w:r>
    <w:r w:rsidRPr="00E54F1E">
      <w:rPr>
        <w:rFonts w:ascii="Helvetica-Narrow" w:hAnsi="Helvetica-Narrow"/>
        <w:b/>
        <w:sz w:val="18"/>
        <w:szCs w:val="18"/>
      </w:rPr>
      <w:t>-</w:t>
    </w:r>
    <w:r w:rsidRPr="00E54F1E">
      <w:rPr>
        <w:rStyle w:val="PageNumber"/>
        <w:b/>
      </w:rPr>
      <w:fldChar w:fldCharType="begin"/>
    </w:r>
    <w:r w:rsidRPr="00E54F1E">
      <w:rPr>
        <w:rStyle w:val="PageNumber"/>
        <w:b/>
      </w:rPr>
      <w:instrText xml:space="preserve"> PAGE </w:instrText>
    </w:r>
    <w:r w:rsidRPr="00E54F1E">
      <w:rPr>
        <w:rStyle w:val="PageNumber"/>
        <w:b/>
      </w:rPr>
      <w:fldChar w:fldCharType="separate"/>
    </w:r>
    <w:r w:rsidR="00281605">
      <w:rPr>
        <w:rStyle w:val="PageNumber"/>
        <w:b/>
        <w:noProof/>
      </w:rPr>
      <w:t>9</w:t>
    </w:r>
    <w:r w:rsidRPr="00E54F1E">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E67" w:rsidRDefault="00840E67">
      <w:r>
        <w:separator/>
      </w:r>
    </w:p>
  </w:footnote>
  <w:footnote w:type="continuationSeparator" w:id="0">
    <w:p w:rsidR="00840E67" w:rsidRDefault="00840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7A3" w:rsidRDefault="00E607A3">
    <w:pPr>
      <w:pStyle w:val="Header"/>
      <w:tabs>
        <w:tab w:val="left" w:pos="48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9428E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F732F3"/>
    <w:multiLevelType w:val="multilevel"/>
    <w:tmpl w:val="52E0E4B0"/>
    <w:lvl w:ilvl="0">
      <w:start w:val="1"/>
      <w:numFmt w:val="upperRoman"/>
      <w:pStyle w:val="Outline1"/>
      <w:lvlText w:val="%1."/>
      <w:lvlJc w:val="left"/>
      <w:pPr>
        <w:tabs>
          <w:tab w:val="num" w:pos="1440"/>
        </w:tabs>
        <w:ind w:left="720" w:firstLine="0"/>
      </w:pPr>
      <w:rPr>
        <w:rFonts w:ascii="Times New Roman" w:hAnsi="Times New Roman" w:hint="default"/>
        <w:b/>
        <w:i w:val="0"/>
        <w:sz w:val="22"/>
      </w:rPr>
    </w:lvl>
    <w:lvl w:ilvl="1">
      <w:start w:val="1"/>
      <w:numFmt w:val="upperLetter"/>
      <w:pStyle w:val="Outline2"/>
      <w:lvlText w:val="%2."/>
      <w:lvlJc w:val="left"/>
      <w:pPr>
        <w:tabs>
          <w:tab w:val="num" w:pos="1080"/>
        </w:tabs>
        <w:ind w:left="720" w:firstLine="0"/>
      </w:pPr>
      <w:rPr>
        <w:rFonts w:hint="default"/>
        <w:b w:val="0"/>
        <w:i w:val="0"/>
        <w:sz w:val="22"/>
      </w:rPr>
    </w:lvl>
    <w:lvl w:ilvl="2">
      <w:start w:val="1"/>
      <w:numFmt w:val="decimal"/>
      <w:pStyle w:val="Outline3"/>
      <w:isLgl/>
      <w:lvlText w:val="%3."/>
      <w:lvlJc w:val="left"/>
      <w:pPr>
        <w:tabs>
          <w:tab w:val="num" w:pos="1800"/>
        </w:tabs>
        <w:ind w:left="1440" w:firstLine="0"/>
      </w:pPr>
      <w:rPr>
        <w:rFonts w:hint="default"/>
        <w:b w:val="0"/>
        <w:i w:val="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05D20638"/>
    <w:multiLevelType w:val="hybridMultilevel"/>
    <w:tmpl w:val="89D66B10"/>
    <w:lvl w:ilvl="0" w:tplc="3954D3FA">
      <w:start w:val="1"/>
      <w:numFmt w:val="decimal"/>
      <w:lvlText w:val="%1."/>
      <w:lvlJc w:val="left"/>
      <w:pPr>
        <w:tabs>
          <w:tab w:val="num" w:pos="1440"/>
        </w:tabs>
        <w:ind w:left="1440" w:hanging="360"/>
      </w:pPr>
      <w:rPr>
        <w:rFonts w:hint="default"/>
      </w:rPr>
    </w:lvl>
    <w:lvl w:ilvl="1" w:tplc="BAEA5930">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85A08A6"/>
    <w:multiLevelType w:val="hybridMultilevel"/>
    <w:tmpl w:val="D3FCF88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D830DFA"/>
    <w:multiLevelType w:val="hybridMultilevel"/>
    <w:tmpl w:val="DB7E2114"/>
    <w:lvl w:ilvl="0" w:tplc="4E8EEDDE">
      <w:start w:val="2"/>
      <w:numFmt w:val="upperLetter"/>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 w15:restartNumberingAfterBreak="0">
    <w:nsid w:val="151C7AD3"/>
    <w:multiLevelType w:val="hybridMultilevel"/>
    <w:tmpl w:val="95C8BFB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D4527B8"/>
    <w:multiLevelType w:val="hybridMultilevel"/>
    <w:tmpl w:val="6F627EA8"/>
    <w:lvl w:ilvl="0" w:tplc="4840514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15:restartNumberingAfterBreak="0">
    <w:nsid w:val="264D7EFD"/>
    <w:multiLevelType w:val="hybridMultilevel"/>
    <w:tmpl w:val="F6EC4E7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49457D"/>
    <w:multiLevelType w:val="hybridMultilevel"/>
    <w:tmpl w:val="3B62827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A485387"/>
    <w:multiLevelType w:val="hybridMultilevel"/>
    <w:tmpl w:val="6EDED562"/>
    <w:lvl w:ilvl="0" w:tplc="76CA9BAA">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516FA8"/>
    <w:multiLevelType w:val="hybridMultilevel"/>
    <w:tmpl w:val="A12ED50C"/>
    <w:lvl w:ilvl="0" w:tplc="5AA29478">
      <w:start w:val="4"/>
      <w:numFmt w:val="upperLetter"/>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15:restartNumberingAfterBreak="0">
    <w:nsid w:val="2D653873"/>
    <w:multiLevelType w:val="hybridMultilevel"/>
    <w:tmpl w:val="958208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5414FDD"/>
    <w:multiLevelType w:val="hybridMultilevel"/>
    <w:tmpl w:val="918C36D4"/>
    <w:lvl w:ilvl="0" w:tplc="A580AEA4">
      <w:start w:val="4"/>
      <w:numFmt w:val="upperLetter"/>
      <w:lvlText w:val="%1."/>
      <w:lvlJc w:val="left"/>
      <w:pPr>
        <w:tabs>
          <w:tab w:val="num" w:pos="1080"/>
        </w:tabs>
        <w:ind w:left="1080" w:hanging="360"/>
      </w:pPr>
      <w:rPr>
        <w:rFonts w:hint="default"/>
      </w:rPr>
    </w:lvl>
    <w:lvl w:ilvl="1" w:tplc="C0040F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7719CC"/>
    <w:multiLevelType w:val="singleLevel"/>
    <w:tmpl w:val="9E2C8D6A"/>
    <w:lvl w:ilvl="0">
      <w:start w:val="6"/>
      <w:numFmt w:val="upperRoman"/>
      <w:lvlText w:val="%1."/>
      <w:lvlJc w:val="left"/>
      <w:pPr>
        <w:tabs>
          <w:tab w:val="num" w:pos="720"/>
        </w:tabs>
        <w:ind w:left="720" w:hanging="720"/>
      </w:pPr>
      <w:rPr>
        <w:rFonts w:hint="default"/>
        <w:b/>
      </w:rPr>
    </w:lvl>
  </w:abstractNum>
  <w:abstractNum w:abstractNumId="14" w15:restartNumberingAfterBreak="0">
    <w:nsid w:val="3EFF6B60"/>
    <w:multiLevelType w:val="hybridMultilevel"/>
    <w:tmpl w:val="049A04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41F10D96"/>
    <w:multiLevelType w:val="hybridMultilevel"/>
    <w:tmpl w:val="AD1202AC"/>
    <w:lvl w:ilvl="0" w:tplc="C700FC4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58C4FAF"/>
    <w:multiLevelType w:val="hybridMultilevel"/>
    <w:tmpl w:val="69FA0278"/>
    <w:lvl w:ilvl="0" w:tplc="A1C215D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AF6080C"/>
    <w:multiLevelType w:val="hybridMultilevel"/>
    <w:tmpl w:val="D6E21702"/>
    <w:lvl w:ilvl="0" w:tplc="FD786A34">
      <w:start w:val="4"/>
      <w:numFmt w:val="upp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B1B10D9"/>
    <w:multiLevelType w:val="hybridMultilevel"/>
    <w:tmpl w:val="04E66A7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D9058F4"/>
    <w:multiLevelType w:val="singleLevel"/>
    <w:tmpl w:val="AC1E6F9A"/>
    <w:lvl w:ilvl="0">
      <w:start w:val="2"/>
      <w:numFmt w:val="decimal"/>
      <w:lvlText w:val="%1."/>
      <w:lvlJc w:val="left"/>
      <w:pPr>
        <w:tabs>
          <w:tab w:val="num" w:pos="435"/>
        </w:tabs>
        <w:ind w:left="435" w:hanging="435"/>
      </w:pPr>
      <w:rPr>
        <w:rFonts w:hint="default"/>
      </w:rPr>
    </w:lvl>
  </w:abstractNum>
  <w:abstractNum w:abstractNumId="20" w15:restartNumberingAfterBreak="0">
    <w:nsid w:val="507F6020"/>
    <w:multiLevelType w:val="singleLevel"/>
    <w:tmpl w:val="ED709C36"/>
    <w:lvl w:ilvl="0">
      <w:start w:val="1"/>
      <w:numFmt w:val="decimal"/>
      <w:lvlText w:val="%1."/>
      <w:lvlJc w:val="left"/>
      <w:pPr>
        <w:tabs>
          <w:tab w:val="num" w:pos="1440"/>
        </w:tabs>
        <w:ind w:left="1440" w:hanging="360"/>
      </w:pPr>
      <w:rPr>
        <w:rFonts w:hint="default"/>
      </w:rPr>
    </w:lvl>
  </w:abstractNum>
  <w:abstractNum w:abstractNumId="21" w15:restartNumberingAfterBreak="0">
    <w:nsid w:val="53192F7E"/>
    <w:multiLevelType w:val="multilevel"/>
    <w:tmpl w:val="4E6CF8B4"/>
    <w:lvl w:ilvl="0">
      <w:start w:val="1"/>
      <w:numFmt w:val="upperRoman"/>
      <w:lvlText w:val="%1."/>
      <w:lvlJc w:val="left"/>
      <w:pPr>
        <w:tabs>
          <w:tab w:val="num" w:pos="720"/>
        </w:tabs>
        <w:ind w:left="0" w:firstLine="0"/>
      </w:pPr>
      <w:rPr>
        <w:rFonts w:hint="default"/>
        <w:b/>
        <w:i w:val="0"/>
        <w:sz w:val="22"/>
      </w:rPr>
    </w:lvl>
    <w:lvl w:ilvl="1">
      <w:start w:val="1"/>
      <w:numFmt w:val="upperLetter"/>
      <w:lvlText w:val="%2."/>
      <w:lvlJc w:val="left"/>
      <w:pPr>
        <w:tabs>
          <w:tab w:val="num" w:pos="1080"/>
        </w:tabs>
        <w:ind w:left="720" w:firstLine="0"/>
      </w:pPr>
      <w:rPr>
        <w:rFonts w:hint="default"/>
        <w:b w:val="0"/>
        <w:i w:val="0"/>
        <w:sz w:val="22"/>
      </w:rPr>
    </w:lvl>
    <w:lvl w:ilvl="2">
      <w:start w:val="1"/>
      <w:numFmt w:val="decimal"/>
      <w:isLgl/>
      <w:lvlText w:val="%3."/>
      <w:lvlJc w:val="left"/>
      <w:pPr>
        <w:tabs>
          <w:tab w:val="num" w:pos="1800"/>
        </w:tabs>
        <w:ind w:left="1440" w:firstLine="0"/>
      </w:pPr>
      <w:rPr>
        <w:rFonts w:hint="default"/>
        <w:b w:val="0"/>
        <w:i w:val="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5C597D88"/>
    <w:multiLevelType w:val="hybridMultilevel"/>
    <w:tmpl w:val="3CE0B882"/>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3" w15:restartNumberingAfterBreak="0">
    <w:nsid w:val="5E0F4302"/>
    <w:multiLevelType w:val="hybridMultilevel"/>
    <w:tmpl w:val="9B98A2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48F7C20"/>
    <w:multiLevelType w:val="hybridMultilevel"/>
    <w:tmpl w:val="45C859AE"/>
    <w:lvl w:ilvl="0" w:tplc="84842348">
      <w:start w:val="1"/>
      <w:numFmt w:val="decimal"/>
      <w:lvlText w:val="%1."/>
      <w:lvlJc w:val="left"/>
      <w:pPr>
        <w:tabs>
          <w:tab w:val="num" w:pos="1440"/>
        </w:tabs>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5" w15:restartNumberingAfterBreak="0">
    <w:nsid w:val="697A4BED"/>
    <w:multiLevelType w:val="multilevel"/>
    <w:tmpl w:val="918C36D4"/>
    <w:lvl w:ilvl="0">
      <w:start w:val="4"/>
      <w:numFmt w:val="upp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6B073D32"/>
    <w:multiLevelType w:val="hybridMultilevel"/>
    <w:tmpl w:val="CA103DE8"/>
    <w:lvl w:ilvl="0" w:tplc="8484234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FB53340"/>
    <w:multiLevelType w:val="hybridMultilevel"/>
    <w:tmpl w:val="EA7ADFAA"/>
    <w:lvl w:ilvl="0" w:tplc="635407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181201E"/>
    <w:multiLevelType w:val="hybridMultilevel"/>
    <w:tmpl w:val="6B5C40BE"/>
    <w:lvl w:ilvl="0" w:tplc="3954D3FA">
      <w:start w:val="2"/>
      <w:numFmt w:val="decimal"/>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C0921BE2">
      <w:start w:val="3"/>
      <w:numFmt w:val="decimal"/>
      <w:lvlText w:val="%3."/>
      <w:lvlJc w:val="left"/>
      <w:pPr>
        <w:tabs>
          <w:tab w:val="num" w:pos="3420"/>
        </w:tabs>
        <w:ind w:left="3420" w:hanging="360"/>
      </w:pPr>
      <w:rPr>
        <w:rFonts w:hint="default"/>
        <w:i w:val="0"/>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762F347F"/>
    <w:multiLevelType w:val="hybridMultilevel"/>
    <w:tmpl w:val="54CEE7D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9"/>
  </w:num>
  <w:num w:numId="2">
    <w:abstractNumId w:val="13"/>
  </w:num>
  <w:num w:numId="3">
    <w:abstractNumId w:val="20"/>
  </w:num>
  <w:num w:numId="4">
    <w:abstractNumId w:val="1"/>
  </w:num>
  <w:num w:numId="5">
    <w:abstractNumId w:val="28"/>
  </w:num>
  <w:num w:numId="6">
    <w:abstractNumId w:val="2"/>
  </w:num>
  <w:num w:numId="7">
    <w:abstractNumId w:val="12"/>
  </w:num>
  <w:num w:numId="8">
    <w:abstractNumId w:val="21"/>
  </w:num>
  <w:num w:numId="9">
    <w:abstractNumId w:val="21"/>
  </w:num>
  <w:num w:numId="10">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3"/>
  </w:num>
  <w:num w:numId="13">
    <w:abstractNumId w:val="1"/>
  </w:num>
  <w:num w:numId="14">
    <w:abstractNumId w:val="11"/>
  </w:num>
  <w:num w:numId="15">
    <w:abstractNumId w:val="14"/>
  </w:num>
  <w:num w:numId="16">
    <w:abstractNumId w:val="17"/>
  </w:num>
  <w:num w:numId="17">
    <w:abstractNumId w:val="1"/>
  </w:num>
  <w:num w:numId="18">
    <w:abstractNumId w:val="0"/>
  </w:num>
  <w:num w:numId="19">
    <w:abstractNumId w:val="26"/>
  </w:num>
  <w:num w:numId="20">
    <w:abstractNumId w:val="15"/>
  </w:num>
  <w:num w:numId="21">
    <w:abstractNumId w:val="9"/>
  </w:num>
  <w:num w:numId="22">
    <w:abstractNumId w:val="16"/>
  </w:num>
  <w:num w:numId="23">
    <w:abstractNumId w:val="18"/>
  </w:num>
  <w:num w:numId="24">
    <w:abstractNumId w:val="2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7"/>
  </w:num>
  <w:num w:numId="28">
    <w:abstractNumId w:val="4"/>
  </w:num>
  <w:num w:numId="29">
    <w:abstractNumId w:val="29"/>
  </w:num>
  <w:num w:numId="30">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5"/>
  </w:num>
  <w:num w:numId="33">
    <w:abstractNumId w:val="10"/>
  </w:num>
  <w:num w:numId="34">
    <w:abstractNumId w:val="6"/>
  </w:num>
  <w:num w:numId="35">
    <w:abstractNumId w:val="22"/>
  </w:num>
  <w:num w:numId="36">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02B88"/>
    <w:rsid w:val="00026192"/>
    <w:rsid w:val="00036252"/>
    <w:rsid w:val="00040D85"/>
    <w:rsid w:val="00041A61"/>
    <w:rsid w:val="0005343A"/>
    <w:rsid w:val="00057AFD"/>
    <w:rsid w:val="00073485"/>
    <w:rsid w:val="00084167"/>
    <w:rsid w:val="00093D56"/>
    <w:rsid w:val="000A41BF"/>
    <w:rsid w:val="000B0214"/>
    <w:rsid w:val="000D6AC6"/>
    <w:rsid w:val="00116A62"/>
    <w:rsid w:val="00121E4A"/>
    <w:rsid w:val="00123713"/>
    <w:rsid w:val="00141D87"/>
    <w:rsid w:val="00167ACE"/>
    <w:rsid w:val="00192DA2"/>
    <w:rsid w:val="001A069A"/>
    <w:rsid w:val="001A2D54"/>
    <w:rsid w:val="001A5DF7"/>
    <w:rsid w:val="001A7145"/>
    <w:rsid w:val="001B6184"/>
    <w:rsid w:val="001D01EF"/>
    <w:rsid w:val="001D6A19"/>
    <w:rsid w:val="001F324C"/>
    <w:rsid w:val="00225B7A"/>
    <w:rsid w:val="002327C9"/>
    <w:rsid w:val="00281605"/>
    <w:rsid w:val="002876D3"/>
    <w:rsid w:val="00297151"/>
    <w:rsid w:val="002A297D"/>
    <w:rsid w:val="002A3B24"/>
    <w:rsid w:val="002A7FC2"/>
    <w:rsid w:val="002B5039"/>
    <w:rsid w:val="002E7262"/>
    <w:rsid w:val="00314AE1"/>
    <w:rsid w:val="00335596"/>
    <w:rsid w:val="00352FAD"/>
    <w:rsid w:val="003610B3"/>
    <w:rsid w:val="00366BE8"/>
    <w:rsid w:val="00385D52"/>
    <w:rsid w:val="003B01BB"/>
    <w:rsid w:val="003B382E"/>
    <w:rsid w:val="003B6F05"/>
    <w:rsid w:val="003E50B1"/>
    <w:rsid w:val="00400999"/>
    <w:rsid w:val="004062E7"/>
    <w:rsid w:val="0043417A"/>
    <w:rsid w:val="00440B9F"/>
    <w:rsid w:val="004C5404"/>
    <w:rsid w:val="004C54AE"/>
    <w:rsid w:val="004D1221"/>
    <w:rsid w:val="004E33C9"/>
    <w:rsid w:val="004F0656"/>
    <w:rsid w:val="004F21AF"/>
    <w:rsid w:val="004F47CC"/>
    <w:rsid w:val="004F4CF2"/>
    <w:rsid w:val="00515AF4"/>
    <w:rsid w:val="00521551"/>
    <w:rsid w:val="00530442"/>
    <w:rsid w:val="005568EE"/>
    <w:rsid w:val="00581887"/>
    <w:rsid w:val="0058421E"/>
    <w:rsid w:val="005E6605"/>
    <w:rsid w:val="006044CE"/>
    <w:rsid w:val="00633B8E"/>
    <w:rsid w:val="00682986"/>
    <w:rsid w:val="00686C1F"/>
    <w:rsid w:val="006900FA"/>
    <w:rsid w:val="006B1AD8"/>
    <w:rsid w:val="006B31E9"/>
    <w:rsid w:val="006B394E"/>
    <w:rsid w:val="006C6347"/>
    <w:rsid w:val="00717EE4"/>
    <w:rsid w:val="00730D82"/>
    <w:rsid w:val="007310D5"/>
    <w:rsid w:val="00745434"/>
    <w:rsid w:val="0074674E"/>
    <w:rsid w:val="00747E8A"/>
    <w:rsid w:val="00750A0E"/>
    <w:rsid w:val="0075432E"/>
    <w:rsid w:val="00766215"/>
    <w:rsid w:val="007774F6"/>
    <w:rsid w:val="00793387"/>
    <w:rsid w:val="007C1D68"/>
    <w:rsid w:val="007D690A"/>
    <w:rsid w:val="007E24E3"/>
    <w:rsid w:val="007F5534"/>
    <w:rsid w:val="007F626F"/>
    <w:rsid w:val="008008A7"/>
    <w:rsid w:val="00835EA4"/>
    <w:rsid w:val="00840E67"/>
    <w:rsid w:val="00845A8D"/>
    <w:rsid w:val="008461B0"/>
    <w:rsid w:val="0088614F"/>
    <w:rsid w:val="008A636B"/>
    <w:rsid w:val="008C2167"/>
    <w:rsid w:val="008D1929"/>
    <w:rsid w:val="00905C52"/>
    <w:rsid w:val="00917AC7"/>
    <w:rsid w:val="009320E8"/>
    <w:rsid w:val="0093297B"/>
    <w:rsid w:val="0094717C"/>
    <w:rsid w:val="00985064"/>
    <w:rsid w:val="00991428"/>
    <w:rsid w:val="009976D7"/>
    <w:rsid w:val="009A62A4"/>
    <w:rsid w:val="009A79BF"/>
    <w:rsid w:val="009B1FD9"/>
    <w:rsid w:val="009B1FE5"/>
    <w:rsid w:val="009B7B76"/>
    <w:rsid w:val="009C0EC4"/>
    <w:rsid w:val="009F0708"/>
    <w:rsid w:val="00A02B88"/>
    <w:rsid w:val="00A05118"/>
    <w:rsid w:val="00A2472E"/>
    <w:rsid w:val="00A27562"/>
    <w:rsid w:val="00A46987"/>
    <w:rsid w:val="00A64025"/>
    <w:rsid w:val="00A767BF"/>
    <w:rsid w:val="00A8546C"/>
    <w:rsid w:val="00AF5E68"/>
    <w:rsid w:val="00B078D8"/>
    <w:rsid w:val="00B26B02"/>
    <w:rsid w:val="00B31656"/>
    <w:rsid w:val="00B414E1"/>
    <w:rsid w:val="00B42B5B"/>
    <w:rsid w:val="00B9078B"/>
    <w:rsid w:val="00B926D6"/>
    <w:rsid w:val="00BB0A68"/>
    <w:rsid w:val="00BB41E6"/>
    <w:rsid w:val="00BC1F5C"/>
    <w:rsid w:val="00BD0FDE"/>
    <w:rsid w:val="00BE0CFC"/>
    <w:rsid w:val="00C00D56"/>
    <w:rsid w:val="00C03723"/>
    <w:rsid w:val="00C11D2F"/>
    <w:rsid w:val="00C2392A"/>
    <w:rsid w:val="00C33354"/>
    <w:rsid w:val="00C6538A"/>
    <w:rsid w:val="00C77818"/>
    <w:rsid w:val="00C95D8D"/>
    <w:rsid w:val="00CA3A09"/>
    <w:rsid w:val="00CB2156"/>
    <w:rsid w:val="00CD47EF"/>
    <w:rsid w:val="00CD5774"/>
    <w:rsid w:val="00CD5818"/>
    <w:rsid w:val="00CD7E88"/>
    <w:rsid w:val="00CE7DB2"/>
    <w:rsid w:val="00D1090E"/>
    <w:rsid w:val="00D13D39"/>
    <w:rsid w:val="00D26F53"/>
    <w:rsid w:val="00D551FA"/>
    <w:rsid w:val="00D77033"/>
    <w:rsid w:val="00D84F29"/>
    <w:rsid w:val="00D855C5"/>
    <w:rsid w:val="00DA4A2E"/>
    <w:rsid w:val="00DB3CDC"/>
    <w:rsid w:val="00DC00DF"/>
    <w:rsid w:val="00DC7B77"/>
    <w:rsid w:val="00E027D6"/>
    <w:rsid w:val="00E05E3B"/>
    <w:rsid w:val="00E21150"/>
    <w:rsid w:val="00E257B4"/>
    <w:rsid w:val="00E265B5"/>
    <w:rsid w:val="00E3362D"/>
    <w:rsid w:val="00E35588"/>
    <w:rsid w:val="00E42989"/>
    <w:rsid w:val="00E43CAF"/>
    <w:rsid w:val="00E43CEA"/>
    <w:rsid w:val="00E530F7"/>
    <w:rsid w:val="00E54F1E"/>
    <w:rsid w:val="00E607A3"/>
    <w:rsid w:val="00E718F5"/>
    <w:rsid w:val="00E950E2"/>
    <w:rsid w:val="00EC2A1A"/>
    <w:rsid w:val="00ED1A20"/>
    <w:rsid w:val="00F04B2D"/>
    <w:rsid w:val="00F05A14"/>
    <w:rsid w:val="00F45227"/>
    <w:rsid w:val="00F464E5"/>
    <w:rsid w:val="00F5503C"/>
    <w:rsid w:val="00FD5724"/>
    <w:rsid w:val="00FE1D20"/>
    <w:rsid w:val="00FE44B4"/>
    <w:rsid w:val="00FE7D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440B15A-ADA0-4755-A3F8-BEBF5678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US" w:eastAsia="en-US"/>
    </w:rPr>
  </w:style>
  <w:style w:type="paragraph" w:styleId="Heading1">
    <w:name w:val="heading 1"/>
    <w:aliases w:val="Heading 1A,Heading A1"/>
    <w:next w:val="BodyText"/>
    <w:qFormat/>
    <w:pPr>
      <w:keepNext/>
      <w:spacing w:before="120" w:after="120"/>
      <w:outlineLvl w:val="0"/>
    </w:pPr>
    <w:rPr>
      <w:rFonts w:ascii="Arial" w:hAnsi="Arial"/>
      <w:b/>
      <w:kern w:val="28"/>
      <w:sz w:val="24"/>
      <w:u w:val="single"/>
      <w:lang w:val="en-US" w:eastAsia="en-US"/>
    </w:rPr>
  </w:style>
  <w:style w:type="paragraph" w:styleId="Heading2">
    <w:name w:val="heading 2"/>
    <w:next w:val="BodyText"/>
    <w:qFormat/>
    <w:pPr>
      <w:keepNext/>
      <w:tabs>
        <w:tab w:val="left" w:pos="360"/>
      </w:tabs>
      <w:spacing w:before="60" w:after="120"/>
      <w:outlineLvl w:val="1"/>
    </w:pPr>
    <w:rPr>
      <w:b/>
      <w:sz w:val="22"/>
      <w:lang w:val="en-US" w:eastAsia="en-US"/>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jc w:val="both"/>
    </w:pPr>
    <w:rPr>
      <w:sz w:val="22"/>
      <w:lang w:val="en-US" w:eastAsia="en-US"/>
    </w:rPr>
  </w:style>
  <w:style w:type="paragraph" w:styleId="Header">
    <w:name w:val="header"/>
    <w:pPr>
      <w:tabs>
        <w:tab w:val="center" w:pos="4320"/>
        <w:tab w:val="right" w:pos="8640"/>
      </w:tabs>
    </w:pPr>
    <w:rPr>
      <w:lang w:val="en-US" w:eastAsia="en-US"/>
    </w:rPr>
  </w:style>
  <w:style w:type="paragraph" w:customStyle="1" w:styleId="chaptertitle">
    <w:name w:val="chapter title"/>
    <w:next w:val="Heading1"/>
    <w:pPr>
      <w:spacing w:after="480"/>
      <w:jc w:val="right"/>
    </w:pPr>
    <w:rPr>
      <w:rFonts w:ascii="Arial" w:hAnsi="Arial"/>
      <w:b/>
      <w:caps/>
      <w:sz w:val="32"/>
      <w:lang w:val="en-US" w:eastAsia="en-US"/>
    </w:rPr>
  </w:style>
  <w:style w:type="paragraph" w:styleId="ListNumber">
    <w:name w:val="List Number"/>
    <w:pPr>
      <w:spacing w:after="120"/>
      <w:ind w:left="576" w:hanging="576"/>
      <w:outlineLvl w:val="0"/>
    </w:pPr>
    <w:rPr>
      <w:sz w:val="22"/>
      <w:lang w:val="en-US" w:eastAsia="en-US"/>
    </w:rPr>
  </w:style>
  <w:style w:type="paragraph" w:styleId="ListBullet2">
    <w:name w:val="List Bullet 2"/>
    <w:autoRedefine/>
    <w:pPr>
      <w:spacing w:before="60" w:after="120"/>
      <w:ind w:left="720" w:hanging="360"/>
    </w:pPr>
    <w:rPr>
      <w:sz w:val="22"/>
      <w:lang w:val="en-US" w:eastAsia="en-US"/>
    </w:rPr>
  </w:style>
  <w:style w:type="paragraph" w:styleId="ListNumber2">
    <w:name w:val="List Number 2"/>
    <w:pPr>
      <w:spacing w:before="60" w:after="120"/>
      <w:ind w:left="936" w:hanging="360"/>
      <w:outlineLvl w:val="1"/>
    </w:pPr>
    <w:rPr>
      <w:lang w:val="en-US" w:eastAsia="en-US"/>
    </w:rPr>
  </w:style>
  <w:style w:type="paragraph" w:styleId="ListContinue">
    <w:name w:val="List Continue"/>
    <w:pPr>
      <w:spacing w:before="60" w:after="120"/>
      <w:ind w:left="360"/>
    </w:pPr>
    <w:rPr>
      <w:lang w:val="en-US" w:eastAsia="en-US"/>
    </w:rPr>
  </w:style>
  <w:style w:type="paragraph" w:styleId="Footer">
    <w:name w:val="footer"/>
    <w:pPr>
      <w:tabs>
        <w:tab w:val="center" w:pos="4320"/>
        <w:tab w:val="right" w:pos="8640"/>
      </w:tabs>
      <w:jc w:val="center"/>
    </w:pPr>
    <w:rPr>
      <w:lang w:val="en-US" w:eastAsia="en-US"/>
    </w:rPr>
  </w:style>
  <w:style w:type="paragraph" w:customStyle="1" w:styleId="Equation2a">
    <w:name w:val="Equation2a"/>
    <w:basedOn w:val="Obj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rPr>
      <w:lang w:val="en-US" w:eastAsia="en-US"/>
    </w:rPr>
  </w:style>
  <w:style w:type="paragraph" w:customStyle="1" w:styleId="Answer">
    <w:name w:val="Answer"/>
    <w:pPr>
      <w:spacing w:after="120"/>
      <w:ind w:left="360"/>
      <w:jc w:val="both"/>
    </w:pPr>
    <w:rPr>
      <w:kern w:val="18"/>
      <w:lang w:val="en-US" w:eastAsia="en-US"/>
    </w:rPr>
  </w:style>
  <w:style w:type="paragraph" w:customStyle="1" w:styleId="BibliographyEntry">
    <w:name w:val="Bibliography Entry"/>
    <w:pPr>
      <w:keepLines/>
      <w:spacing w:after="120"/>
    </w:pPr>
    <w:rPr>
      <w:lang w:val="en-US" w:eastAsia="en-US"/>
    </w:rPr>
  </w:style>
  <w:style w:type="paragraph" w:customStyle="1" w:styleId="Misc">
    <w:name w:val="Misc"/>
    <w:pPr>
      <w:keepLines/>
    </w:pPr>
    <w:rPr>
      <w:lang w:val="en-US" w:eastAsia="en-US"/>
    </w:rPr>
  </w:style>
  <w:style w:type="paragraph" w:customStyle="1" w:styleId="Table">
    <w:name w:val="Table"/>
    <w:aliases w:val="Financial"/>
    <w:pPr>
      <w:keepLines/>
      <w:tabs>
        <w:tab w:val="left" w:pos="288"/>
        <w:tab w:val="left" w:pos="576"/>
        <w:tab w:val="left" w:pos="864"/>
        <w:tab w:val="left" w:pos="1152"/>
        <w:tab w:val="left" w:pos="1440"/>
      </w:tabs>
    </w:pPr>
    <w:rPr>
      <w:lang w:val="en-US" w:eastAsia="en-US"/>
    </w:rPr>
  </w:style>
  <w:style w:type="paragraph" w:customStyle="1" w:styleId="TableBody">
    <w:name w:val="Table Body"/>
    <w:rPr>
      <w:sz w:val="22"/>
      <w:lang w:val="en-US" w:eastAsia="en-US"/>
    </w:rPr>
  </w:style>
  <w:style w:type="paragraph" w:customStyle="1" w:styleId="Newspaperbody">
    <w:name w:val="Newspaper body"/>
    <w:pPr>
      <w:spacing w:after="120"/>
      <w:ind w:left="720" w:right="720"/>
      <w:jc w:val="both"/>
    </w:pPr>
    <w:rPr>
      <w:rFonts w:ascii="Arial" w:hAnsi="Arial"/>
      <w:sz w:val="18"/>
      <w:lang w:val="en-US" w:eastAsia="en-US"/>
    </w:rPr>
  </w:style>
  <w:style w:type="paragraph" w:customStyle="1" w:styleId="Newspaperheader">
    <w:name w:val="Newspaper header"/>
    <w:pPr>
      <w:keepNext/>
      <w:tabs>
        <w:tab w:val="left" w:pos="720"/>
      </w:tabs>
      <w:ind w:left="1440" w:hanging="1440"/>
    </w:pPr>
    <w:rPr>
      <w:rFonts w:ascii="Arial" w:hAnsi="Arial"/>
      <w:sz w:val="18"/>
      <w:lang w:val="en-US" w:eastAsia="en-US"/>
    </w:rPr>
  </w:style>
  <w:style w:type="paragraph" w:customStyle="1" w:styleId="Newspapercopyright">
    <w:name w:val="Newspaper copyright"/>
    <w:pPr>
      <w:keepNext/>
      <w:spacing w:before="120" w:after="120"/>
      <w:jc w:val="center"/>
    </w:pPr>
    <w:rPr>
      <w:rFonts w:ascii="Arial" w:hAnsi="Arial"/>
      <w:sz w:val="18"/>
      <w:lang w:val="en-US" w:eastAsia="en-US"/>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lang w:val="en-US" w:eastAsia="en-US"/>
    </w:rPr>
  </w:style>
  <w:style w:type="paragraph" w:customStyle="1" w:styleId="GraphicExhibitTitleLine">
    <w:name w:val="Graphic Exhibit Title Line"/>
    <w:pPr>
      <w:keepNext/>
      <w:pBdr>
        <w:bottom w:val="single" w:sz="18" w:space="3" w:color="0000FF"/>
      </w:pBdr>
      <w:tabs>
        <w:tab w:val="left" w:pos="3600"/>
      </w:tabs>
      <w:spacing w:before="240" w:after="120"/>
    </w:pPr>
    <w:rPr>
      <w:lang w:val="en-US" w:eastAsia="en-US"/>
    </w:rPr>
  </w:style>
  <w:style w:type="paragraph" w:customStyle="1" w:styleId="SuggestedReadings">
    <w:name w:val="Suggested Readings"/>
    <w:pPr>
      <w:keepLines/>
      <w:ind w:left="288" w:hanging="288"/>
    </w:pPr>
    <w:rPr>
      <w:lang w:val="en-US" w:eastAsia="en-US"/>
    </w:r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lang w:val="en-US" w:eastAsia="en-U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lang w:val="en-US" w:eastAsia="en-US"/>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numPr>
        <w:numId w:val="4"/>
      </w:numPr>
      <w:tabs>
        <w:tab w:val="left" w:pos="1080"/>
        <w:tab w:val="left" w:pos="1800"/>
        <w:tab w:val="left" w:pos="2160"/>
        <w:tab w:val="left" w:pos="2520"/>
        <w:tab w:val="left" w:pos="2880"/>
        <w:tab w:val="left" w:pos="3240"/>
      </w:tabs>
      <w:spacing w:before="60"/>
      <w:outlineLvl w:val="0"/>
    </w:pPr>
    <w:rPr>
      <w:sz w:val="22"/>
      <w:lang w:val="en-US" w:eastAsia="en-US"/>
    </w:rPr>
  </w:style>
  <w:style w:type="paragraph" w:customStyle="1" w:styleId="Outline2">
    <w:name w:val="Outline 2"/>
    <w:basedOn w:val="Outline1"/>
    <w:pPr>
      <w:numPr>
        <w:ilvl w:val="1"/>
      </w:numPr>
      <w:tabs>
        <w:tab w:val="clear" w:pos="1080"/>
      </w:tabs>
      <w:outlineLvl w:val="1"/>
    </w:pPr>
  </w:style>
  <w:style w:type="paragraph" w:customStyle="1" w:styleId="Outline3">
    <w:name w:val="Outline 3"/>
    <w:basedOn w:val="Outline1"/>
    <w:pPr>
      <w:numPr>
        <w:ilvl w:val="2"/>
      </w:numPr>
      <w:tabs>
        <w:tab w:val="clear" w:pos="1800"/>
      </w:tabs>
      <w:outlineLvl w:val="2"/>
    </w:p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styleId="ListBullet">
    <w:name w:val="List Bullet"/>
    <w:basedOn w:val="Normal"/>
    <w:autoRedefine/>
    <w:pPr>
      <w:spacing w:after="120"/>
      <w:ind w:left="360" w:hanging="360"/>
    </w:pPr>
  </w:style>
  <w:style w:type="paragraph" w:customStyle="1" w:styleId="Obj2">
    <w:name w:val="Obj2"/>
    <w:basedOn w:val="Normal"/>
    <w:pPr>
      <w:widowControl w:val="0"/>
      <w:spacing w:before="100" w:after="100"/>
      <w:ind w:left="864"/>
    </w:pPr>
  </w:style>
  <w:style w:type="paragraph" w:customStyle="1" w:styleId="Obj1">
    <w:name w:val="Obj1"/>
    <w:basedOn w:val="Obj2"/>
    <w:pPr>
      <w:tabs>
        <w:tab w:val="left" w:pos="-720"/>
      </w:tabs>
      <w:suppressAutoHyphens/>
      <w:ind w:left="0"/>
      <w:jc w:val="center"/>
    </w:pPr>
    <w:rPr>
      <w:spacing w:val="-2"/>
      <w:kern w:val="22"/>
    </w:rPr>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sid w:val="00E950E2"/>
    <w:pPr>
      <w:jc w:val="center"/>
    </w:pPr>
    <w:rPr>
      <w:b/>
      <w:sz w:val="24"/>
      <w:szCs w:val="24"/>
    </w:rPr>
  </w:style>
  <w:style w:type="paragraph" w:customStyle="1" w:styleId="TableBodyArial11">
    <w:name w:val="Table Body Arial 11"/>
    <w:basedOn w:val="BodyTextArial13"/>
    <w:autoRedefine/>
    <w:rPr>
      <w:sz w:val="22"/>
    </w:rPr>
  </w:style>
  <w:style w:type="character" w:styleId="PageNumber">
    <w:name w:val="page number"/>
    <w:basedOn w:val="DefaultParagraphFont"/>
  </w:style>
  <w:style w:type="paragraph" w:customStyle="1" w:styleId="bodytect">
    <w:name w:val="body tect"/>
    <w:basedOn w:val="Normal"/>
    <w:rPr>
      <w:rFonts w:ascii="Arial" w:hAnsi="Arial"/>
    </w:rPr>
  </w:style>
  <w:style w:type="paragraph" w:styleId="DocumentMap">
    <w:name w:val="Document Map"/>
    <w:basedOn w:val="Normal"/>
    <w:semiHidden/>
    <w:pPr>
      <w:shd w:val="clear" w:color="auto" w:fill="000080"/>
    </w:pPr>
    <w:rPr>
      <w:rFonts w:ascii="Tahoma" w:hAnsi="Tahoma"/>
    </w:rPr>
  </w:style>
  <w:style w:type="paragraph" w:styleId="ListContinue5">
    <w:name w:val="List Continue 5"/>
    <w:basedOn w:val="Normal"/>
    <w:pPr>
      <w:spacing w:before="60" w:after="60" w:line="264" w:lineRule="auto"/>
      <w:ind w:left="1800"/>
    </w:pPr>
    <w:rPr>
      <w:rFonts w:ascii="Helvetica" w:hAnsi="Helvetica"/>
      <w:sz w:val="20"/>
    </w:rPr>
  </w:style>
  <w:style w:type="paragraph" w:styleId="BalloonText">
    <w:name w:val="Balloon Text"/>
    <w:basedOn w:val="Normal"/>
    <w:link w:val="BalloonTextChar"/>
    <w:rsid w:val="007F626F"/>
    <w:rPr>
      <w:rFonts w:ascii="Tahoma" w:hAnsi="Tahoma"/>
      <w:sz w:val="16"/>
      <w:szCs w:val="16"/>
    </w:rPr>
  </w:style>
  <w:style w:type="character" w:customStyle="1" w:styleId="BalloonTextChar">
    <w:name w:val="Balloon Text Char"/>
    <w:link w:val="BalloonText"/>
    <w:rsid w:val="007F626F"/>
    <w:rPr>
      <w:rFonts w:ascii="Tahoma" w:hAnsi="Tahoma" w:cs="Tahoma"/>
      <w:sz w:val="16"/>
      <w:szCs w:val="16"/>
    </w:rPr>
  </w:style>
  <w:style w:type="paragraph" w:customStyle="1" w:styleId="hea">
    <w:name w:val="hea"/>
    <w:basedOn w:val="Outline1"/>
    <w:rsid w:val="00335596"/>
    <w:pPr>
      <w:tabs>
        <w:tab w:val="clear" w:pos="1440"/>
        <w:tab w:val="num" w:pos="1260"/>
        <w:tab w:val="left" w:pos="1710"/>
      </w:tabs>
      <w:ind w:left="540"/>
    </w:pPr>
    <w:rPr>
      <w:b/>
    </w:rPr>
  </w:style>
  <w:style w:type="paragraph" w:customStyle="1" w:styleId="bchph">
    <w:name w:val="bch_ph"/>
    <w:basedOn w:val="Normal"/>
    <w:rsid w:val="00026192"/>
    <w:pPr>
      <w:widowControl w:val="0"/>
      <w:suppressAutoHyphens/>
      <w:autoSpaceDE w:val="0"/>
      <w:autoSpaceDN w:val="0"/>
      <w:adjustRightInd w:val="0"/>
      <w:spacing w:before="300" w:after="120" w:line="420" w:lineRule="atLeast"/>
      <w:jc w:val="both"/>
      <w:textAlignment w:val="center"/>
    </w:pPr>
    <w:rPr>
      <w:rFonts w:ascii="FrutigerLTStd-Black" w:hAnsi="FrutigerLTStd-Black" w:cs="FrutigerLTStd-Black"/>
      <w:caps/>
      <w:color w:val="59267F"/>
      <w:sz w:val="36"/>
      <w:szCs w:val="36"/>
      <w:lang w:eastAsia="en-IN" w:bidi="he-IL"/>
    </w:rPr>
  </w:style>
  <w:style w:type="paragraph" w:customStyle="1" w:styleId="baptt">
    <w:name w:val="bap_tt"/>
    <w:basedOn w:val="Normal"/>
    <w:rsid w:val="00026192"/>
    <w:pPr>
      <w:keepLines/>
      <w:widowControl w:val="0"/>
      <w:suppressAutoHyphens/>
      <w:autoSpaceDE w:val="0"/>
      <w:autoSpaceDN w:val="0"/>
      <w:adjustRightInd w:val="0"/>
      <w:spacing w:line="620" w:lineRule="atLeast"/>
      <w:textAlignment w:val="center"/>
    </w:pPr>
    <w:rPr>
      <w:rFonts w:ascii="FrutigerLTStd-BlackCn" w:hAnsi="FrutigerLTStd-BlackCn" w:cs="FrutigerLTStd-BlackCn"/>
      <w:color w:val="00007F"/>
      <w:sz w:val="52"/>
      <w:szCs w:val="52"/>
      <w:lang w:eastAsia="en-IN" w:bidi="he-IL"/>
    </w:rPr>
  </w:style>
  <w:style w:type="paragraph" w:styleId="Revision">
    <w:name w:val="Revision"/>
    <w:hidden/>
    <w:uiPriority w:val="99"/>
    <w:semiHidden/>
    <w:rsid w:val="002327C9"/>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363714">
      <w:bodyDiv w:val="1"/>
      <w:marLeft w:val="0"/>
      <w:marRight w:val="0"/>
      <w:marTop w:val="0"/>
      <w:marBottom w:val="0"/>
      <w:divBdr>
        <w:top w:val="none" w:sz="0" w:space="0" w:color="auto"/>
        <w:left w:val="none" w:sz="0" w:space="0" w:color="auto"/>
        <w:bottom w:val="none" w:sz="0" w:space="0" w:color="auto"/>
        <w:right w:val="none" w:sz="0" w:space="0" w:color="auto"/>
      </w:divBdr>
    </w:div>
    <w:div w:id="141192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http://textflow.mheducation.com/figures/125910575x/ch09-ex02_lg.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Larson_I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53155-AEAF-431E-A0C3-B1BF4138A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Larson_IRM</Template>
  <TotalTime>154</TotalTime>
  <Pages>14</Pages>
  <Words>2701</Words>
  <Characters>15400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CHAPTER 11</vt:lpstr>
    </vt:vector>
  </TitlesOfParts>
  <Company>McGraw-Hill Ryerson Limited</Company>
  <LinksUpToDate>false</LinksUpToDate>
  <CharactersWithSpaces>18065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Jeanine Wall</dc:creator>
  <cp:lastModifiedBy>Khanna, Shalini</cp:lastModifiedBy>
  <cp:revision>39</cp:revision>
  <cp:lastPrinted>2015-08-31T18:44:00Z</cp:lastPrinted>
  <dcterms:created xsi:type="dcterms:W3CDTF">2015-12-21T12:18:00Z</dcterms:created>
  <dcterms:modified xsi:type="dcterms:W3CDTF">2018-10-17T14:15:00Z</dcterms:modified>
</cp:coreProperties>
</file>