
<file path=[Content_Types].xml><?xml version="1.0" encoding="utf-8"?>
<Types xmlns="http://schemas.openxmlformats.org/package/2006/content-types">
  <Default Extension="xml" ContentType="application/xml"/>
  <Default Extension="rels" ContentType="application/vnd.openxmlformats-package.relationships+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4A474E" w14:textId="77777777" w:rsidR="00B95C07" w:rsidRDefault="00B95C07" w:rsidP="00C5392C">
      <w:pPr>
        <w:pStyle w:val="chapternumber"/>
      </w:pPr>
      <w:r>
        <w:t xml:space="preserve">cHAPTER </w:t>
      </w:r>
      <w:r w:rsidR="00C5392C">
        <w:t>9</w:t>
      </w:r>
    </w:p>
    <w:p w14:paraId="7D9E4762" w14:textId="77777777" w:rsidR="00885744" w:rsidRDefault="00FA0EC3" w:rsidP="00B11A10">
      <w:pPr>
        <w:pStyle w:val="chaptertitle"/>
        <w:spacing w:after="240"/>
      </w:pPr>
      <w:r>
        <w:t>Long-Lived</w:t>
      </w:r>
      <w:r w:rsidR="00A82C85">
        <w:t xml:space="preserve"> </w:t>
      </w:r>
      <w:r>
        <w:t>Tangible and Intangible assets</w:t>
      </w:r>
    </w:p>
    <w:p w14:paraId="3C2588D1" w14:textId="77777777" w:rsidR="005139C0" w:rsidRDefault="005139C0" w:rsidP="005139C0">
      <w:pPr>
        <w:pStyle w:val="Heading1"/>
      </w:pPr>
      <w:r w:rsidRPr="005139C0">
        <w:t>Student Learning Objectives and Related Assignment Materials</w:t>
      </w:r>
    </w:p>
    <w:tbl>
      <w:tblPr>
        <w:tblW w:w="936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4" w:type="dxa"/>
          <w:right w:w="14" w:type="dxa"/>
        </w:tblCellMar>
        <w:tblLook w:val="04A0" w:firstRow="1" w:lastRow="0" w:firstColumn="1" w:lastColumn="0" w:noHBand="0" w:noVBand="1"/>
      </w:tblPr>
      <w:tblGrid>
        <w:gridCol w:w="2160"/>
        <w:gridCol w:w="1008"/>
        <w:gridCol w:w="1008"/>
        <w:gridCol w:w="1008"/>
        <w:gridCol w:w="1080"/>
        <w:gridCol w:w="1008"/>
        <w:gridCol w:w="1008"/>
        <w:gridCol w:w="1080"/>
      </w:tblGrid>
      <w:tr w:rsidR="005139C0" w14:paraId="3DFEDE2F" w14:textId="77777777" w:rsidTr="005139C0">
        <w:tc>
          <w:tcPr>
            <w:tcW w:w="2160" w:type="dxa"/>
            <w:tcBorders>
              <w:top w:val="single" w:sz="12" w:space="0" w:color="auto"/>
              <w:left w:val="single" w:sz="12" w:space="0" w:color="auto"/>
              <w:bottom w:val="single" w:sz="6" w:space="0" w:color="auto"/>
              <w:right w:val="single" w:sz="6" w:space="0" w:color="auto"/>
            </w:tcBorders>
            <w:tcMar>
              <w:top w:w="0" w:type="dxa"/>
              <w:left w:w="0" w:type="dxa"/>
              <w:bottom w:w="0" w:type="dxa"/>
              <w:right w:w="0" w:type="dxa"/>
            </w:tcMar>
            <w:hideMark/>
          </w:tcPr>
          <w:p w14:paraId="06FE8A7A" w14:textId="77777777" w:rsidR="005139C0" w:rsidRDefault="005139C0">
            <w:pPr>
              <w:pStyle w:val="Italicsheading"/>
              <w:spacing w:before="120"/>
              <w:jc w:val="center"/>
              <w:rPr>
                <w:b/>
                <w:szCs w:val="22"/>
              </w:rPr>
            </w:pPr>
            <w:r>
              <w:rPr>
                <w:b/>
                <w:szCs w:val="22"/>
              </w:rPr>
              <w:br/>
            </w:r>
            <w:r>
              <w:rPr>
                <w:b/>
                <w:szCs w:val="22"/>
              </w:rPr>
              <w:br/>
              <w:t>Student Learning Objectives</w:t>
            </w:r>
          </w:p>
        </w:tc>
        <w:tc>
          <w:tcPr>
            <w:tcW w:w="1008" w:type="dxa"/>
            <w:tcBorders>
              <w:top w:val="single" w:sz="12" w:space="0" w:color="auto"/>
              <w:left w:val="single" w:sz="6" w:space="0" w:color="auto"/>
              <w:bottom w:val="single" w:sz="6" w:space="0" w:color="auto"/>
              <w:right w:val="single" w:sz="6" w:space="0" w:color="auto"/>
            </w:tcBorders>
            <w:tcMar>
              <w:top w:w="0" w:type="dxa"/>
              <w:left w:w="0" w:type="dxa"/>
              <w:bottom w:w="0" w:type="dxa"/>
              <w:right w:w="0" w:type="dxa"/>
            </w:tcMar>
            <w:hideMark/>
          </w:tcPr>
          <w:p w14:paraId="6E1327E9" w14:textId="77777777" w:rsidR="005139C0" w:rsidRDefault="005139C0">
            <w:pPr>
              <w:pStyle w:val="Italicsheading"/>
              <w:spacing w:before="120"/>
              <w:jc w:val="center"/>
              <w:rPr>
                <w:b/>
                <w:szCs w:val="22"/>
              </w:rPr>
            </w:pPr>
            <w:r>
              <w:rPr>
                <w:b/>
                <w:szCs w:val="22"/>
              </w:rPr>
              <w:br/>
            </w:r>
            <w:r>
              <w:rPr>
                <w:b/>
                <w:szCs w:val="22"/>
              </w:rPr>
              <w:br/>
              <w:t>Mini-Exercises</w:t>
            </w:r>
          </w:p>
        </w:tc>
        <w:tc>
          <w:tcPr>
            <w:tcW w:w="1008" w:type="dxa"/>
            <w:tcBorders>
              <w:top w:val="single" w:sz="12" w:space="0" w:color="auto"/>
              <w:left w:val="single" w:sz="6" w:space="0" w:color="auto"/>
              <w:bottom w:val="single" w:sz="6" w:space="0" w:color="auto"/>
              <w:right w:val="single" w:sz="6" w:space="0" w:color="auto"/>
            </w:tcBorders>
            <w:tcMar>
              <w:top w:w="0" w:type="dxa"/>
              <w:left w:w="0" w:type="dxa"/>
              <w:bottom w:w="0" w:type="dxa"/>
              <w:right w:w="0" w:type="dxa"/>
            </w:tcMar>
            <w:hideMark/>
          </w:tcPr>
          <w:p w14:paraId="6FEEFB52" w14:textId="77777777" w:rsidR="005139C0" w:rsidRDefault="005139C0">
            <w:pPr>
              <w:pStyle w:val="Italicsheading"/>
              <w:spacing w:before="120"/>
              <w:jc w:val="center"/>
              <w:rPr>
                <w:b/>
                <w:szCs w:val="22"/>
              </w:rPr>
            </w:pPr>
            <w:r>
              <w:rPr>
                <w:b/>
                <w:szCs w:val="22"/>
              </w:rPr>
              <w:br/>
            </w:r>
            <w:r>
              <w:rPr>
                <w:b/>
                <w:szCs w:val="22"/>
              </w:rPr>
              <w:br/>
            </w:r>
            <w:r>
              <w:rPr>
                <w:b/>
                <w:szCs w:val="22"/>
              </w:rPr>
              <w:br/>
              <w:t>Exercises</w:t>
            </w:r>
          </w:p>
        </w:tc>
        <w:tc>
          <w:tcPr>
            <w:tcW w:w="1008" w:type="dxa"/>
            <w:tcBorders>
              <w:top w:val="single" w:sz="12" w:space="0" w:color="auto"/>
              <w:left w:val="single" w:sz="6" w:space="0" w:color="auto"/>
              <w:bottom w:val="single" w:sz="6" w:space="0" w:color="auto"/>
              <w:right w:val="single" w:sz="6" w:space="0" w:color="auto"/>
            </w:tcBorders>
            <w:tcMar>
              <w:top w:w="0" w:type="dxa"/>
              <w:left w:w="0" w:type="dxa"/>
              <w:bottom w:w="0" w:type="dxa"/>
              <w:right w:w="0" w:type="dxa"/>
            </w:tcMar>
            <w:hideMark/>
          </w:tcPr>
          <w:p w14:paraId="3E2C655C" w14:textId="77777777" w:rsidR="005139C0" w:rsidRDefault="005139C0">
            <w:pPr>
              <w:pStyle w:val="Italicsheading"/>
              <w:spacing w:before="120"/>
              <w:jc w:val="center"/>
              <w:rPr>
                <w:b/>
                <w:szCs w:val="22"/>
              </w:rPr>
            </w:pPr>
            <w:r>
              <w:rPr>
                <w:b/>
                <w:szCs w:val="22"/>
              </w:rPr>
              <w:br/>
            </w:r>
            <w:r>
              <w:rPr>
                <w:b/>
                <w:szCs w:val="22"/>
              </w:rPr>
              <w:br/>
              <w:t>Coached Problems</w:t>
            </w:r>
          </w:p>
        </w:tc>
        <w:tc>
          <w:tcPr>
            <w:tcW w:w="1080" w:type="dxa"/>
            <w:tcBorders>
              <w:top w:val="single" w:sz="12" w:space="0" w:color="auto"/>
              <w:left w:val="single" w:sz="6" w:space="0" w:color="auto"/>
              <w:bottom w:val="single" w:sz="6" w:space="0" w:color="auto"/>
              <w:right w:val="single" w:sz="6" w:space="0" w:color="auto"/>
            </w:tcBorders>
            <w:tcMar>
              <w:top w:w="0" w:type="dxa"/>
              <w:left w:w="0" w:type="dxa"/>
              <w:bottom w:w="0" w:type="dxa"/>
              <w:right w:w="0" w:type="dxa"/>
            </w:tcMar>
            <w:hideMark/>
          </w:tcPr>
          <w:p w14:paraId="48395BE7" w14:textId="77777777" w:rsidR="005139C0" w:rsidRDefault="005139C0">
            <w:pPr>
              <w:pStyle w:val="Italicsheading"/>
              <w:spacing w:before="120"/>
              <w:jc w:val="center"/>
              <w:rPr>
                <w:b/>
                <w:szCs w:val="22"/>
              </w:rPr>
            </w:pPr>
            <w:r>
              <w:rPr>
                <w:b/>
                <w:szCs w:val="22"/>
              </w:rPr>
              <w:br/>
              <w:t>Problems</w:t>
            </w:r>
            <w:r>
              <w:rPr>
                <w:b/>
                <w:szCs w:val="22"/>
              </w:rPr>
              <w:br/>
              <w:t>(Groups</w:t>
            </w:r>
            <w:r>
              <w:rPr>
                <w:b/>
                <w:szCs w:val="22"/>
              </w:rPr>
              <w:br/>
              <w:t xml:space="preserve"> A &amp; B)</w:t>
            </w:r>
          </w:p>
        </w:tc>
        <w:tc>
          <w:tcPr>
            <w:tcW w:w="1008" w:type="dxa"/>
            <w:tcBorders>
              <w:top w:val="single" w:sz="12" w:space="0" w:color="auto"/>
              <w:left w:val="single" w:sz="6" w:space="0" w:color="auto"/>
              <w:bottom w:val="single" w:sz="6" w:space="0" w:color="auto"/>
              <w:right w:val="single" w:sz="6" w:space="0" w:color="auto"/>
            </w:tcBorders>
            <w:hideMark/>
          </w:tcPr>
          <w:p w14:paraId="5B8792D2" w14:textId="77777777" w:rsidR="005139C0" w:rsidRDefault="005139C0" w:rsidP="00134744">
            <w:pPr>
              <w:pStyle w:val="Italicsheading"/>
              <w:spacing w:before="120"/>
              <w:jc w:val="center"/>
              <w:rPr>
                <w:b/>
                <w:szCs w:val="22"/>
              </w:rPr>
            </w:pPr>
            <w:r>
              <w:rPr>
                <w:b/>
                <w:szCs w:val="22"/>
              </w:rPr>
              <w:br/>
              <w:t>Compre-hensive Problem</w:t>
            </w:r>
          </w:p>
        </w:tc>
        <w:tc>
          <w:tcPr>
            <w:tcW w:w="1008" w:type="dxa"/>
            <w:tcBorders>
              <w:top w:val="single" w:sz="12" w:space="0" w:color="auto"/>
              <w:left w:val="single" w:sz="6" w:space="0" w:color="auto"/>
              <w:bottom w:val="single" w:sz="6" w:space="0" w:color="auto"/>
              <w:right w:val="single" w:sz="6" w:space="0" w:color="auto"/>
            </w:tcBorders>
            <w:tcMar>
              <w:top w:w="0" w:type="dxa"/>
              <w:left w:w="0" w:type="dxa"/>
              <w:bottom w:w="0" w:type="dxa"/>
              <w:right w:w="0" w:type="dxa"/>
            </w:tcMar>
            <w:hideMark/>
          </w:tcPr>
          <w:p w14:paraId="7B185D53" w14:textId="77777777" w:rsidR="005139C0" w:rsidRDefault="005139C0">
            <w:pPr>
              <w:pStyle w:val="Italicsheading"/>
              <w:spacing w:before="120"/>
              <w:jc w:val="center"/>
              <w:rPr>
                <w:b/>
                <w:szCs w:val="22"/>
              </w:rPr>
            </w:pPr>
            <w:r>
              <w:rPr>
                <w:b/>
                <w:szCs w:val="22"/>
              </w:rPr>
              <w:t>Skills Develop-ment Cases</w:t>
            </w:r>
          </w:p>
        </w:tc>
        <w:tc>
          <w:tcPr>
            <w:tcW w:w="1080" w:type="dxa"/>
            <w:tcBorders>
              <w:top w:val="single" w:sz="12" w:space="0" w:color="auto"/>
              <w:left w:val="single" w:sz="6" w:space="0" w:color="auto"/>
              <w:bottom w:val="single" w:sz="6" w:space="0" w:color="auto"/>
              <w:right w:val="single" w:sz="12" w:space="0" w:color="auto"/>
            </w:tcBorders>
            <w:tcMar>
              <w:top w:w="0" w:type="dxa"/>
              <w:left w:w="0" w:type="dxa"/>
              <w:bottom w:w="0" w:type="dxa"/>
              <w:right w:w="0" w:type="dxa"/>
            </w:tcMar>
            <w:hideMark/>
          </w:tcPr>
          <w:p w14:paraId="70C12D97" w14:textId="77777777" w:rsidR="005139C0" w:rsidRDefault="00134744">
            <w:pPr>
              <w:pStyle w:val="Italicsheading"/>
              <w:spacing w:before="120"/>
              <w:jc w:val="center"/>
              <w:rPr>
                <w:b/>
                <w:szCs w:val="22"/>
              </w:rPr>
            </w:pPr>
            <w:r>
              <w:rPr>
                <w:b/>
                <w:szCs w:val="22"/>
              </w:rPr>
              <w:br/>
            </w:r>
            <w:r>
              <w:rPr>
                <w:b/>
                <w:szCs w:val="22"/>
              </w:rPr>
              <w:br/>
              <w:t>Continuing Case</w:t>
            </w:r>
          </w:p>
        </w:tc>
      </w:tr>
      <w:tr w:rsidR="00AA5048" w14:paraId="6C1D9B41" w14:textId="77777777" w:rsidTr="005139C0">
        <w:tc>
          <w:tcPr>
            <w:tcW w:w="2160" w:type="dxa"/>
            <w:tcBorders>
              <w:top w:val="single" w:sz="6" w:space="0" w:color="auto"/>
              <w:left w:val="single" w:sz="12" w:space="0" w:color="auto"/>
              <w:bottom w:val="single" w:sz="6" w:space="0" w:color="auto"/>
              <w:right w:val="single" w:sz="6" w:space="0" w:color="auto"/>
            </w:tcBorders>
            <w:tcMar>
              <w:top w:w="0" w:type="dxa"/>
              <w:left w:w="115" w:type="dxa"/>
              <w:bottom w:w="0" w:type="dxa"/>
              <w:right w:w="115" w:type="dxa"/>
            </w:tcMar>
            <w:hideMark/>
          </w:tcPr>
          <w:p w14:paraId="759E934D" w14:textId="6BA411D8" w:rsidR="00AA5048" w:rsidRPr="00E91FE1" w:rsidRDefault="00C45729" w:rsidP="00A51F31">
            <w:pPr>
              <w:pStyle w:val="TableBody"/>
              <w:ind w:left="288" w:hanging="288"/>
            </w:pPr>
            <w:r>
              <w:t>LO 9-</w:t>
            </w:r>
            <w:r w:rsidR="00AA5048">
              <w:t>1</w:t>
            </w:r>
            <w:r>
              <w:t xml:space="preserve"> </w:t>
            </w:r>
            <w:r w:rsidR="00AA5048" w:rsidRPr="00E91FE1">
              <w:t>D</w:t>
            </w:r>
            <w:r w:rsidR="00AA5048" w:rsidRPr="004D5488">
              <w:t>efine, classify, and explain the nature of long-lived assets.</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hideMark/>
          </w:tcPr>
          <w:p w14:paraId="5F85F632" w14:textId="77777777" w:rsidR="00AA5048" w:rsidRDefault="00AA5048" w:rsidP="0012366D">
            <w:pPr>
              <w:pStyle w:val="TableBody"/>
            </w:pPr>
            <w:r>
              <w:t>1</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hideMark/>
          </w:tcPr>
          <w:p w14:paraId="3142B481" w14:textId="77777777" w:rsidR="00AA5048" w:rsidRDefault="00AA5048" w:rsidP="0012366D">
            <w:pPr>
              <w:pStyle w:val="TableBody"/>
            </w:pPr>
            <w:r>
              <w:t>1</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6713989F" w14:textId="77777777" w:rsidR="00AA5048" w:rsidRDefault="00AA5048" w:rsidP="0012366D">
            <w:pPr>
              <w:pStyle w:val="TableBody"/>
            </w:pPr>
          </w:p>
        </w:tc>
        <w:tc>
          <w:tcPr>
            <w:tcW w:w="1080"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75D2EAD8" w14:textId="77777777" w:rsidR="00AA5048" w:rsidRDefault="00D8730F" w:rsidP="0012366D">
            <w:pPr>
              <w:pStyle w:val="TableBody"/>
            </w:pPr>
            <w:r>
              <w:t xml:space="preserve">A4^, </w:t>
            </w:r>
            <w:r w:rsidR="00AA5048">
              <w:t>B4</w:t>
            </w:r>
            <w:r>
              <w:t>^</w:t>
            </w:r>
          </w:p>
        </w:tc>
        <w:tc>
          <w:tcPr>
            <w:tcW w:w="1008" w:type="dxa"/>
            <w:tcBorders>
              <w:top w:val="single" w:sz="6" w:space="0" w:color="auto"/>
              <w:left w:val="single" w:sz="6" w:space="0" w:color="auto"/>
              <w:bottom w:val="single" w:sz="6" w:space="0" w:color="auto"/>
              <w:right w:val="single" w:sz="6" w:space="0" w:color="auto"/>
            </w:tcBorders>
          </w:tcPr>
          <w:p w14:paraId="37884D91" w14:textId="77777777" w:rsidR="00AA5048" w:rsidRDefault="00AA5048" w:rsidP="0012366D">
            <w:pPr>
              <w:pStyle w:val="TableBody"/>
            </w:pP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hideMark/>
          </w:tcPr>
          <w:p w14:paraId="03147923" w14:textId="77777777" w:rsidR="00AA5048" w:rsidRDefault="00AA5048" w:rsidP="0012366D">
            <w:pPr>
              <w:pStyle w:val="TableBody"/>
            </w:pPr>
            <w:r>
              <w:t>3</w:t>
            </w:r>
          </w:p>
        </w:tc>
        <w:tc>
          <w:tcPr>
            <w:tcW w:w="1080" w:type="dxa"/>
            <w:tcBorders>
              <w:top w:val="single" w:sz="6" w:space="0" w:color="auto"/>
              <w:left w:val="single" w:sz="6" w:space="0" w:color="auto"/>
              <w:bottom w:val="single" w:sz="6" w:space="0" w:color="auto"/>
              <w:right w:val="single" w:sz="12" w:space="0" w:color="auto"/>
            </w:tcBorders>
            <w:tcMar>
              <w:top w:w="0" w:type="dxa"/>
              <w:left w:w="115" w:type="dxa"/>
              <w:bottom w:w="0" w:type="dxa"/>
              <w:right w:w="115" w:type="dxa"/>
            </w:tcMar>
          </w:tcPr>
          <w:p w14:paraId="4377F5CD" w14:textId="77777777" w:rsidR="00AA5048" w:rsidRPr="00FB77B2" w:rsidRDefault="00AA5048" w:rsidP="0012366D">
            <w:pPr>
              <w:pStyle w:val="TableBody"/>
            </w:pPr>
          </w:p>
        </w:tc>
      </w:tr>
      <w:tr w:rsidR="00AA5048" w14:paraId="03F0ADFE" w14:textId="77777777" w:rsidTr="005139C0">
        <w:tc>
          <w:tcPr>
            <w:tcW w:w="2160" w:type="dxa"/>
            <w:tcBorders>
              <w:top w:val="single" w:sz="6" w:space="0" w:color="auto"/>
              <w:left w:val="single" w:sz="12" w:space="0" w:color="auto"/>
              <w:bottom w:val="single" w:sz="6" w:space="0" w:color="auto"/>
              <w:right w:val="single" w:sz="6" w:space="0" w:color="auto"/>
            </w:tcBorders>
            <w:tcMar>
              <w:top w:w="0" w:type="dxa"/>
              <w:left w:w="115" w:type="dxa"/>
              <w:bottom w:w="0" w:type="dxa"/>
              <w:right w:w="115" w:type="dxa"/>
            </w:tcMar>
          </w:tcPr>
          <w:p w14:paraId="46D9FF07" w14:textId="77777777" w:rsidR="00AA5048" w:rsidRPr="00E91FE1" w:rsidRDefault="00C45729" w:rsidP="00CD2C4D">
            <w:pPr>
              <w:pStyle w:val="TableBody"/>
              <w:ind w:left="288" w:hanging="288"/>
            </w:pPr>
            <w:r>
              <w:t xml:space="preserve">LO 9- </w:t>
            </w:r>
            <w:r w:rsidR="00AA5048" w:rsidRPr="00E91FE1">
              <w:t>2</w:t>
            </w:r>
            <w:r>
              <w:t xml:space="preserve"> – </w:t>
            </w:r>
            <w:r w:rsidR="00AA5048" w:rsidRPr="004D5488">
              <w:t>Apply the cost principle to the acquisition of long-lived assets.</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34199778" w14:textId="77777777" w:rsidR="00AA5048" w:rsidRDefault="00AA5048" w:rsidP="0012366D">
            <w:pPr>
              <w:pStyle w:val="TableBody"/>
            </w:pPr>
            <w:r>
              <w:t>2, 3</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54D4ADF6" w14:textId="77777777" w:rsidR="00AA5048" w:rsidRDefault="00AA5048" w:rsidP="0012366D">
            <w:pPr>
              <w:pStyle w:val="TableBody"/>
            </w:pPr>
            <w:r>
              <w:t>2, 3, 4, 5</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7E228843" w14:textId="77777777" w:rsidR="00AA5048" w:rsidRDefault="00AA5048" w:rsidP="0012366D">
            <w:pPr>
              <w:pStyle w:val="TableBody"/>
            </w:pPr>
            <w:r>
              <w:t>1, 3</w:t>
            </w:r>
          </w:p>
        </w:tc>
        <w:tc>
          <w:tcPr>
            <w:tcW w:w="1080"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0DD260A3" w14:textId="77777777" w:rsidR="00AA5048" w:rsidRDefault="00AA5048" w:rsidP="0012366D">
            <w:pPr>
              <w:pStyle w:val="TableBody"/>
            </w:pPr>
            <w:r>
              <w:t>A1, A3, A4</w:t>
            </w:r>
            <w:r w:rsidR="00D8730F">
              <w:t>^</w:t>
            </w:r>
            <w:r>
              <w:t>, B1, B3, B4</w:t>
            </w:r>
            <w:r w:rsidR="00D8730F">
              <w:t>^</w:t>
            </w:r>
          </w:p>
        </w:tc>
        <w:tc>
          <w:tcPr>
            <w:tcW w:w="1008" w:type="dxa"/>
            <w:tcBorders>
              <w:top w:val="single" w:sz="6" w:space="0" w:color="auto"/>
              <w:left w:val="single" w:sz="6" w:space="0" w:color="auto"/>
              <w:bottom w:val="single" w:sz="6" w:space="0" w:color="auto"/>
              <w:right w:val="single" w:sz="6" w:space="0" w:color="auto"/>
            </w:tcBorders>
          </w:tcPr>
          <w:p w14:paraId="5AD20F13" w14:textId="1A874303" w:rsidR="00AA5048" w:rsidRDefault="00D8730F" w:rsidP="0012366D">
            <w:pPr>
              <w:pStyle w:val="TableBody"/>
            </w:pPr>
            <w:r>
              <w:t xml:space="preserve">  1</w:t>
            </w:r>
            <w:r w:rsidR="00874052">
              <w:t>^</w:t>
            </w:r>
            <w:r>
              <w:rPr>
                <w:b/>
                <w:szCs w:val="22"/>
              </w:rPr>
              <w:t>+</w:t>
            </w:r>
            <w:r w:rsidRPr="00DD77CB">
              <w:rPr>
                <w:szCs w:val="22"/>
                <w:vertAlign w:val="superscript"/>
              </w:rPr>
              <w:tab/>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47993F24" w14:textId="77777777" w:rsidR="00AA5048" w:rsidRDefault="00AA5048" w:rsidP="0012366D">
            <w:pPr>
              <w:pStyle w:val="TableBody"/>
            </w:pPr>
            <w:r>
              <w:t>1, 2, 4</w:t>
            </w:r>
          </w:p>
        </w:tc>
        <w:tc>
          <w:tcPr>
            <w:tcW w:w="1080" w:type="dxa"/>
            <w:tcBorders>
              <w:top w:val="single" w:sz="6" w:space="0" w:color="auto"/>
              <w:left w:val="single" w:sz="6" w:space="0" w:color="auto"/>
              <w:bottom w:val="single" w:sz="6" w:space="0" w:color="auto"/>
              <w:right w:val="single" w:sz="12" w:space="0" w:color="auto"/>
            </w:tcBorders>
            <w:tcMar>
              <w:top w:w="0" w:type="dxa"/>
              <w:left w:w="115" w:type="dxa"/>
              <w:bottom w:w="0" w:type="dxa"/>
              <w:right w:w="115" w:type="dxa"/>
            </w:tcMar>
          </w:tcPr>
          <w:p w14:paraId="5D182FDA" w14:textId="77777777" w:rsidR="00AA5048" w:rsidRPr="00FB77B2" w:rsidRDefault="00AA5048" w:rsidP="0012366D">
            <w:pPr>
              <w:pStyle w:val="TableBody"/>
            </w:pPr>
          </w:p>
        </w:tc>
      </w:tr>
      <w:tr w:rsidR="00AA5048" w14:paraId="0F91F05E" w14:textId="77777777" w:rsidTr="005139C0">
        <w:tc>
          <w:tcPr>
            <w:tcW w:w="2160" w:type="dxa"/>
            <w:tcBorders>
              <w:top w:val="single" w:sz="6" w:space="0" w:color="auto"/>
              <w:left w:val="single" w:sz="12" w:space="0" w:color="auto"/>
              <w:bottom w:val="single" w:sz="6" w:space="0" w:color="auto"/>
              <w:right w:val="single" w:sz="6" w:space="0" w:color="auto"/>
            </w:tcBorders>
            <w:tcMar>
              <w:top w:w="0" w:type="dxa"/>
              <w:left w:w="115" w:type="dxa"/>
              <w:bottom w:w="0" w:type="dxa"/>
              <w:right w:w="115" w:type="dxa"/>
            </w:tcMar>
          </w:tcPr>
          <w:p w14:paraId="434F9D0D" w14:textId="77777777" w:rsidR="00AA5048" w:rsidRPr="00E91FE1" w:rsidRDefault="00C45729" w:rsidP="00CD2C4D">
            <w:pPr>
              <w:pStyle w:val="TableBody"/>
              <w:ind w:left="288" w:hanging="288"/>
            </w:pPr>
            <w:r>
              <w:t>LO 9-3 –</w:t>
            </w:r>
            <w:r w:rsidR="00AA5048">
              <w:tab/>
            </w:r>
            <w:r w:rsidR="00AA5048" w:rsidRPr="004D5488">
              <w:t>Apply various depreciation methods as economic benefits are used up over time.</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6048C2E7" w14:textId="77777777" w:rsidR="00AA5048" w:rsidRDefault="00D8730F" w:rsidP="0012366D">
            <w:pPr>
              <w:pStyle w:val="TableBody"/>
            </w:pPr>
            <w:r>
              <w:t>1, 4</w:t>
            </w:r>
            <w:r w:rsidR="007133D7">
              <w:t>*</w:t>
            </w:r>
            <w:r w:rsidR="00AA5048">
              <w:t>, 5</w:t>
            </w:r>
            <w:r w:rsidR="007133D7">
              <w:t>*</w:t>
            </w:r>
            <w:r>
              <w:t>, 6</w:t>
            </w:r>
            <w:r w:rsidR="007133D7">
              <w:t>*</w:t>
            </w:r>
            <w:r w:rsidR="00AA5048">
              <w:t xml:space="preserve">, 7 </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626A072F" w14:textId="77777777" w:rsidR="00AA5048" w:rsidRDefault="00AA5048" w:rsidP="003C0C5C">
            <w:pPr>
              <w:pStyle w:val="TableBody"/>
            </w:pPr>
            <w:r>
              <w:t>2, 3, 4, 5, 6</w:t>
            </w:r>
            <w:r w:rsidR="007133D7">
              <w:t>*</w:t>
            </w:r>
            <w:r w:rsidR="00D8730F">
              <w:t>,</w:t>
            </w:r>
            <w:r>
              <w:t xml:space="preserve"> 7</w:t>
            </w:r>
            <w:r w:rsidR="007133D7">
              <w:t>*</w:t>
            </w:r>
            <w:r w:rsidR="00D8730F">
              <w:t>,</w:t>
            </w:r>
            <w:r>
              <w:t xml:space="preserve"> 8, 15</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18A28C2A" w14:textId="77777777" w:rsidR="00AA5048" w:rsidRDefault="00AA5048" w:rsidP="0012366D">
            <w:pPr>
              <w:pStyle w:val="TableBody"/>
            </w:pPr>
            <w:r>
              <w:t>1, 3</w:t>
            </w:r>
          </w:p>
        </w:tc>
        <w:tc>
          <w:tcPr>
            <w:tcW w:w="1080"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2EE7E4ED" w14:textId="77777777" w:rsidR="00AA5048" w:rsidRDefault="00AA5048" w:rsidP="0012366D">
            <w:pPr>
              <w:pStyle w:val="TableBody"/>
            </w:pPr>
            <w:r>
              <w:t>A1, A3, A4</w:t>
            </w:r>
            <w:r w:rsidR="00D8730F">
              <w:t>^</w:t>
            </w:r>
            <w:r>
              <w:t>, B1, B3, B4</w:t>
            </w:r>
            <w:r w:rsidR="00D8730F">
              <w:t>^</w:t>
            </w:r>
          </w:p>
        </w:tc>
        <w:tc>
          <w:tcPr>
            <w:tcW w:w="1008" w:type="dxa"/>
            <w:tcBorders>
              <w:top w:val="single" w:sz="6" w:space="0" w:color="auto"/>
              <w:left w:val="single" w:sz="6" w:space="0" w:color="auto"/>
              <w:bottom w:val="single" w:sz="6" w:space="0" w:color="auto"/>
              <w:right w:val="single" w:sz="6" w:space="0" w:color="auto"/>
            </w:tcBorders>
          </w:tcPr>
          <w:p w14:paraId="11461E62" w14:textId="77777777" w:rsidR="00AA5048" w:rsidRDefault="00134744" w:rsidP="0012366D">
            <w:pPr>
              <w:pStyle w:val="TableBody"/>
            </w:pPr>
            <w:r>
              <w:t xml:space="preserve">  1</w:t>
            </w:r>
            <w:r w:rsidR="00874052">
              <w:t>^</w:t>
            </w:r>
            <w:r w:rsidR="00D8730F">
              <w:rPr>
                <w:b/>
                <w:szCs w:val="22"/>
              </w:rPr>
              <w:t>+</w:t>
            </w:r>
            <w:r w:rsidRPr="00DD77CB">
              <w:rPr>
                <w:szCs w:val="22"/>
                <w:vertAlign w:val="superscript"/>
              </w:rPr>
              <w:tab/>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4A08579D" w14:textId="77777777" w:rsidR="00AA5048" w:rsidRDefault="00AA5048" w:rsidP="0012366D">
            <w:pPr>
              <w:pStyle w:val="TableBody"/>
            </w:pPr>
            <w:r>
              <w:t>1, 2, 3, 5, 6, 7</w:t>
            </w:r>
          </w:p>
        </w:tc>
        <w:tc>
          <w:tcPr>
            <w:tcW w:w="1080" w:type="dxa"/>
            <w:tcBorders>
              <w:top w:val="single" w:sz="6" w:space="0" w:color="auto"/>
              <w:left w:val="single" w:sz="6" w:space="0" w:color="auto"/>
              <w:bottom w:val="single" w:sz="6" w:space="0" w:color="auto"/>
              <w:right w:val="single" w:sz="12" w:space="0" w:color="auto"/>
            </w:tcBorders>
            <w:tcMar>
              <w:top w:w="0" w:type="dxa"/>
              <w:left w:w="115" w:type="dxa"/>
              <w:bottom w:w="0" w:type="dxa"/>
              <w:right w:w="115" w:type="dxa"/>
            </w:tcMar>
          </w:tcPr>
          <w:p w14:paraId="3D15FCD9" w14:textId="77777777" w:rsidR="00AA5048" w:rsidRPr="003C0C5C" w:rsidRDefault="00AA5048" w:rsidP="00134744">
            <w:pPr>
              <w:pStyle w:val="TableBody"/>
            </w:pPr>
            <w:r w:rsidRPr="003C0C5C">
              <w:t>1</w:t>
            </w:r>
            <w:r w:rsidR="00D8730F" w:rsidRPr="003C0C5C">
              <w:rPr>
                <w:szCs w:val="22"/>
              </w:rPr>
              <w:t>†</w:t>
            </w:r>
            <w:r w:rsidR="003C0C5C" w:rsidRPr="003C0C5C">
              <w:rPr>
                <w:szCs w:val="22"/>
              </w:rPr>
              <w:t>, 2</w:t>
            </w:r>
            <w:r w:rsidR="00D91447">
              <w:rPr>
                <w:szCs w:val="22"/>
              </w:rPr>
              <w:t>^</w:t>
            </w:r>
            <w:r w:rsidR="003C0C5C" w:rsidRPr="003C0C5C">
              <w:rPr>
                <w:szCs w:val="22"/>
              </w:rPr>
              <w:t>£</w:t>
            </w:r>
          </w:p>
        </w:tc>
      </w:tr>
      <w:tr w:rsidR="00AA5048" w14:paraId="36D3C1DA" w14:textId="77777777" w:rsidTr="005139C0">
        <w:tc>
          <w:tcPr>
            <w:tcW w:w="2160" w:type="dxa"/>
            <w:tcBorders>
              <w:top w:val="single" w:sz="6" w:space="0" w:color="auto"/>
              <w:left w:val="single" w:sz="12" w:space="0" w:color="auto"/>
              <w:bottom w:val="single" w:sz="6" w:space="0" w:color="auto"/>
              <w:right w:val="single" w:sz="6" w:space="0" w:color="auto"/>
            </w:tcBorders>
            <w:tcMar>
              <w:top w:w="0" w:type="dxa"/>
              <w:left w:w="115" w:type="dxa"/>
              <w:bottom w:w="0" w:type="dxa"/>
              <w:right w:w="115" w:type="dxa"/>
            </w:tcMar>
          </w:tcPr>
          <w:p w14:paraId="6CBF1053" w14:textId="05148F5D" w:rsidR="00AA5048" w:rsidRPr="00E91FE1" w:rsidRDefault="00C45729" w:rsidP="00CD2C4D">
            <w:pPr>
              <w:pStyle w:val="TableBody"/>
              <w:ind w:left="288" w:hanging="288"/>
            </w:pPr>
            <w:r>
              <w:t xml:space="preserve">LO 9-4 </w:t>
            </w:r>
            <w:r w:rsidR="00AA5048" w:rsidRPr="004D5488">
              <w:t>Explain the effect of asset impairment on the financial statements.</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78E2399C" w14:textId="77777777" w:rsidR="00AA5048" w:rsidRDefault="00AA5048" w:rsidP="0012366D">
            <w:pPr>
              <w:pStyle w:val="TableBody"/>
            </w:pPr>
            <w:r>
              <w:t>8</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19C90073" w14:textId="77777777" w:rsidR="00AA5048" w:rsidRDefault="00AA5048" w:rsidP="0012366D">
            <w:pPr>
              <w:pStyle w:val="TableBody"/>
            </w:pP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4F22E91C" w14:textId="77777777" w:rsidR="00AA5048" w:rsidRDefault="00AA5048" w:rsidP="0012366D">
            <w:pPr>
              <w:pStyle w:val="TableBody"/>
            </w:pPr>
          </w:p>
        </w:tc>
        <w:tc>
          <w:tcPr>
            <w:tcW w:w="1080"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0955ACE5" w14:textId="77777777" w:rsidR="00AA5048" w:rsidRDefault="00AA5048" w:rsidP="0012366D">
            <w:pPr>
              <w:pStyle w:val="TableBody"/>
            </w:pPr>
            <w:r>
              <w:t>A4</w:t>
            </w:r>
            <w:r w:rsidR="00D8730F">
              <w:t>^</w:t>
            </w:r>
            <w:r>
              <w:t>, B4</w:t>
            </w:r>
            <w:r w:rsidR="00D8730F">
              <w:t>^</w:t>
            </w:r>
          </w:p>
        </w:tc>
        <w:tc>
          <w:tcPr>
            <w:tcW w:w="1008" w:type="dxa"/>
            <w:tcBorders>
              <w:top w:val="single" w:sz="6" w:space="0" w:color="auto"/>
              <w:left w:val="single" w:sz="6" w:space="0" w:color="auto"/>
              <w:bottom w:val="single" w:sz="6" w:space="0" w:color="auto"/>
              <w:right w:val="single" w:sz="6" w:space="0" w:color="auto"/>
            </w:tcBorders>
          </w:tcPr>
          <w:p w14:paraId="36D678E0" w14:textId="77777777" w:rsidR="00AA5048" w:rsidRDefault="00AA5048" w:rsidP="0012366D">
            <w:pPr>
              <w:pStyle w:val="TableBody"/>
            </w:pP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5CE7FF3E" w14:textId="77777777" w:rsidR="00AA5048" w:rsidRDefault="00AA5048" w:rsidP="0012366D">
            <w:pPr>
              <w:pStyle w:val="TableBody"/>
            </w:pPr>
          </w:p>
        </w:tc>
        <w:tc>
          <w:tcPr>
            <w:tcW w:w="1080" w:type="dxa"/>
            <w:tcBorders>
              <w:top w:val="single" w:sz="6" w:space="0" w:color="auto"/>
              <w:left w:val="single" w:sz="6" w:space="0" w:color="auto"/>
              <w:bottom w:val="single" w:sz="6" w:space="0" w:color="auto"/>
              <w:right w:val="single" w:sz="12" w:space="0" w:color="auto"/>
            </w:tcBorders>
            <w:tcMar>
              <w:top w:w="0" w:type="dxa"/>
              <w:left w:w="115" w:type="dxa"/>
              <w:bottom w:w="0" w:type="dxa"/>
              <w:right w:w="115" w:type="dxa"/>
            </w:tcMar>
          </w:tcPr>
          <w:p w14:paraId="4B37CD82" w14:textId="77777777" w:rsidR="00AA5048" w:rsidRPr="00DD77CB" w:rsidRDefault="00D91447" w:rsidP="0012366D">
            <w:pPr>
              <w:pStyle w:val="TableBody"/>
            </w:pPr>
            <w:r w:rsidRPr="003C0C5C">
              <w:rPr>
                <w:szCs w:val="22"/>
              </w:rPr>
              <w:t>2</w:t>
            </w:r>
            <w:r>
              <w:rPr>
                <w:szCs w:val="22"/>
              </w:rPr>
              <w:t>^</w:t>
            </w:r>
            <w:r w:rsidRPr="003C0C5C">
              <w:rPr>
                <w:szCs w:val="22"/>
              </w:rPr>
              <w:t>£</w:t>
            </w:r>
          </w:p>
        </w:tc>
      </w:tr>
      <w:tr w:rsidR="00D8730F" w14:paraId="14D70889" w14:textId="77777777" w:rsidTr="005139C0">
        <w:tc>
          <w:tcPr>
            <w:tcW w:w="2160" w:type="dxa"/>
            <w:tcBorders>
              <w:top w:val="single" w:sz="6" w:space="0" w:color="auto"/>
              <w:left w:val="single" w:sz="12" w:space="0" w:color="auto"/>
              <w:bottom w:val="single" w:sz="6" w:space="0" w:color="auto"/>
              <w:right w:val="single" w:sz="6" w:space="0" w:color="auto"/>
            </w:tcBorders>
            <w:tcMar>
              <w:top w:w="0" w:type="dxa"/>
              <w:left w:w="115" w:type="dxa"/>
              <w:bottom w:w="0" w:type="dxa"/>
              <w:right w:w="115" w:type="dxa"/>
            </w:tcMar>
          </w:tcPr>
          <w:p w14:paraId="74C0A8ED" w14:textId="4279C7DA" w:rsidR="00D8730F" w:rsidRDefault="00C45729" w:rsidP="008105BF">
            <w:pPr>
              <w:pStyle w:val="TableBody"/>
              <w:ind w:left="288" w:hanging="288"/>
            </w:pPr>
            <w:r>
              <w:t xml:space="preserve">LO 9-5 </w:t>
            </w:r>
            <w:r w:rsidR="00D8730F" w:rsidRPr="004D5488">
              <w:t>Analyze the disposal of long-lived tangible assets.</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1E1D790C" w14:textId="77777777" w:rsidR="00D8730F" w:rsidRDefault="003C0C5C" w:rsidP="0012366D">
            <w:pPr>
              <w:pStyle w:val="TableBody"/>
            </w:pPr>
            <w:r>
              <w:t xml:space="preserve">8, </w:t>
            </w:r>
            <w:r w:rsidR="00D8730F">
              <w:t>9, 10</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6BB97907" w14:textId="77777777" w:rsidR="00D8730F" w:rsidRDefault="003C0C5C" w:rsidP="0012366D">
            <w:pPr>
              <w:pStyle w:val="TableBody"/>
            </w:pPr>
            <w:r>
              <w:t>9</w:t>
            </w:r>
            <w:r w:rsidR="004E075F">
              <w:t>*</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4565002C" w14:textId="77777777" w:rsidR="00D8730F" w:rsidRDefault="00D8730F" w:rsidP="0012366D">
            <w:pPr>
              <w:pStyle w:val="TableBody"/>
            </w:pPr>
            <w:r>
              <w:t>2</w:t>
            </w:r>
          </w:p>
        </w:tc>
        <w:tc>
          <w:tcPr>
            <w:tcW w:w="1080"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4EC470EC" w14:textId="77777777" w:rsidR="00D8730F" w:rsidRDefault="00D8730F" w:rsidP="0012366D">
            <w:pPr>
              <w:pStyle w:val="TableBody"/>
            </w:pPr>
            <w:r>
              <w:t>A2, A4^, B2, B4^</w:t>
            </w:r>
          </w:p>
        </w:tc>
        <w:tc>
          <w:tcPr>
            <w:tcW w:w="1008" w:type="dxa"/>
            <w:tcBorders>
              <w:top w:val="single" w:sz="6" w:space="0" w:color="auto"/>
              <w:left w:val="single" w:sz="6" w:space="0" w:color="auto"/>
              <w:bottom w:val="single" w:sz="6" w:space="0" w:color="auto"/>
              <w:right w:val="single" w:sz="6" w:space="0" w:color="auto"/>
            </w:tcBorders>
          </w:tcPr>
          <w:p w14:paraId="612CFEE0" w14:textId="77777777" w:rsidR="00D8730F" w:rsidRDefault="00D8730F" w:rsidP="0012366D">
            <w:pPr>
              <w:pStyle w:val="TableBody"/>
            </w:pP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163ABBDB" w14:textId="77777777" w:rsidR="00D8730F" w:rsidRDefault="00D8730F" w:rsidP="0012366D">
            <w:pPr>
              <w:pStyle w:val="TableBody"/>
            </w:pPr>
            <w:r>
              <w:t>6</w:t>
            </w:r>
          </w:p>
        </w:tc>
        <w:tc>
          <w:tcPr>
            <w:tcW w:w="1080" w:type="dxa"/>
            <w:tcBorders>
              <w:top w:val="single" w:sz="6" w:space="0" w:color="auto"/>
              <w:left w:val="single" w:sz="6" w:space="0" w:color="auto"/>
              <w:bottom w:val="single" w:sz="6" w:space="0" w:color="auto"/>
              <w:right w:val="single" w:sz="12" w:space="0" w:color="auto"/>
            </w:tcBorders>
            <w:tcMar>
              <w:top w:w="0" w:type="dxa"/>
              <w:left w:w="115" w:type="dxa"/>
              <w:bottom w:w="0" w:type="dxa"/>
              <w:right w:w="115" w:type="dxa"/>
            </w:tcMar>
          </w:tcPr>
          <w:p w14:paraId="66458A49" w14:textId="77777777" w:rsidR="00D8730F" w:rsidRPr="00FB77B2" w:rsidRDefault="003C0C5C" w:rsidP="00060810">
            <w:pPr>
              <w:pStyle w:val="TableBody"/>
            </w:pPr>
            <w:r w:rsidRPr="003C0C5C">
              <w:t>1</w:t>
            </w:r>
            <w:r w:rsidRPr="003C0C5C">
              <w:rPr>
                <w:szCs w:val="22"/>
              </w:rPr>
              <w:t>†</w:t>
            </w:r>
          </w:p>
        </w:tc>
      </w:tr>
      <w:tr w:rsidR="00D8730F" w14:paraId="0B2EB05B" w14:textId="77777777" w:rsidTr="005139C0">
        <w:tc>
          <w:tcPr>
            <w:tcW w:w="2160" w:type="dxa"/>
            <w:tcBorders>
              <w:top w:val="single" w:sz="6" w:space="0" w:color="auto"/>
              <w:left w:val="single" w:sz="12" w:space="0" w:color="auto"/>
              <w:bottom w:val="single" w:sz="6" w:space="0" w:color="auto"/>
              <w:right w:val="single" w:sz="6" w:space="0" w:color="auto"/>
            </w:tcBorders>
            <w:tcMar>
              <w:top w:w="0" w:type="dxa"/>
              <w:left w:w="115" w:type="dxa"/>
              <w:bottom w:w="0" w:type="dxa"/>
              <w:right w:w="115" w:type="dxa"/>
            </w:tcMar>
          </w:tcPr>
          <w:p w14:paraId="186F2678" w14:textId="4BE408AD" w:rsidR="00D8730F" w:rsidRDefault="00C45729" w:rsidP="00CD2C4D">
            <w:pPr>
              <w:pStyle w:val="TableBody"/>
              <w:ind w:left="288" w:hanging="288"/>
            </w:pPr>
            <w:r>
              <w:t xml:space="preserve">LO 9-6 </w:t>
            </w:r>
            <w:r w:rsidR="00D8730F" w:rsidRPr="004D5488">
              <w:t>Analyze the acquisition, use, and disposal of long-lived intangible assets.</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7B2393FF" w14:textId="77777777" w:rsidR="00D8730F" w:rsidRDefault="00D8730F" w:rsidP="0012366D">
            <w:pPr>
              <w:pStyle w:val="TableBody"/>
            </w:pPr>
            <w:r>
              <w:t>1, 2, 3, 11, 12</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1EF185A4" w14:textId="77777777" w:rsidR="00D8730F" w:rsidRDefault="003C0C5C" w:rsidP="0012366D">
            <w:pPr>
              <w:pStyle w:val="TableBody"/>
            </w:pPr>
            <w:r>
              <w:t xml:space="preserve">10, 11, </w:t>
            </w:r>
            <w:r w:rsidR="00D8730F">
              <w:t>12, 13</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32A09C8D" w14:textId="77777777" w:rsidR="00D8730F" w:rsidRDefault="00D8730F" w:rsidP="0012366D">
            <w:pPr>
              <w:pStyle w:val="TableBody"/>
            </w:pPr>
            <w:r>
              <w:t>3</w:t>
            </w:r>
          </w:p>
        </w:tc>
        <w:tc>
          <w:tcPr>
            <w:tcW w:w="1080"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56A29AFF" w14:textId="77777777" w:rsidR="00D8730F" w:rsidRDefault="00D8730F" w:rsidP="0012366D">
            <w:pPr>
              <w:pStyle w:val="TableBody"/>
            </w:pPr>
            <w:r>
              <w:t>A3, A4^, B3, B4^</w:t>
            </w:r>
          </w:p>
        </w:tc>
        <w:tc>
          <w:tcPr>
            <w:tcW w:w="1008" w:type="dxa"/>
            <w:tcBorders>
              <w:top w:val="single" w:sz="6" w:space="0" w:color="auto"/>
              <w:left w:val="single" w:sz="6" w:space="0" w:color="auto"/>
              <w:bottom w:val="single" w:sz="6" w:space="0" w:color="auto"/>
              <w:right w:val="single" w:sz="6" w:space="0" w:color="auto"/>
            </w:tcBorders>
          </w:tcPr>
          <w:p w14:paraId="3721174F" w14:textId="77777777" w:rsidR="00D8730F" w:rsidRDefault="00D8730F" w:rsidP="0012366D">
            <w:pPr>
              <w:pStyle w:val="TableBody"/>
            </w:pP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0B87F00B" w14:textId="77777777" w:rsidR="00D8730F" w:rsidRDefault="00D8730F" w:rsidP="0012366D">
            <w:pPr>
              <w:pStyle w:val="TableBody"/>
            </w:pPr>
            <w:r>
              <w:t>1, 2, 3</w:t>
            </w:r>
          </w:p>
        </w:tc>
        <w:tc>
          <w:tcPr>
            <w:tcW w:w="1080" w:type="dxa"/>
            <w:tcBorders>
              <w:top w:val="single" w:sz="6" w:space="0" w:color="auto"/>
              <w:left w:val="single" w:sz="6" w:space="0" w:color="auto"/>
              <w:bottom w:val="single" w:sz="6" w:space="0" w:color="auto"/>
              <w:right w:val="single" w:sz="12" w:space="0" w:color="auto"/>
            </w:tcBorders>
            <w:tcMar>
              <w:top w:w="0" w:type="dxa"/>
              <w:left w:w="115" w:type="dxa"/>
              <w:bottom w:w="0" w:type="dxa"/>
              <w:right w:w="115" w:type="dxa"/>
            </w:tcMar>
          </w:tcPr>
          <w:p w14:paraId="79108E44" w14:textId="77777777" w:rsidR="00D8730F" w:rsidRPr="00FB77B2" w:rsidRDefault="00D8730F" w:rsidP="0012366D">
            <w:pPr>
              <w:pStyle w:val="TableBody"/>
            </w:pPr>
          </w:p>
        </w:tc>
      </w:tr>
      <w:tr w:rsidR="00D8730F" w14:paraId="1BB7D75D" w14:textId="77777777" w:rsidTr="005139C0">
        <w:tc>
          <w:tcPr>
            <w:tcW w:w="2160" w:type="dxa"/>
            <w:tcBorders>
              <w:top w:val="single" w:sz="6" w:space="0" w:color="auto"/>
              <w:left w:val="single" w:sz="12" w:space="0" w:color="auto"/>
              <w:bottom w:val="single" w:sz="6" w:space="0" w:color="auto"/>
              <w:right w:val="single" w:sz="6" w:space="0" w:color="auto"/>
            </w:tcBorders>
            <w:tcMar>
              <w:top w:w="0" w:type="dxa"/>
              <w:left w:w="115" w:type="dxa"/>
              <w:bottom w:w="0" w:type="dxa"/>
              <w:right w:w="115" w:type="dxa"/>
            </w:tcMar>
          </w:tcPr>
          <w:p w14:paraId="19304B08" w14:textId="22FD9751" w:rsidR="00D8730F" w:rsidRDefault="00C45729" w:rsidP="00CD2C4D">
            <w:pPr>
              <w:pStyle w:val="TableBody"/>
              <w:ind w:left="288" w:hanging="288"/>
            </w:pPr>
            <w:r>
              <w:t xml:space="preserve">LO 9-7 </w:t>
            </w:r>
            <w:r w:rsidR="00D8730F" w:rsidRPr="004D5488">
              <w:t>Interpret the fixed asset turnover ratio.</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6CBB3FAE" w14:textId="77777777" w:rsidR="00D8730F" w:rsidRDefault="00D8730F" w:rsidP="0012366D">
            <w:pPr>
              <w:pStyle w:val="TableBody"/>
            </w:pPr>
            <w:r>
              <w:t>13</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6686E4E1" w14:textId="77777777" w:rsidR="00D8730F" w:rsidRDefault="00D8730F" w:rsidP="0012366D">
            <w:pPr>
              <w:pStyle w:val="TableBody"/>
            </w:pPr>
            <w:r>
              <w:t>1, 14, 15</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60077084" w14:textId="77777777" w:rsidR="00D8730F" w:rsidRDefault="00D8730F" w:rsidP="0012366D">
            <w:pPr>
              <w:pStyle w:val="TableBody"/>
            </w:pPr>
          </w:p>
        </w:tc>
        <w:tc>
          <w:tcPr>
            <w:tcW w:w="1080"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18745D8F" w14:textId="77777777" w:rsidR="00D8730F" w:rsidRDefault="00D8730F" w:rsidP="0012366D">
            <w:pPr>
              <w:pStyle w:val="TableBody"/>
            </w:pPr>
          </w:p>
        </w:tc>
        <w:tc>
          <w:tcPr>
            <w:tcW w:w="1008" w:type="dxa"/>
            <w:tcBorders>
              <w:top w:val="single" w:sz="6" w:space="0" w:color="auto"/>
              <w:left w:val="single" w:sz="6" w:space="0" w:color="auto"/>
              <w:bottom w:val="single" w:sz="6" w:space="0" w:color="auto"/>
              <w:right w:val="single" w:sz="6" w:space="0" w:color="auto"/>
            </w:tcBorders>
          </w:tcPr>
          <w:p w14:paraId="4335F61D" w14:textId="77777777" w:rsidR="00D8730F" w:rsidRDefault="00D8730F" w:rsidP="0012366D">
            <w:pPr>
              <w:pStyle w:val="TableBody"/>
            </w:pP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082F9519" w14:textId="77777777" w:rsidR="00D8730F" w:rsidRDefault="00D8730F" w:rsidP="0012366D">
            <w:pPr>
              <w:pStyle w:val="TableBody"/>
            </w:pPr>
            <w:r>
              <w:t>1, 2, 3, 4</w:t>
            </w:r>
          </w:p>
        </w:tc>
        <w:tc>
          <w:tcPr>
            <w:tcW w:w="1080" w:type="dxa"/>
            <w:tcBorders>
              <w:top w:val="single" w:sz="6" w:space="0" w:color="auto"/>
              <w:left w:val="single" w:sz="6" w:space="0" w:color="auto"/>
              <w:bottom w:val="single" w:sz="6" w:space="0" w:color="auto"/>
              <w:right w:val="single" w:sz="12" w:space="0" w:color="auto"/>
            </w:tcBorders>
            <w:tcMar>
              <w:top w:w="0" w:type="dxa"/>
              <w:left w:w="115" w:type="dxa"/>
              <w:bottom w:w="0" w:type="dxa"/>
              <w:right w:w="115" w:type="dxa"/>
            </w:tcMar>
          </w:tcPr>
          <w:p w14:paraId="24779C67" w14:textId="77777777" w:rsidR="00D8730F" w:rsidRPr="00FB77B2" w:rsidRDefault="00D8730F" w:rsidP="0012366D">
            <w:pPr>
              <w:pStyle w:val="TableBody"/>
            </w:pPr>
          </w:p>
        </w:tc>
      </w:tr>
      <w:tr w:rsidR="00D8730F" w14:paraId="307C1486" w14:textId="77777777" w:rsidTr="005139C0">
        <w:tc>
          <w:tcPr>
            <w:tcW w:w="2160" w:type="dxa"/>
            <w:tcBorders>
              <w:top w:val="single" w:sz="6" w:space="0" w:color="auto"/>
              <w:left w:val="single" w:sz="12" w:space="0" w:color="auto"/>
              <w:bottom w:val="single" w:sz="6" w:space="0" w:color="auto"/>
              <w:right w:val="single" w:sz="6" w:space="0" w:color="auto"/>
            </w:tcBorders>
            <w:tcMar>
              <w:top w:w="0" w:type="dxa"/>
              <w:left w:w="115" w:type="dxa"/>
              <w:bottom w:w="0" w:type="dxa"/>
              <w:right w:w="115" w:type="dxa"/>
            </w:tcMar>
          </w:tcPr>
          <w:p w14:paraId="76CDCA3F" w14:textId="002A9E97" w:rsidR="00D8730F" w:rsidRDefault="00C45729" w:rsidP="00CD2C4D">
            <w:pPr>
              <w:pStyle w:val="TableBody"/>
              <w:ind w:left="288" w:hanging="288"/>
            </w:pPr>
            <w:r>
              <w:t xml:space="preserve">LO 9-8 </w:t>
            </w:r>
            <w:r w:rsidR="00D8730F" w:rsidRPr="004D5488">
              <w:t>Describe factors to consider when comparing companies</w:t>
            </w:r>
            <w:r w:rsidR="00D8730F">
              <w:t>’ long-lived assets</w:t>
            </w:r>
            <w:r w:rsidR="00D8730F" w:rsidRPr="004D5488">
              <w:t>.</w:t>
            </w:r>
            <w:r w:rsidR="00D8730F">
              <w:tab/>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4FD4CD52" w14:textId="77777777" w:rsidR="00D8730F" w:rsidRDefault="00D8730F" w:rsidP="0012366D">
            <w:pPr>
              <w:pStyle w:val="TableBody"/>
            </w:pP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31D59523" w14:textId="77777777" w:rsidR="00D8730F" w:rsidRDefault="00D8730F" w:rsidP="0012366D">
            <w:pPr>
              <w:pStyle w:val="TableBody"/>
            </w:pP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69C72B17" w14:textId="77777777" w:rsidR="00D8730F" w:rsidRDefault="00D8730F" w:rsidP="0012366D">
            <w:pPr>
              <w:pStyle w:val="TableBody"/>
            </w:pPr>
          </w:p>
        </w:tc>
        <w:tc>
          <w:tcPr>
            <w:tcW w:w="1080"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18CD0738" w14:textId="77777777" w:rsidR="00D8730F" w:rsidRDefault="00D8730F" w:rsidP="0012366D">
            <w:pPr>
              <w:pStyle w:val="TableBody"/>
            </w:pPr>
          </w:p>
        </w:tc>
        <w:tc>
          <w:tcPr>
            <w:tcW w:w="1008" w:type="dxa"/>
            <w:tcBorders>
              <w:top w:val="single" w:sz="6" w:space="0" w:color="auto"/>
              <w:left w:val="single" w:sz="6" w:space="0" w:color="auto"/>
              <w:bottom w:val="single" w:sz="6" w:space="0" w:color="auto"/>
              <w:right w:val="single" w:sz="6" w:space="0" w:color="auto"/>
            </w:tcBorders>
          </w:tcPr>
          <w:p w14:paraId="0C9ABE79" w14:textId="77777777" w:rsidR="00D8730F" w:rsidRDefault="00D8730F" w:rsidP="0012366D">
            <w:pPr>
              <w:pStyle w:val="TableBody"/>
            </w:pP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2789D43E" w14:textId="77777777" w:rsidR="00D8730F" w:rsidRDefault="00D8730F" w:rsidP="0012366D">
            <w:pPr>
              <w:pStyle w:val="TableBody"/>
            </w:pPr>
            <w:r>
              <w:t>2, 6</w:t>
            </w:r>
          </w:p>
        </w:tc>
        <w:tc>
          <w:tcPr>
            <w:tcW w:w="1080" w:type="dxa"/>
            <w:tcBorders>
              <w:top w:val="single" w:sz="6" w:space="0" w:color="auto"/>
              <w:left w:val="single" w:sz="6" w:space="0" w:color="auto"/>
              <w:bottom w:val="single" w:sz="6" w:space="0" w:color="auto"/>
              <w:right w:val="single" w:sz="12" w:space="0" w:color="auto"/>
            </w:tcBorders>
            <w:tcMar>
              <w:top w:w="0" w:type="dxa"/>
              <w:left w:w="115" w:type="dxa"/>
              <w:bottom w:w="0" w:type="dxa"/>
              <w:right w:w="115" w:type="dxa"/>
            </w:tcMar>
          </w:tcPr>
          <w:p w14:paraId="6DA00F69" w14:textId="77777777" w:rsidR="00D8730F" w:rsidRPr="00FB77B2" w:rsidRDefault="00D8730F" w:rsidP="0012366D">
            <w:pPr>
              <w:pStyle w:val="TableBody"/>
            </w:pPr>
          </w:p>
        </w:tc>
      </w:tr>
    </w:tbl>
    <w:p w14:paraId="232C2961" w14:textId="77777777" w:rsidR="004D41CF" w:rsidRPr="00301CF0" w:rsidRDefault="004D41CF" w:rsidP="004D41CF">
      <w:pPr>
        <w:pStyle w:val="BodyText"/>
        <w:spacing w:before="120" w:after="0"/>
        <w:ind w:left="144" w:hanging="144"/>
        <w:jc w:val="center"/>
        <w:rPr>
          <w:i/>
        </w:rPr>
      </w:pPr>
      <w:r w:rsidRPr="00301CF0">
        <w:rPr>
          <w:i/>
        </w:rPr>
        <w:t xml:space="preserve">(Table </w:t>
      </w:r>
      <w:r>
        <w:rPr>
          <w:i/>
        </w:rPr>
        <w:t xml:space="preserve">continued </w:t>
      </w:r>
      <w:r w:rsidRPr="00301CF0">
        <w:rPr>
          <w:i/>
        </w:rPr>
        <w:t>on next page.)</w:t>
      </w:r>
    </w:p>
    <w:p w14:paraId="703C39C3" w14:textId="77777777" w:rsidR="00D8730F" w:rsidRDefault="00D8730F" w:rsidP="00D8730F">
      <w:pPr>
        <w:pStyle w:val="Heading1"/>
      </w:pPr>
      <w:r>
        <w:br w:type="page"/>
      </w:r>
      <w:r w:rsidRPr="005139C0">
        <w:lastRenderedPageBreak/>
        <w:t>Student Learning Objectives and Related Assignment Materials</w:t>
      </w:r>
      <w:r w:rsidRPr="00D8730F">
        <w:rPr>
          <w:u w:val="none"/>
        </w:rPr>
        <w:t>, continued</w:t>
      </w:r>
    </w:p>
    <w:tbl>
      <w:tblPr>
        <w:tblW w:w="9360" w:type="dxa"/>
        <w:tblInd w:w="1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4" w:type="dxa"/>
          <w:right w:w="14" w:type="dxa"/>
        </w:tblCellMar>
        <w:tblLook w:val="04A0" w:firstRow="1" w:lastRow="0" w:firstColumn="1" w:lastColumn="0" w:noHBand="0" w:noVBand="1"/>
      </w:tblPr>
      <w:tblGrid>
        <w:gridCol w:w="2160"/>
        <w:gridCol w:w="1008"/>
        <w:gridCol w:w="1008"/>
        <w:gridCol w:w="1008"/>
        <w:gridCol w:w="1080"/>
        <w:gridCol w:w="1008"/>
        <w:gridCol w:w="1008"/>
        <w:gridCol w:w="1080"/>
      </w:tblGrid>
      <w:tr w:rsidR="00AA5048" w14:paraId="64180303" w14:textId="77777777" w:rsidTr="00A82C85">
        <w:tc>
          <w:tcPr>
            <w:tcW w:w="2160" w:type="dxa"/>
            <w:tcBorders>
              <w:top w:val="single" w:sz="6" w:space="0" w:color="auto"/>
              <w:left w:val="single" w:sz="12" w:space="0" w:color="auto"/>
              <w:bottom w:val="single" w:sz="6" w:space="0" w:color="auto"/>
              <w:right w:val="single" w:sz="6" w:space="0" w:color="auto"/>
            </w:tcBorders>
            <w:tcMar>
              <w:top w:w="0" w:type="dxa"/>
              <w:left w:w="115" w:type="dxa"/>
              <w:bottom w:w="0" w:type="dxa"/>
              <w:right w:w="115" w:type="dxa"/>
            </w:tcMar>
          </w:tcPr>
          <w:p w14:paraId="5180F1A3" w14:textId="2FEA9BE6" w:rsidR="00AA5048" w:rsidRDefault="00C45729" w:rsidP="00CD2C4D">
            <w:pPr>
              <w:pStyle w:val="TableBody"/>
              <w:ind w:left="288" w:hanging="288"/>
            </w:pPr>
            <w:r>
              <w:t>LO 9-</w:t>
            </w:r>
            <w:r w:rsidR="00220B82">
              <w:t>S1</w:t>
            </w:r>
            <w:r>
              <w:t xml:space="preserve"> </w:t>
            </w:r>
            <w:r w:rsidR="00AA5048" w:rsidRPr="003236E3">
              <w:t>Analyze and report depletion of natural resources.</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5AC2E789" w14:textId="77777777" w:rsidR="00AA5048" w:rsidRDefault="00AA5048" w:rsidP="0012366D">
            <w:pPr>
              <w:pStyle w:val="TableBody"/>
            </w:pPr>
            <w:r>
              <w:t>14</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02394D23" w14:textId="77777777" w:rsidR="00AA5048" w:rsidRDefault="00AA5048" w:rsidP="0012366D">
            <w:pPr>
              <w:pStyle w:val="TableBody"/>
            </w:pPr>
            <w:r>
              <w:t>16</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6B50ED70" w14:textId="77777777" w:rsidR="00AA5048" w:rsidRDefault="00AA5048" w:rsidP="0012366D">
            <w:pPr>
              <w:pStyle w:val="TableBody"/>
            </w:pPr>
          </w:p>
        </w:tc>
        <w:tc>
          <w:tcPr>
            <w:tcW w:w="1080"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1AB1C499" w14:textId="77777777" w:rsidR="00AA5048" w:rsidRDefault="00AA5048" w:rsidP="0012366D">
            <w:pPr>
              <w:pStyle w:val="TableBody"/>
            </w:pPr>
          </w:p>
        </w:tc>
        <w:tc>
          <w:tcPr>
            <w:tcW w:w="1008" w:type="dxa"/>
            <w:tcBorders>
              <w:top w:val="single" w:sz="6" w:space="0" w:color="auto"/>
              <w:left w:val="single" w:sz="6" w:space="0" w:color="auto"/>
              <w:bottom w:val="single" w:sz="6" w:space="0" w:color="auto"/>
              <w:right w:val="single" w:sz="6" w:space="0" w:color="auto"/>
            </w:tcBorders>
          </w:tcPr>
          <w:p w14:paraId="30CFE325" w14:textId="77777777" w:rsidR="00AA5048" w:rsidRDefault="00AA5048" w:rsidP="0012366D">
            <w:pPr>
              <w:pStyle w:val="TableBody"/>
            </w:pP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3249D9CF" w14:textId="77777777" w:rsidR="00AA5048" w:rsidRDefault="00AA5048" w:rsidP="0012366D">
            <w:pPr>
              <w:pStyle w:val="TableBody"/>
            </w:pPr>
          </w:p>
        </w:tc>
        <w:tc>
          <w:tcPr>
            <w:tcW w:w="1080" w:type="dxa"/>
            <w:tcBorders>
              <w:top w:val="single" w:sz="6" w:space="0" w:color="auto"/>
              <w:left w:val="single" w:sz="6" w:space="0" w:color="auto"/>
              <w:bottom w:val="single" w:sz="6" w:space="0" w:color="auto"/>
              <w:right w:val="single" w:sz="12" w:space="0" w:color="auto"/>
            </w:tcBorders>
            <w:tcMar>
              <w:top w:w="0" w:type="dxa"/>
              <w:left w:w="115" w:type="dxa"/>
              <w:bottom w:w="0" w:type="dxa"/>
              <w:right w:w="115" w:type="dxa"/>
            </w:tcMar>
          </w:tcPr>
          <w:p w14:paraId="5635AC18" w14:textId="77777777" w:rsidR="00AA5048" w:rsidRPr="00FB77B2" w:rsidRDefault="00AA5048" w:rsidP="0012366D">
            <w:pPr>
              <w:pStyle w:val="TableBody"/>
            </w:pPr>
          </w:p>
        </w:tc>
      </w:tr>
      <w:tr w:rsidR="00AA5048" w14:paraId="4BA8C8EF" w14:textId="77777777" w:rsidTr="00A82C85">
        <w:tc>
          <w:tcPr>
            <w:tcW w:w="2160" w:type="dxa"/>
            <w:tcBorders>
              <w:top w:val="single" w:sz="6" w:space="0" w:color="auto"/>
              <w:left w:val="single" w:sz="12" w:space="0" w:color="auto"/>
              <w:bottom w:val="single" w:sz="12" w:space="0" w:color="auto"/>
              <w:right w:val="single" w:sz="6" w:space="0" w:color="auto"/>
            </w:tcBorders>
            <w:tcMar>
              <w:top w:w="0" w:type="dxa"/>
              <w:left w:w="115" w:type="dxa"/>
              <w:bottom w:w="0" w:type="dxa"/>
              <w:right w:w="115" w:type="dxa"/>
            </w:tcMar>
          </w:tcPr>
          <w:p w14:paraId="08387252" w14:textId="770F75BA" w:rsidR="00AA5048" w:rsidRDefault="00C45729" w:rsidP="00CD2C4D">
            <w:pPr>
              <w:pStyle w:val="TableBody"/>
              <w:ind w:left="288" w:hanging="288"/>
            </w:pPr>
            <w:r>
              <w:t xml:space="preserve">LO 9-S2 </w:t>
            </w:r>
            <w:r w:rsidR="00AA5048" w:rsidRPr="003236E3">
              <w:t>Calculate changes in depreciation arising from changes in</w:t>
            </w:r>
            <w:r w:rsidR="00AA5048">
              <w:t xml:space="preserve"> </w:t>
            </w:r>
            <w:r w:rsidR="003C0C5C">
              <w:t xml:space="preserve">estimates or </w:t>
            </w:r>
            <w:r w:rsidR="00AA5048" w:rsidRPr="003236E3">
              <w:t>capitalized cost.</w:t>
            </w:r>
          </w:p>
        </w:tc>
        <w:tc>
          <w:tcPr>
            <w:tcW w:w="1008" w:type="dxa"/>
            <w:tcBorders>
              <w:top w:val="single" w:sz="6" w:space="0" w:color="auto"/>
              <w:left w:val="single" w:sz="6" w:space="0" w:color="auto"/>
              <w:bottom w:val="single" w:sz="12" w:space="0" w:color="auto"/>
              <w:right w:val="single" w:sz="6" w:space="0" w:color="auto"/>
            </w:tcBorders>
            <w:tcMar>
              <w:top w:w="0" w:type="dxa"/>
              <w:left w:w="115" w:type="dxa"/>
              <w:bottom w:w="0" w:type="dxa"/>
              <w:right w:w="115" w:type="dxa"/>
            </w:tcMar>
          </w:tcPr>
          <w:p w14:paraId="78865A4D" w14:textId="77777777" w:rsidR="00AA5048" w:rsidRDefault="00AA5048" w:rsidP="0012366D">
            <w:pPr>
              <w:pStyle w:val="TableBody"/>
            </w:pPr>
            <w:r>
              <w:t>15</w:t>
            </w:r>
          </w:p>
        </w:tc>
        <w:tc>
          <w:tcPr>
            <w:tcW w:w="1008" w:type="dxa"/>
            <w:tcBorders>
              <w:top w:val="single" w:sz="6" w:space="0" w:color="auto"/>
              <w:left w:val="single" w:sz="6" w:space="0" w:color="auto"/>
              <w:bottom w:val="single" w:sz="12" w:space="0" w:color="auto"/>
              <w:right w:val="single" w:sz="6" w:space="0" w:color="auto"/>
            </w:tcBorders>
            <w:tcMar>
              <w:top w:w="0" w:type="dxa"/>
              <w:left w:w="115" w:type="dxa"/>
              <w:bottom w:w="0" w:type="dxa"/>
              <w:right w:w="115" w:type="dxa"/>
            </w:tcMar>
          </w:tcPr>
          <w:p w14:paraId="554323BF" w14:textId="77777777" w:rsidR="00AA5048" w:rsidRDefault="00AA5048" w:rsidP="0012366D">
            <w:pPr>
              <w:pStyle w:val="TableBody"/>
            </w:pPr>
            <w:r>
              <w:t>17</w:t>
            </w:r>
          </w:p>
        </w:tc>
        <w:tc>
          <w:tcPr>
            <w:tcW w:w="1008" w:type="dxa"/>
            <w:tcBorders>
              <w:top w:val="single" w:sz="6" w:space="0" w:color="auto"/>
              <w:left w:val="single" w:sz="6" w:space="0" w:color="auto"/>
              <w:bottom w:val="single" w:sz="12" w:space="0" w:color="auto"/>
              <w:right w:val="single" w:sz="6" w:space="0" w:color="auto"/>
            </w:tcBorders>
            <w:tcMar>
              <w:top w:w="0" w:type="dxa"/>
              <w:left w:w="115" w:type="dxa"/>
              <w:bottom w:w="0" w:type="dxa"/>
              <w:right w:w="115" w:type="dxa"/>
            </w:tcMar>
          </w:tcPr>
          <w:p w14:paraId="0BBF4642" w14:textId="77777777" w:rsidR="00AA5048" w:rsidRDefault="00AA5048" w:rsidP="0012366D">
            <w:pPr>
              <w:pStyle w:val="TableBody"/>
            </w:pPr>
          </w:p>
        </w:tc>
        <w:tc>
          <w:tcPr>
            <w:tcW w:w="1080" w:type="dxa"/>
            <w:tcBorders>
              <w:top w:val="single" w:sz="6" w:space="0" w:color="auto"/>
              <w:left w:val="single" w:sz="6" w:space="0" w:color="auto"/>
              <w:bottom w:val="single" w:sz="12" w:space="0" w:color="auto"/>
              <w:right w:val="single" w:sz="6" w:space="0" w:color="auto"/>
            </w:tcBorders>
            <w:tcMar>
              <w:top w:w="0" w:type="dxa"/>
              <w:left w:w="115" w:type="dxa"/>
              <w:bottom w:w="0" w:type="dxa"/>
              <w:right w:w="115" w:type="dxa"/>
            </w:tcMar>
          </w:tcPr>
          <w:p w14:paraId="43F70CB8" w14:textId="77777777" w:rsidR="00AA5048" w:rsidRDefault="00AA5048" w:rsidP="0012366D">
            <w:pPr>
              <w:pStyle w:val="TableBody"/>
            </w:pPr>
          </w:p>
        </w:tc>
        <w:tc>
          <w:tcPr>
            <w:tcW w:w="1008" w:type="dxa"/>
            <w:tcBorders>
              <w:top w:val="single" w:sz="6" w:space="0" w:color="auto"/>
              <w:left w:val="single" w:sz="6" w:space="0" w:color="auto"/>
              <w:bottom w:val="single" w:sz="12" w:space="0" w:color="auto"/>
              <w:right w:val="single" w:sz="6" w:space="0" w:color="auto"/>
            </w:tcBorders>
          </w:tcPr>
          <w:p w14:paraId="77AFD844" w14:textId="77777777" w:rsidR="00AA5048" w:rsidRDefault="00AA5048" w:rsidP="0012366D">
            <w:pPr>
              <w:pStyle w:val="TableBody"/>
            </w:pPr>
          </w:p>
        </w:tc>
        <w:tc>
          <w:tcPr>
            <w:tcW w:w="1008" w:type="dxa"/>
            <w:tcBorders>
              <w:top w:val="single" w:sz="6" w:space="0" w:color="auto"/>
              <w:left w:val="single" w:sz="6" w:space="0" w:color="auto"/>
              <w:bottom w:val="single" w:sz="12" w:space="0" w:color="auto"/>
              <w:right w:val="single" w:sz="6" w:space="0" w:color="auto"/>
            </w:tcBorders>
            <w:tcMar>
              <w:top w:w="0" w:type="dxa"/>
              <w:left w:w="115" w:type="dxa"/>
              <w:bottom w:w="0" w:type="dxa"/>
              <w:right w:w="115" w:type="dxa"/>
            </w:tcMar>
          </w:tcPr>
          <w:p w14:paraId="30089859" w14:textId="77777777" w:rsidR="00AA5048" w:rsidRDefault="00AA5048" w:rsidP="0012366D">
            <w:pPr>
              <w:pStyle w:val="TableBody"/>
            </w:pPr>
          </w:p>
        </w:tc>
        <w:tc>
          <w:tcPr>
            <w:tcW w:w="1080" w:type="dxa"/>
            <w:tcBorders>
              <w:top w:val="single" w:sz="6" w:space="0" w:color="auto"/>
              <w:left w:val="single" w:sz="6" w:space="0" w:color="auto"/>
              <w:bottom w:val="single" w:sz="12" w:space="0" w:color="auto"/>
              <w:right w:val="single" w:sz="12" w:space="0" w:color="auto"/>
            </w:tcBorders>
            <w:tcMar>
              <w:top w:w="0" w:type="dxa"/>
              <w:left w:w="115" w:type="dxa"/>
              <w:bottom w:w="0" w:type="dxa"/>
              <w:right w:w="115" w:type="dxa"/>
            </w:tcMar>
          </w:tcPr>
          <w:p w14:paraId="54C95AAF" w14:textId="77777777" w:rsidR="00AA5048" w:rsidRPr="00FB77B2" w:rsidRDefault="00AA5048" w:rsidP="0012366D">
            <w:pPr>
              <w:pStyle w:val="TableBody"/>
            </w:pPr>
          </w:p>
        </w:tc>
      </w:tr>
    </w:tbl>
    <w:p w14:paraId="25315F1A" w14:textId="77777777" w:rsidR="00E91B6A" w:rsidRPr="00D91447" w:rsidRDefault="00E91B6A" w:rsidP="00101CB5">
      <w:pPr>
        <w:pStyle w:val="BodyText"/>
        <w:spacing w:before="120" w:after="0"/>
        <w:ind w:left="288" w:hanging="288"/>
        <w:jc w:val="left"/>
      </w:pPr>
      <w:r w:rsidRPr="00D91447">
        <w:t>*</w:t>
      </w:r>
      <w:r w:rsidR="00201EF0" w:rsidRPr="00D91447">
        <w:tab/>
      </w:r>
      <w:r w:rsidRPr="00D91447">
        <w:t>Animated solution included in the PowerPoint Slides.</w:t>
      </w:r>
    </w:p>
    <w:p w14:paraId="721A3FF5" w14:textId="77777777" w:rsidR="00900A05" w:rsidRPr="00D91447" w:rsidRDefault="00101CB5" w:rsidP="00101CB5">
      <w:pPr>
        <w:pStyle w:val="BodyText"/>
        <w:spacing w:after="0"/>
        <w:ind w:left="288" w:hanging="288"/>
        <w:jc w:val="left"/>
      </w:pPr>
      <w:r w:rsidRPr="00D91447">
        <w:rPr>
          <w:szCs w:val="22"/>
        </w:rPr>
        <w:t>^</w:t>
      </w:r>
      <w:r w:rsidRPr="00D91447">
        <w:rPr>
          <w:szCs w:val="22"/>
        </w:rPr>
        <w:tab/>
      </w:r>
      <w:r w:rsidR="00900A05" w:rsidRPr="00D91447">
        <w:rPr>
          <w:szCs w:val="22"/>
        </w:rPr>
        <w:t>Particularly challenging; require</w:t>
      </w:r>
      <w:r w:rsidRPr="00D91447">
        <w:rPr>
          <w:szCs w:val="22"/>
        </w:rPr>
        <w:t>s</w:t>
      </w:r>
      <w:r w:rsidR="00900A05" w:rsidRPr="00D91447">
        <w:rPr>
          <w:szCs w:val="22"/>
        </w:rPr>
        <w:t xml:space="preserve"> students to combine multiple concepts in order to advance to the next level of accounting knowledge.</w:t>
      </w:r>
    </w:p>
    <w:p w14:paraId="7414A033" w14:textId="77777777" w:rsidR="00E91B6A" w:rsidRPr="00AA5048" w:rsidRDefault="00201EF0" w:rsidP="00101CB5">
      <w:pPr>
        <w:pStyle w:val="BodyText"/>
        <w:spacing w:after="0"/>
        <w:ind w:left="288" w:hanging="288"/>
        <w:jc w:val="left"/>
        <w:rPr>
          <w:szCs w:val="22"/>
        </w:rPr>
      </w:pPr>
      <w:r w:rsidRPr="00AA5048">
        <w:rPr>
          <w:szCs w:val="22"/>
          <w:vertAlign w:val="superscript"/>
        </w:rPr>
        <w:t>+</w:t>
      </w:r>
      <w:r w:rsidRPr="00AA5048">
        <w:rPr>
          <w:szCs w:val="22"/>
        </w:rPr>
        <w:tab/>
      </w:r>
      <w:r w:rsidR="00AA5048" w:rsidRPr="00AA5048">
        <w:rPr>
          <w:szCs w:val="22"/>
        </w:rPr>
        <w:t>C</w:t>
      </w:r>
      <w:r w:rsidR="00E91B6A" w:rsidRPr="00AA5048">
        <w:rPr>
          <w:szCs w:val="22"/>
        </w:rPr>
        <w:t xml:space="preserve">omprehensive </w:t>
      </w:r>
      <w:r w:rsidR="00AA5048" w:rsidRPr="00AA5048">
        <w:rPr>
          <w:szCs w:val="22"/>
        </w:rPr>
        <w:t>P</w:t>
      </w:r>
      <w:r w:rsidR="00E91B6A" w:rsidRPr="00AA5048">
        <w:rPr>
          <w:szCs w:val="22"/>
        </w:rPr>
        <w:t xml:space="preserve">roblem </w:t>
      </w:r>
      <w:r w:rsidR="00134744">
        <w:rPr>
          <w:szCs w:val="22"/>
        </w:rPr>
        <w:t xml:space="preserve">9-1 </w:t>
      </w:r>
      <w:r w:rsidR="00AA5048" w:rsidRPr="00AA5048">
        <w:rPr>
          <w:szCs w:val="22"/>
        </w:rPr>
        <w:t>also covers LO 3-3, LO 4-2, and LO 8-2</w:t>
      </w:r>
      <w:r w:rsidR="00E91B6A" w:rsidRPr="00AA5048">
        <w:rPr>
          <w:szCs w:val="22"/>
        </w:rPr>
        <w:t>.</w:t>
      </w:r>
    </w:p>
    <w:p w14:paraId="5652AAA7" w14:textId="04C4B6D4" w:rsidR="00DD77CB" w:rsidRDefault="00201EF0" w:rsidP="00101CB5">
      <w:pPr>
        <w:pStyle w:val="BodyText"/>
        <w:spacing w:after="0"/>
        <w:ind w:left="288" w:hanging="288"/>
        <w:jc w:val="left"/>
        <w:rPr>
          <w:szCs w:val="22"/>
        </w:rPr>
      </w:pPr>
      <w:r w:rsidRPr="002D2E8A">
        <w:rPr>
          <w:szCs w:val="22"/>
        </w:rPr>
        <w:t>†</w:t>
      </w:r>
      <w:r w:rsidRPr="002D2E8A">
        <w:rPr>
          <w:szCs w:val="22"/>
        </w:rPr>
        <w:tab/>
      </w:r>
      <w:r w:rsidR="00134744">
        <w:rPr>
          <w:szCs w:val="22"/>
        </w:rPr>
        <w:t>Continuing Case 9-1</w:t>
      </w:r>
      <w:r w:rsidR="00DD77CB" w:rsidRPr="002D2E8A">
        <w:rPr>
          <w:szCs w:val="22"/>
        </w:rPr>
        <w:t xml:space="preserve"> builds on the story of Nicole’s Getaway Spa, introduced in earlier chapters. This case focuses on </w:t>
      </w:r>
      <w:r w:rsidR="00A33E81">
        <w:rPr>
          <w:szCs w:val="22"/>
        </w:rPr>
        <w:t xml:space="preserve">completing </w:t>
      </w:r>
      <w:r w:rsidR="00A33E81" w:rsidRPr="00A33E81">
        <w:rPr>
          <w:szCs w:val="22"/>
        </w:rPr>
        <w:t>a depreciation sched</w:t>
      </w:r>
      <w:r w:rsidR="00A33E81">
        <w:rPr>
          <w:szCs w:val="22"/>
        </w:rPr>
        <w:t xml:space="preserve">ule for each of the depreciation </w:t>
      </w:r>
      <w:r w:rsidR="00A33E81" w:rsidRPr="00A33E81">
        <w:rPr>
          <w:szCs w:val="22"/>
        </w:rPr>
        <w:t>methods</w:t>
      </w:r>
      <w:r w:rsidR="00A33E81">
        <w:rPr>
          <w:szCs w:val="22"/>
        </w:rPr>
        <w:t xml:space="preserve">, analyzing and preparing </w:t>
      </w:r>
      <w:r w:rsidR="00A33E81" w:rsidRPr="00A33E81">
        <w:rPr>
          <w:szCs w:val="22"/>
        </w:rPr>
        <w:t>the</w:t>
      </w:r>
      <w:r w:rsidR="00A33E81">
        <w:rPr>
          <w:szCs w:val="22"/>
        </w:rPr>
        <w:t xml:space="preserve"> </w:t>
      </w:r>
      <w:r w:rsidR="00A33E81" w:rsidRPr="00A33E81">
        <w:rPr>
          <w:szCs w:val="22"/>
        </w:rPr>
        <w:t>journal entry</w:t>
      </w:r>
      <w:r w:rsidR="00A33E81">
        <w:rPr>
          <w:szCs w:val="22"/>
        </w:rPr>
        <w:t xml:space="preserve"> to account for the disposal of the </w:t>
      </w:r>
      <w:r w:rsidR="00A33E81" w:rsidRPr="00A33E81">
        <w:rPr>
          <w:szCs w:val="22"/>
        </w:rPr>
        <w:t>asset under the three different methods</w:t>
      </w:r>
      <w:r w:rsidR="00A33E81">
        <w:rPr>
          <w:szCs w:val="22"/>
        </w:rPr>
        <w:t xml:space="preserve">, and creating </w:t>
      </w:r>
      <w:r w:rsidR="00A33E81" w:rsidRPr="00A33E81">
        <w:rPr>
          <w:szCs w:val="22"/>
        </w:rPr>
        <w:t>income statement</w:t>
      </w:r>
      <w:r w:rsidR="00A33E81">
        <w:rPr>
          <w:szCs w:val="22"/>
        </w:rPr>
        <w:t>s</w:t>
      </w:r>
      <w:r w:rsidR="00A33E81" w:rsidRPr="00A33E81">
        <w:rPr>
          <w:szCs w:val="22"/>
        </w:rPr>
        <w:t xml:space="preserve"> for each</w:t>
      </w:r>
      <w:r w:rsidR="00A33E81">
        <w:rPr>
          <w:szCs w:val="22"/>
        </w:rPr>
        <w:t xml:space="preserve"> </w:t>
      </w:r>
      <w:r w:rsidR="00A33E81" w:rsidRPr="00A33E81">
        <w:rPr>
          <w:szCs w:val="22"/>
        </w:rPr>
        <w:t>of the different depreciation methods</w:t>
      </w:r>
      <w:r w:rsidR="00A33E81">
        <w:rPr>
          <w:szCs w:val="22"/>
        </w:rPr>
        <w:t xml:space="preserve"> (with consideration of the </w:t>
      </w:r>
      <w:r w:rsidR="00A33E81" w:rsidRPr="00A33E81">
        <w:rPr>
          <w:szCs w:val="22"/>
        </w:rPr>
        <w:t>loss or g</w:t>
      </w:r>
      <w:r w:rsidR="00A33E81">
        <w:rPr>
          <w:szCs w:val="22"/>
        </w:rPr>
        <w:t>ain on disposal for each method</w:t>
      </w:r>
      <w:r w:rsidR="002114D8" w:rsidRPr="00A33E81">
        <w:rPr>
          <w:szCs w:val="22"/>
        </w:rPr>
        <w:t>)</w:t>
      </w:r>
      <w:r w:rsidR="002114D8">
        <w:rPr>
          <w:szCs w:val="22"/>
        </w:rPr>
        <w:t xml:space="preserve">. </w:t>
      </w:r>
      <w:r w:rsidR="00DD77CB" w:rsidRPr="002D2E8A">
        <w:rPr>
          <w:szCs w:val="22"/>
        </w:rPr>
        <w:t>This case will be extended in future chapters.</w:t>
      </w:r>
    </w:p>
    <w:p w14:paraId="3C69B8B0" w14:textId="77777777" w:rsidR="003C0C5C" w:rsidRDefault="003C0C5C" w:rsidP="003C0C5C">
      <w:pPr>
        <w:pStyle w:val="BodyText"/>
        <w:spacing w:after="120"/>
        <w:ind w:left="288" w:hanging="288"/>
        <w:jc w:val="left"/>
        <w:rPr>
          <w:szCs w:val="22"/>
        </w:rPr>
      </w:pPr>
      <w:r>
        <w:rPr>
          <w:szCs w:val="22"/>
        </w:rPr>
        <w:t>£</w:t>
      </w:r>
      <w:r>
        <w:rPr>
          <w:szCs w:val="22"/>
        </w:rPr>
        <w:tab/>
        <w:t>Continuing Case 9-2 builds on the story of Wiki Art Gallery (WAG), an instructional case in Connect. This case focuses on the methods to record bad debts, the adequacy of the allowance for bad debts, determining write-offs given information set forth in the financial statements, and calculation and interpretation of the number of days to collect. The case will be extended in future chapters.</w:t>
      </w:r>
    </w:p>
    <w:p w14:paraId="3EDF009E" w14:textId="77777777" w:rsidR="003C0C5C" w:rsidRDefault="003C0C5C" w:rsidP="00101CB5">
      <w:pPr>
        <w:pStyle w:val="BodyText"/>
        <w:spacing w:after="0"/>
        <w:ind w:left="288" w:hanging="288"/>
        <w:jc w:val="left"/>
        <w:rPr>
          <w:szCs w:val="22"/>
        </w:rPr>
      </w:pPr>
    </w:p>
    <w:p w14:paraId="0C278E95" w14:textId="77777777" w:rsidR="00FD22BE" w:rsidRPr="00CB2DB3" w:rsidRDefault="00FD22BE" w:rsidP="00892343">
      <w:pPr>
        <w:pStyle w:val="Heading1"/>
      </w:pPr>
      <w:r w:rsidRPr="00CB2DB3">
        <w:t xml:space="preserve">Overview </w:t>
      </w:r>
    </w:p>
    <w:p w14:paraId="6495B428" w14:textId="77777777" w:rsidR="00FD22BE" w:rsidRPr="00CB2DB3" w:rsidRDefault="00FD22BE" w:rsidP="00892343">
      <w:pPr>
        <w:pStyle w:val="BodyText"/>
        <w:spacing w:after="120"/>
        <w:jc w:val="left"/>
      </w:pPr>
      <w:r w:rsidRPr="00CB2DB3">
        <w:t>An amusement park is the perfect setting for demonstrating the importance of long-lived tangible and intangible assets, which account for more than 97 percent of its total assets.</w:t>
      </w:r>
    </w:p>
    <w:p w14:paraId="5E2D4E0D" w14:textId="77777777" w:rsidR="00FD22BE" w:rsidRPr="00CB2DB3" w:rsidRDefault="00FD22BE" w:rsidP="00892343">
      <w:pPr>
        <w:pStyle w:val="BodyText"/>
        <w:spacing w:after="120"/>
        <w:jc w:val="left"/>
      </w:pPr>
      <w:r w:rsidRPr="00CB2DB3">
        <w:t>Students learn accounting principles and practices applied when these assets are acquired, used, and disposed, and how these accounting decisions can affect performance evaluations.</w:t>
      </w:r>
    </w:p>
    <w:p w14:paraId="0B183BAB" w14:textId="77777777" w:rsidR="00FD22BE" w:rsidRPr="00CB2DB3" w:rsidRDefault="00FD22BE" w:rsidP="00892343">
      <w:pPr>
        <w:pStyle w:val="BodyText"/>
        <w:tabs>
          <w:tab w:val="num" w:pos="360"/>
        </w:tabs>
        <w:spacing w:after="120"/>
        <w:jc w:val="left"/>
      </w:pPr>
      <w:r w:rsidRPr="00CB2DB3">
        <w:t xml:space="preserve">Chapter supplements explain accounting for natural resources (A) and changes in estimates (B). </w:t>
      </w:r>
    </w:p>
    <w:p w14:paraId="3BB5B4A9" w14:textId="77777777" w:rsidR="00DA6394" w:rsidRDefault="00DA6394">
      <w:pPr>
        <w:rPr>
          <w:rFonts w:ascii="Arial" w:hAnsi="Arial"/>
          <w:b/>
          <w:kern w:val="28"/>
          <w:sz w:val="24"/>
          <w:u w:val="single"/>
        </w:rPr>
      </w:pPr>
      <w:r>
        <w:br w:type="page"/>
      </w:r>
    </w:p>
    <w:p w14:paraId="44E0914F" w14:textId="77777777" w:rsidR="00FD22BE" w:rsidRPr="00CB2DB3" w:rsidRDefault="00FD22BE" w:rsidP="00CF18FE">
      <w:pPr>
        <w:pStyle w:val="Heading1"/>
      </w:pPr>
      <w:r w:rsidRPr="00CB2DB3">
        <w:lastRenderedPageBreak/>
        <w:t>Synopsis of Chapter Revisions</w:t>
      </w:r>
    </w:p>
    <w:p w14:paraId="76335C56" w14:textId="57836A76" w:rsidR="000D10E7" w:rsidRDefault="000D10E7" w:rsidP="000D10E7">
      <w:pPr>
        <w:pStyle w:val="BodyText"/>
        <w:numPr>
          <w:ilvl w:val="0"/>
          <w:numId w:val="9"/>
        </w:numPr>
        <w:tabs>
          <w:tab w:val="num" w:pos="360"/>
        </w:tabs>
        <w:spacing w:after="0"/>
        <w:jc w:val="left"/>
      </w:pPr>
      <w:r>
        <w:t>Updated focus company illustrations</w:t>
      </w:r>
    </w:p>
    <w:p w14:paraId="2B6A4AE0" w14:textId="77777777" w:rsidR="000D10E7" w:rsidRDefault="000D10E7" w:rsidP="000D10E7">
      <w:pPr>
        <w:pStyle w:val="BodyText"/>
        <w:numPr>
          <w:ilvl w:val="0"/>
          <w:numId w:val="9"/>
        </w:numPr>
        <w:tabs>
          <w:tab w:val="num" w:pos="360"/>
        </w:tabs>
        <w:spacing w:after="0"/>
        <w:jc w:val="left"/>
      </w:pPr>
      <w:r>
        <w:t xml:space="preserve">Updated Spotlight on the World to include component allocation of golf course bunkers at </w:t>
      </w:r>
      <w:r w:rsidRPr="000D10E7">
        <w:t>Clublink Enterprises</w:t>
      </w:r>
    </w:p>
    <w:p w14:paraId="27C74220" w14:textId="77777777" w:rsidR="000D10E7" w:rsidRDefault="000D10E7" w:rsidP="000D10E7">
      <w:pPr>
        <w:pStyle w:val="BodyText"/>
        <w:numPr>
          <w:ilvl w:val="0"/>
          <w:numId w:val="9"/>
        </w:numPr>
        <w:tabs>
          <w:tab w:val="num" w:pos="360"/>
        </w:tabs>
        <w:spacing w:after="0"/>
        <w:jc w:val="left"/>
      </w:pPr>
      <w:r>
        <w:t xml:space="preserve">Eliminated discussion of cash-only tangible asset purchase </w:t>
      </w:r>
    </w:p>
    <w:p w14:paraId="22409BCB" w14:textId="77777777" w:rsidR="000D10E7" w:rsidRDefault="000D10E7" w:rsidP="000D10E7">
      <w:pPr>
        <w:pStyle w:val="BodyText"/>
        <w:numPr>
          <w:ilvl w:val="0"/>
          <w:numId w:val="9"/>
        </w:numPr>
        <w:tabs>
          <w:tab w:val="num" w:pos="360"/>
        </w:tabs>
        <w:spacing w:after="0"/>
        <w:jc w:val="left"/>
      </w:pPr>
      <w:r>
        <w:t>Revised depreciation formula presentations to highlight depreciation rates</w:t>
      </w:r>
    </w:p>
    <w:p w14:paraId="23A5903E" w14:textId="77777777" w:rsidR="000D10E7" w:rsidRDefault="000D10E7" w:rsidP="000D10E7">
      <w:pPr>
        <w:pStyle w:val="BodyText"/>
        <w:numPr>
          <w:ilvl w:val="0"/>
          <w:numId w:val="9"/>
        </w:numPr>
        <w:tabs>
          <w:tab w:val="num" w:pos="360"/>
        </w:tabs>
        <w:spacing w:after="0"/>
        <w:jc w:val="left"/>
      </w:pPr>
      <w:r w:rsidRPr="000D10E7">
        <w:t xml:space="preserve">New </w:t>
      </w:r>
      <w:r>
        <w:t>illustration to explain calculation and journalizing of gain/loss on disposal</w:t>
      </w:r>
    </w:p>
    <w:p w14:paraId="219B57AB" w14:textId="77777777" w:rsidR="000D10E7" w:rsidRDefault="000D10E7" w:rsidP="000D10E7">
      <w:pPr>
        <w:pStyle w:val="BodyText"/>
        <w:numPr>
          <w:ilvl w:val="0"/>
          <w:numId w:val="9"/>
        </w:numPr>
        <w:tabs>
          <w:tab w:val="num" w:pos="360"/>
        </w:tabs>
        <w:spacing w:after="0"/>
        <w:jc w:val="left"/>
      </w:pPr>
      <w:r>
        <w:t>Changed Spotlight on Business Decisions to a Spotlight on Financial Reporting to introduce new option for private companies to amortize goodwill over 10 years or less</w:t>
      </w:r>
    </w:p>
    <w:p w14:paraId="5F7EF6FD" w14:textId="77777777" w:rsidR="000D10E7" w:rsidRDefault="000D10E7" w:rsidP="000D10E7">
      <w:pPr>
        <w:pStyle w:val="BodyText"/>
        <w:numPr>
          <w:ilvl w:val="0"/>
          <w:numId w:val="9"/>
        </w:numPr>
        <w:tabs>
          <w:tab w:val="num" w:pos="360"/>
        </w:tabs>
        <w:spacing w:after="0"/>
        <w:jc w:val="left"/>
      </w:pPr>
      <w:r>
        <w:t xml:space="preserve">Revised amortization presentation to show Accumulated Amortization rather than directly reducing asset </w:t>
      </w:r>
    </w:p>
    <w:p w14:paraId="24D626C5" w14:textId="77777777" w:rsidR="000D10E7" w:rsidRDefault="000D10E7" w:rsidP="000D10E7">
      <w:pPr>
        <w:pStyle w:val="BodyText"/>
        <w:numPr>
          <w:ilvl w:val="0"/>
          <w:numId w:val="9"/>
        </w:numPr>
        <w:tabs>
          <w:tab w:val="num" w:pos="360"/>
        </w:tabs>
        <w:spacing w:after="0"/>
        <w:jc w:val="left"/>
      </w:pPr>
      <w:r>
        <w:t xml:space="preserve">Updated fixed asset turnover analysis in Exhibit 9.5, involving </w:t>
      </w:r>
      <w:r w:rsidRPr="000D10E7">
        <w:t>Cedar Fair</w:t>
      </w:r>
      <w:r>
        <w:t xml:space="preserve">, </w:t>
      </w:r>
      <w:r w:rsidRPr="000D10E7">
        <w:t>Six Flags</w:t>
      </w:r>
      <w:r>
        <w:t xml:space="preserve">, and </w:t>
      </w:r>
      <w:r w:rsidRPr="000D10E7">
        <w:t>Facebook</w:t>
      </w:r>
    </w:p>
    <w:p w14:paraId="469A2BC2" w14:textId="77777777" w:rsidR="000D10E7" w:rsidRDefault="000D10E7" w:rsidP="000D10E7">
      <w:pPr>
        <w:pStyle w:val="BodyText"/>
        <w:numPr>
          <w:ilvl w:val="0"/>
          <w:numId w:val="9"/>
        </w:numPr>
        <w:tabs>
          <w:tab w:val="num" w:pos="360"/>
        </w:tabs>
        <w:spacing w:after="0"/>
        <w:jc w:val="left"/>
      </w:pPr>
      <w:r w:rsidRPr="000D10E7">
        <w:t xml:space="preserve">New </w:t>
      </w:r>
      <w:r>
        <w:t>illustration in Homework Helper to show common causes of changes in account balances</w:t>
      </w:r>
    </w:p>
    <w:p w14:paraId="238D834D" w14:textId="77777777" w:rsidR="000D10E7" w:rsidRDefault="000D10E7" w:rsidP="000D10E7">
      <w:pPr>
        <w:pStyle w:val="BodyText"/>
        <w:numPr>
          <w:ilvl w:val="0"/>
          <w:numId w:val="9"/>
        </w:numPr>
        <w:tabs>
          <w:tab w:val="num" w:pos="360"/>
        </w:tabs>
        <w:spacing w:after="0"/>
        <w:jc w:val="left"/>
      </w:pPr>
      <w:r>
        <w:t>Reviewed, updated, and introduced new end-of-chapter material, including new problem format that automatically posts journal entries to T-accounts and prepares a trial balance</w:t>
      </w:r>
    </w:p>
    <w:p w14:paraId="06F2E1F0" w14:textId="77777777" w:rsidR="00885744" w:rsidRDefault="00DA6394" w:rsidP="00885744">
      <w:pPr>
        <w:pStyle w:val="Heading1"/>
        <w:spacing w:after="240"/>
      </w:pPr>
      <w:r>
        <w:br/>
      </w:r>
      <w:r w:rsidR="00885744">
        <w:t>PowerPoint Slides</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7218"/>
        <w:gridCol w:w="2250"/>
      </w:tblGrid>
      <w:tr w:rsidR="00885744" w14:paraId="7F569E57" w14:textId="77777777" w:rsidTr="00670E52">
        <w:tc>
          <w:tcPr>
            <w:tcW w:w="7218" w:type="dxa"/>
            <w:shd w:val="clear" w:color="auto" w:fill="auto"/>
          </w:tcPr>
          <w:p w14:paraId="2ED27A2C" w14:textId="77777777" w:rsidR="00885744" w:rsidRPr="00507ED2" w:rsidRDefault="00885744" w:rsidP="00670E52">
            <w:pPr>
              <w:pStyle w:val="Italicsheading"/>
              <w:spacing w:before="120"/>
              <w:jc w:val="center"/>
              <w:rPr>
                <w:b/>
              </w:rPr>
            </w:pPr>
            <w:r w:rsidRPr="00507ED2">
              <w:rPr>
                <w:b/>
              </w:rPr>
              <w:t>Student Learning Objective</w:t>
            </w:r>
          </w:p>
        </w:tc>
        <w:tc>
          <w:tcPr>
            <w:tcW w:w="2250" w:type="dxa"/>
          </w:tcPr>
          <w:p w14:paraId="5BA5B67C" w14:textId="77777777" w:rsidR="00885744" w:rsidRDefault="00885744" w:rsidP="00670E52">
            <w:pPr>
              <w:pStyle w:val="Italicsheading"/>
              <w:spacing w:before="120"/>
              <w:jc w:val="center"/>
              <w:rPr>
                <w:b/>
              </w:rPr>
            </w:pPr>
            <w:r>
              <w:rPr>
                <w:b/>
              </w:rPr>
              <w:t>PowerPoint® Slides</w:t>
            </w:r>
          </w:p>
        </w:tc>
      </w:tr>
      <w:tr w:rsidR="004E075F" w:rsidRPr="004E075F" w14:paraId="34803326" w14:textId="77777777" w:rsidTr="00670E52">
        <w:tc>
          <w:tcPr>
            <w:tcW w:w="7218" w:type="dxa"/>
            <w:shd w:val="clear" w:color="auto" w:fill="auto"/>
          </w:tcPr>
          <w:p w14:paraId="39057401" w14:textId="679811E6" w:rsidR="00C45729" w:rsidRPr="004E075F" w:rsidRDefault="00C45729" w:rsidP="00A01E24">
            <w:pPr>
              <w:pStyle w:val="TableBody"/>
              <w:ind w:left="288" w:hanging="288"/>
            </w:pPr>
            <w:r w:rsidRPr="004E075F">
              <w:t>LO 9-1 Define, classify, and explain the nature of long-lived assets.</w:t>
            </w:r>
          </w:p>
        </w:tc>
        <w:tc>
          <w:tcPr>
            <w:tcW w:w="2250" w:type="dxa"/>
          </w:tcPr>
          <w:p w14:paraId="214022B5" w14:textId="77777777" w:rsidR="00C45729" w:rsidRPr="004E075F" w:rsidRDefault="00057928" w:rsidP="00670E52">
            <w:pPr>
              <w:pStyle w:val="TableBody"/>
            </w:pPr>
            <w:r w:rsidRPr="004E075F">
              <w:t>9-2</w:t>
            </w:r>
            <w:r w:rsidR="00C45729" w:rsidRPr="004E075F">
              <w:t xml:space="preserve"> through 9-3</w:t>
            </w:r>
          </w:p>
        </w:tc>
      </w:tr>
      <w:tr w:rsidR="004E075F" w:rsidRPr="004E075F" w14:paraId="1031F5C6" w14:textId="77777777" w:rsidTr="00670E52">
        <w:tc>
          <w:tcPr>
            <w:tcW w:w="7218" w:type="dxa"/>
            <w:shd w:val="clear" w:color="auto" w:fill="auto"/>
          </w:tcPr>
          <w:p w14:paraId="353717E4" w14:textId="4C8F4B7E" w:rsidR="00C45729" w:rsidRPr="004E075F" w:rsidRDefault="00C45729" w:rsidP="00B62ADA">
            <w:pPr>
              <w:pStyle w:val="TableBody"/>
              <w:ind w:left="288" w:hanging="288"/>
            </w:pPr>
            <w:r w:rsidRPr="004E075F">
              <w:t>LO 9-2</w:t>
            </w:r>
            <w:r w:rsidR="00A01E24">
              <w:t xml:space="preserve"> </w:t>
            </w:r>
            <w:r w:rsidRPr="004E075F">
              <w:t>Apply the cost principle to the acquisition of long-lived assets.</w:t>
            </w:r>
          </w:p>
        </w:tc>
        <w:tc>
          <w:tcPr>
            <w:tcW w:w="2250" w:type="dxa"/>
          </w:tcPr>
          <w:p w14:paraId="1D9C4C90" w14:textId="77777777" w:rsidR="00C45729" w:rsidRPr="004E075F" w:rsidRDefault="00057928" w:rsidP="005D314D">
            <w:pPr>
              <w:pStyle w:val="TableBody"/>
            </w:pPr>
            <w:r w:rsidRPr="004E075F">
              <w:t>9-4 through 9-1</w:t>
            </w:r>
            <w:r w:rsidR="004E075F">
              <w:t>3</w:t>
            </w:r>
          </w:p>
        </w:tc>
      </w:tr>
      <w:tr w:rsidR="004E075F" w:rsidRPr="004E075F" w14:paraId="7025AF35" w14:textId="77777777" w:rsidTr="00670E52">
        <w:tc>
          <w:tcPr>
            <w:tcW w:w="7218" w:type="dxa"/>
            <w:shd w:val="clear" w:color="auto" w:fill="auto"/>
          </w:tcPr>
          <w:p w14:paraId="67AE6F04" w14:textId="304FEC9A" w:rsidR="00C45729" w:rsidRPr="004E075F" w:rsidRDefault="00C45729" w:rsidP="00B62ADA">
            <w:pPr>
              <w:pStyle w:val="TableBody"/>
              <w:ind w:left="288" w:hanging="288"/>
            </w:pPr>
            <w:r w:rsidRPr="004E075F">
              <w:t>LO 9-3 Apply various depreciation methods as economic benefits are used up over time.</w:t>
            </w:r>
          </w:p>
        </w:tc>
        <w:tc>
          <w:tcPr>
            <w:tcW w:w="2250" w:type="dxa"/>
          </w:tcPr>
          <w:p w14:paraId="29E5CE3C" w14:textId="77777777" w:rsidR="00C45729" w:rsidRPr="004E075F" w:rsidRDefault="004E075F" w:rsidP="005D314D">
            <w:pPr>
              <w:pStyle w:val="TableBody"/>
            </w:pPr>
            <w:r>
              <w:t>9-14</w:t>
            </w:r>
            <w:r w:rsidR="00057928" w:rsidRPr="004E075F">
              <w:t xml:space="preserve"> through 9-2</w:t>
            </w:r>
            <w:r>
              <w:t>3</w:t>
            </w:r>
          </w:p>
        </w:tc>
      </w:tr>
      <w:tr w:rsidR="004E075F" w:rsidRPr="004E075F" w14:paraId="7D2F6BFC" w14:textId="77777777" w:rsidTr="00670E52">
        <w:tc>
          <w:tcPr>
            <w:tcW w:w="7218" w:type="dxa"/>
            <w:shd w:val="clear" w:color="auto" w:fill="auto"/>
          </w:tcPr>
          <w:p w14:paraId="70BF752B" w14:textId="0534A2E5" w:rsidR="00C45729" w:rsidRPr="004E075F" w:rsidRDefault="00C45729" w:rsidP="00B62ADA">
            <w:pPr>
              <w:pStyle w:val="TableBody"/>
              <w:ind w:left="288" w:hanging="288"/>
            </w:pPr>
            <w:r w:rsidRPr="004E075F">
              <w:t>LO 9-4 Explain the effect of asset impairment on the financial statements.</w:t>
            </w:r>
          </w:p>
        </w:tc>
        <w:tc>
          <w:tcPr>
            <w:tcW w:w="2250" w:type="dxa"/>
          </w:tcPr>
          <w:p w14:paraId="7BFEE8A1" w14:textId="77777777" w:rsidR="00C45729" w:rsidRPr="004E075F" w:rsidRDefault="004E075F" w:rsidP="005D314D">
            <w:pPr>
              <w:pStyle w:val="TableBody"/>
            </w:pPr>
            <w:r>
              <w:t>9-24</w:t>
            </w:r>
            <w:r w:rsidR="00057928" w:rsidRPr="004E075F">
              <w:t xml:space="preserve"> through 9-2</w:t>
            </w:r>
            <w:r>
              <w:t>5</w:t>
            </w:r>
          </w:p>
        </w:tc>
      </w:tr>
      <w:tr w:rsidR="004E075F" w:rsidRPr="004E075F" w14:paraId="672EA1BD" w14:textId="77777777" w:rsidTr="00670E52">
        <w:tc>
          <w:tcPr>
            <w:tcW w:w="7218" w:type="dxa"/>
            <w:shd w:val="clear" w:color="auto" w:fill="auto"/>
          </w:tcPr>
          <w:p w14:paraId="1F4E9A5C" w14:textId="4F59E197" w:rsidR="00C45729" w:rsidRPr="004E075F" w:rsidRDefault="00C45729" w:rsidP="00B62ADA">
            <w:pPr>
              <w:pStyle w:val="TableBody"/>
              <w:ind w:left="288" w:hanging="288"/>
            </w:pPr>
            <w:r w:rsidRPr="004E075F">
              <w:t>LO 9-5 Analyze the disposal of long-lived tangible assets.</w:t>
            </w:r>
          </w:p>
        </w:tc>
        <w:tc>
          <w:tcPr>
            <w:tcW w:w="2250" w:type="dxa"/>
          </w:tcPr>
          <w:p w14:paraId="25847FFC" w14:textId="77777777" w:rsidR="00C45729" w:rsidRPr="004E075F" w:rsidRDefault="004E075F" w:rsidP="005D314D">
            <w:pPr>
              <w:pStyle w:val="TableBody"/>
            </w:pPr>
            <w:r>
              <w:t>9-26</w:t>
            </w:r>
            <w:r w:rsidR="00057928" w:rsidRPr="004E075F">
              <w:t xml:space="preserve"> through 9-3</w:t>
            </w:r>
            <w:r>
              <w:t>2</w:t>
            </w:r>
          </w:p>
        </w:tc>
      </w:tr>
      <w:tr w:rsidR="004E075F" w:rsidRPr="004E075F" w14:paraId="5111329B" w14:textId="77777777" w:rsidTr="00670E52">
        <w:tc>
          <w:tcPr>
            <w:tcW w:w="7218" w:type="dxa"/>
            <w:shd w:val="clear" w:color="auto" w:fill="auto"/>
          </w:tcPr>
          <w:p w14:paraId="02FFBC89" w14:textId="463032C0" w:rsidR="00C45729" w:rsidRPr="004E075F" w:rsidRDefault="00C45729" w:rsidP="00B62ADA">
            <w:pPr>
              <w:pStyle w:val="TableBody"/>
              <w:ind w:left="288" w:hanging="288"/>
            </w:pPr>
            <w:r w:rsidRPr="004E075F">
              <w:t>LO 9-6 Analyze the acquisition, use, and disposal of long-lived intangible assets.</w:t>
            </w:r>
          </w:p>
        </w:tc>
        <w:tc>
          <w:tcPr>
            <w:tcW w:w="2250" w:type="dxa"/>
          </w:tcPr>
          <w:p w14:paraId="27F08453" w14:textId="77777777" w:rsidR="00C45729" w:rsidRPr="004E075F" w:rsidRDefault="00057928" w:rsidP="004E075F">
            <w:pPr>
              <w:pStyle w:val="TableBody"/>
            </w:pPr>
            <w:r w:rsidRPr="004E075F">
              <w:t>9-3</w:t>
            </w:r>
            <w:r w:rsidR="004E075F">
              <w:t>3</w:t>
            </w:r>
            <w:r w:rsidRPr="004E075F">
              <w:t xml:space="preserve"> through 9-4</w:t>
            </w:r>
            <w:r w:rsidR="004E075F">
              <w:t>2</w:t>
            </w:r>
          </w:p>
        </w:tc>
      </w:tr>
      <w:tr w:rsidR="004E075F" w:rsidRPr="004E075F" w14:paraId="2D6D3F2D" w14:textId="77777777" w:rsidTr="00670E52">
        <w:tc>
          <w:tcPr>
            <w:tcW w:w="7218" w:type="dxa"/>
            <w:shd w:val="clear" w:color="auto" w:fill="auto"/>
          </w:tcPr>
          <w:p w14:paraId="1BCF359C" w14:textId="4217C1DF" w:rsidR="00C45729" w:rsidRPr="004E075F" w:rsidRDefault="00C45729" w:rsidP="00B62ADA">
            <w:pPr>
              <w:pStyle w:val="TableBody"/>
              <w:ind w:left="288" w:hanging="288"/>
            </w:pPr>
            <w:r w:rsidRPr="004E075F">
              <w:t>LO 9-7 Interpret the fixed asset turnover ratio.</w:t>
            </w:r>
          </w:p>
        </w:tc>
        <w:tc>
          <w:tcPr>
            <w:tcW w:w="2250" w:type="dxa"/>
          </w:tcPr>
          <w:p w14:paraId="77485837" w14:textId="77777777" w:rsidR="00C45729" w:rsidRPr="004E075F" w:rsidRDefault="00C45729" w:rsidP="00057928">
            <w:pPr>
              <w:pStyle w:val="TableBody"/>
            </w:pPr>
            <w:r w:rsidRPr="004E075F">
              <w:t>9-4</w:t>
            </w:r>
            <w:r w:rsidR="004E075F">
              <w:t>3</w:t>
            </w:r>
            <w:r w:rsidRPr="004E075F">
              <w:t xml:space="preserve"> through 9-4</w:t>
            </w:r>
            <w:r w:rsidR="004E075F">
              <w:t>5</w:t>
            </w:r>
          </w:p>
        </w:tc>
      </w:tr>
      <w:tr w:rsidR="004E075F" w:rsidRPr="004E075F" w14:paraId="626D04BD" w14:textId="77777777" w:rsidTr="00670E52">
        <w:tc>
          <w:tcPr>
            <w:tcW w:w="7218" w:type="dxa"/>
            <w:shd w:val="clear" w:color="auto" w:fill="auto"/>
          </w:tcPr>
          <w:p w14:paraId="531D6B4D" w14:textId="247564DA" w:rsidR="00C45729" w:rsidRPr="004E075F" w:rsidRDefault="00C45729" w:rsidP="00B62ADA">
            <w:pPr>
              <w:pStyle w:val="TableBody"/>
              <w:ind w:left="288" w:hanging="288"/>
            </w:pPr>
            <w:r w:rsidRPr="004E075F">
              <w:t>LO 9-8 Describe factors to consider when comparing companies’ long-lived assets.</w:t>
            </w:r>
            <w:r w:rsidRPr="004E075F">
              <w:tab/>
            </w:r>
          </w:p>
        </w:tc>
        <w:tc>
          <w:tcPr>
            <w:tcW w:w="2250" w:type="dxa"/>
          </w:tcPr>
          <w:p w14:paraId="2AAA4D87" w14:textId="77777777" w:rsidR="00C45729" w:rsidRPr="004E075F" w:rsidRDefault="00C45729" w:rsidP="004E075F">
            <w:pPr>
              <w:pStyle w:val="TableBody"/>
            </w:pPr>
            <w:r w:rsidRPr="004E075F">
              <w:t>9-4</w:t>
            </w:r>
            <w:r w:rsidR="004E075F">
              <w:t>6</w:t>
            </w:r>
            <w:r w:rsidRPr="004E075F">
              <w:t xml:space="preserve"> through 9-4</w:t>
            </w:r>
            <w:r w:rsidR="004E075F">
              <w:t>7</w:t>
            </w:r>
          </w:p>
        </w:tc>
      </w:tr>
      <w:tr w:rsidR="004E075F" w:rsidRPr="004E075F" w14:paraId="6C0ED846" w14:textId="77777777" w:rsidTr="00670E52">
        <w:tc>
          <w:tcPr>
            <w:tcW w:w="7218" w:type="dxa"/>
            <w:shd w:val="clear" w:color="auto" w:fill="auto"/>
          </w:tcPr>
          <w:p w14:paraId="0B5BB88E" w14:textId="1DE2DEAB" w:rsidR="00C45729" w:rsidRPr="004E075F" w:rsidRDefault="00C45729" w:rsidP="00B62ADA">
            <w:pPr>
              <w:pStyle w:val="TableBody"/>
              <w:ind w:left="288" w:hanging="288"/>
            </w:pPr>
            <w:r w:rsidRPr="004E075F">
              <w:t>LO 9-S1 Analyze and report depletion of natural resources.</w:t>
            </w:r>
          </w:p>
        </w:tc>
        <w:tc>
          <w:tcPr>
            <w:tcW w:w="2250" w:type="dxa"/>
          </w:tcPr>
          <w:p w14:paraId="58C3D6A8" w14:textId="77777777" w:rsidR="00C45729" w:rsidRPr="004E075F" w:rsidRDefault="004E075F" w:rsidP="00670E52">
            <w:pPr>
              <w:pStyle w:val="TableBody"/>
            </w:pPr>
            <w:r>
              <w:t>9-48</w:t>
            </w:r>
            <w:r w:rsidR="00057928" w:rsidRPr="004E075F">
              <w:t xml:space="preserve"> through 9-50</w:t>
            </w:r>
          </w:p>
        </w:tc>
      </w:tr>
      <w:tr w:rsidR="004E075F" w:rsidRPr="004E075F" w14:paraId="0A4A5059" w14:textId="77777777" w:rsidTr="00670E52">
        <w:tc>
          <w:tcPr>
            <w:tcW w:w="7218" w:type="dxa"/>
            <w:shd w:val="clear" w:color="auto" w:fill="auto"/>
          </w:tcPr>
          <w:p w14:paraId="108BEF31" w14:textId="3FE98E6F" w:rsidR="00C45729" w:rsidRPr="004E075F" w:rsidRDefault="00C45729" w:rsidP="00B62ADA">
            <w:pPr>
              <w:pStyle w:val="TableBody"/>
              <w:ind w:left="288" w:hanging="288"/>
            </w:pPr>
            <w:r w:rsidRPr="004E075F">
              <w:t>LO 9-S2 Calculate changes in depreciation aris</w:t>
            </w:r>
            <w:r w:rsidR="003C0C5C" w:rsidRPr="004E075F">
              <w:t>ing from changes in estimates or</w:t>
            </w:r>
            <w:r w:rsidRPr="004E075F">
              <w:t xml:space="preserve"> capitalized cost.</w:t>
            </w:r>
          </w:p>
        </w:tc>
        <w:tc>
          <w:tcPr>
            <w:tcW w:w="2250" w:type="dxa"/>
          </w:tcPr>
          <w:p w14:paraId="6363E4B8" w14:textId="77777777" w:rsidR="00C45729" w:rsidRPr="004E075F" w:rsidRDefault="00057928" w:rsidP="005D314D">
            <w:pPr>
              <w:pStyle w:val="TableBody"/>
            </w:pPr>
            <w:r w:rsidRPr="004E075F">
              <w:t>9-51 through 9-5</w:t>
            </w:r>
            <w:r w:rsidR="004E075F">
              <w:t>5</w:t>
            </w:r>
          </w:p>
        </w:tc>
      </w:tr>
    </w:tbl>
    <w:p w14:paraId="5FF91037" w14:textId="77777777" w:rsidR="00885744" w:rsidRPr="004E075F" w:rsidRDefault="00885744" w:rsidP="00885744">
      <w:pPr>
        <w:pStyle w:val="Heading1"/>
        <w:spacing w:before="0" w:after="0"/>
        <w:jc w:val="center"/>
        <w:rPr>
          <w:szCs w:val="24"/>
        </w:rPr>
      </w:pP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7218"/>
        <w:gridCol w:w="2250"/>
      </w:tblGrid>
      <w:tr w:rsidR="004E075F" w:rsidRPr="004E075F" w14:paraId="25A95AC4" w14:textId="77777777" w:rsidTr="00670E52">
        <w:tc>
          <w:tcPr>
            <w:tcW w:w="7218" w:type="dxa"/>
            <w:shd w:val="clear" w:color="auto" w:fill="auto"/>
          </w:tcPr>
          <w:p w14:paraId="70EFFC6C" w14:textId="77777777" w:rsidR="00885744" w:rsidRPr="004E075F" w:rsidRDefault="00885744" w:rsidP="00670E52">
            <w:pPr>
              <w:pStyle w:val="Italicsheading"/>
              <w:spacing w:before="120"/>
              <w:jc w:val="center"/>
              <w:rPr>
                <w:b/>
              </w:rPr>
            </w:pPr>
            <w:r w:rsidRPr="004E075F">
              <w:rPr>
                <w:b/>
              </w:rPr>
              <w:t>Animated Builds and Animated Solutions</w:t>
            </w:r>
          </w:p>
        </w:tc>
        <w:tc>
          <w:tcPr>
            <w:tcW w:w="2250" w:type="dxa"/>
          </w:tcPr>
          <w:p w14:paraId="41B3B166" w14:textId="77777777" w:rsidR="00885744" w:rsidRPr="004E075F" w:rsidRDefault="00885744" w:rsidP="00670E52">
            <w:pPr>
              <w:pStyle w:val="Italicsheading"/>
              <w:spacing w:before="120"/>
              <w:jc w:val="center"/>
              <w:rPr>
                <w:b/>
              </w:rPr>
            </w:pPr>
            <w:r w:rsidRPr="004E075F">
              <w:rPr>
                <w:b/>
              </w:rPr>
              <w:t>PowerPoint® Slides</w:t>
            </w:r>
          </w:p>
        </w:tc>
      </w:tr>
      <w:tr w:rsidR="004E075F" w:rsidRPr="004E075F" w14:paraId="4595F9F8" w14:textId="77777777" w:rsidTr="00670E52">
        <w:tc>
          <w:tcPr>
            <w:tcW w:w="7218" w:type="dxa"/>
            <w:shd w:val="clear" w:color="auto" w:fill="auto"/>
          </w:tcPr>
          <w:p w14:paraId="6D0BDA55" w14:textId="77777777" w:rsidR="00885744" w:rsidRPr="004E075F" w:rsidRDefault="00885744" w:rsidP="00670E52">
            <w:pPr>
              <w:pStyle w:val="TableBody"/>
              <w:ind w:left="288" w:hanging="288"/>
            </w:pPr>
            <w:r w:rsidRPr="004E075F">
              <w:t>Mini-Exercise 9-4</w:t>
            </w:r>
          </w:p>
        </w:tc>
        <w:tc>
          <w:tcPr>
            <w:tcW w:w="2250" w:type="dxa"/>
          </w:tcPr>
          <w:p w14:paraId="7AC3D381" w14:textId="77777777" w:rsidR="00885744" w:rsidRPr="004E075F" w:rsidRDefault="005C4337" w:rsidP="00066DBD">
            <w:pPr>
              <w:pStyle w:val="TableBody"/>
            </w:pPr>
            <w:r w:rsidRPr="004E075F">
              <w:t>9-</w:t>
            </w:r>
            <w:r w:rsidR="00066DBD" w:rsidRPr="004E075F">
              <w:t>5</w:t>
            </w:r>
            <w:r w:rsidR="004E075F">
              <w:t>7</w:t>
            </w:r>
          </w:p>
        </w:tc>
      </w:tr>
      <w:tr w:rsidR="004E075F" w:rsidRPr="004E075F" w14:paraId="7EF91424" w14:textId="77777777" w:rsidTr="00670E52">
        <w:tc>
          <w:tcPr>
            <w:tcW w:w="7218" w:type="dxa"/>
            <w:shd w:val="clear" w:color="auto" w:fill="auto"/>
          </w:tcPr>
          <w:p w14:paraId="25A36D8C" w14:textId="77777777" w:rsidR="00885744" w:rsidRPr="004E075F" w:rsidRDefault="00885744" w:rsidP="00670E52">
            <w:pPr>
              <w:pStyle w:val="TableBody"/>
              <w:ind w:left="288" w:hanging="288"/>
            </w:pPr>
            <w:r w:rsidRPr="004E075F">
              <w:t>Mini-Exercise 9-5</w:t>
            </w:r>
          </w:p>
        </w:tc>
        <w:tc>
          <w:tcPr>
            <w:tcW w:w="2250" w:type="dxa"/>
          </w:tcPr>
          <w:p w14:paraId="09AE4E28" w14:textId="77777777" w:rsidR="00885744" w:rsidRPr="004E075F" w:rsidRDefault="005C4337" w:rsidP="00057928">
            <w:pPr>
              <w:pStyle w:val="TableBody"/>
            </w:pPr>
            <w:r w:rsidRPr="004E075F">
              <w:t>9-</w:t>
            </w:r>
            <w:r w:rsidR="00066DBD" w:rsidRPr="004E075F">
              <w:t>5</w:t>
            </w:r>
            <w:r w:rsidR="004E075F">
              <w:t>8</w:t>
            </w:r>
            <w:r w:rsidRPr="004E075F">
              <w:t xml:space="preserve"> through 9-</w:t>
            </w:r>
            <w:r w:rsidR="00066DBD" w:rsidRPr="004E075F">
              <w:t>5</w:t>
            </w:r>
            <w:r w:rsidR="004E075F">
              <w:t>9</w:t>
            </w:r>
          </w:p>
        </w:tc>
      </w:tr>
      <w:tr w:rsidR="004E075F" w:rsidRPr="004E075F" w14:paraId="273CB47D" w14:textId="77777777" w:rsidTr="00670E52">
        <w:tc>
          <w:tcPr>
            <w:tcW w:w="7218" w:type="dxa"/>
            <w:shd w:val="clear" w:color="auto" w:fill="auto"/>
          </w:tcPr>
          <w:p w14:paraId="3486B173" w14:textId="77777777" w:rsidR="00885744" w:rsidRPr="004E075F" w:rsidRDefault="00885744" w:rsidP="00670E52">
            <w:pPr>
              <w:pStyle w:val="TableBody"/>
              <w:ind w:left="288" w:hanging="288"/>
            </w:pPr>
            <w:r w:rsidRPr="004E075F">
              <w:t>Mini-Exercise 9-6</w:t>
            </w:r>
          </w:p>
        </w:tc>
        <w:tc>
          <w:tcPr>
            <w:tcW w:w="2250" w:type="dxa"/>
          </w:tcPr>
          <w:p w14:paraId="2E5252BC" w14:textId="77777777" w:rsidR="00885744" w:rsidRPr="004E075F" w:rsidRDefault="005C4337" w:rsidP="004E075F">
            <w:pPr>
              <w:pStyle w:val="TableBody"/>
            </w:pPr>
            <w:r w:rsidRPr="004E075F">
              <w:t>9-</w:t>
            </w:r>
            <w:r w:rsidR="004E075F">
              <w:t>60</w:t>
            </w:r>
            <w:r w:rsidRPr="004E075F">
              <w:t xml:space="preserve"> through 9-</w:t>
            </w:r>
            <w:r w:rsidR="00057928" w:rsidRPr="004E075F">
              <w:t>6</w:t>
            </w:r>
            <w:r w:rsidR="004E075F">
              <w:t>1</w:t>
            </w:r>
          </w:p>
        </w:tc>
      </w:tr>
      <w:tr w:rsidR="004E075F" w:rsidRPr="004E075F" w14:paraId="0CD20977" w14:textId="77777777" w:rsidTr="00670E52">
        <w:tc>
          <w:tcPr>
            <w:tcW w:w="7218" w:type="dxa"/>
            <w:shd w:val="clear" w:color="auto" w:fill="auto"/>
          </w:tcPr>
          <w:p w14:paraId="5EE4F01B" w14:textId="77777777" w:rsidR="00885744" w:rsidRPr="004E075F" w:rsidRDefault="00885744" w:rsidP="00670E52">
            <w:pPr>
              <w:pStyle w:val="TableBody"/>
              <w:ind w:left="288" w:hanging="288"/>
            </w:pPr>
            <w:r w:rsidRPr="004E075F">
              <w:t>Exercise 9-6</w:t>
            </w:r>
          </w:p>
        </w:tc>
        <w:tc>
          <w:tcPr>
            <w:tcW w:w="2250" w:type="dxa"/>
          </w:tcPr>
          <w:p w14:paraId="0FDC2DB4" w14:textId="77777777" w:rsidR="00885744" w:rsidRPr="004E075F" w:rsidRDefault="005C4337" w:rsidP="004E075F">
            <w:pPr>
              <w:pStyle w:val="TableBody"/>
            </w:pPr>
            <w:r w:rsidRPr="004E075F">
              <w:t>9-</w:t>
            </w:r>
            <w:r w:rsidR="00057928" w:rsidRPr="004E075F">
              <w:t>6</w:t>
            </w:r>
            <w:r w:rsidR="004E075F">
              <w:t>2</w:t>
            </w:r>
            <w:r w:rsidRPr="004E075F">
              <w:t xml:space="preserve"> through 9-</w:t>
            </w:r>
            <w:r w:rsidR="00066DBD" w:rsidRPr="004E075F">
              <w:t>6</w:t>
            </w:r>
            <w:r w:rsidR="004E075F">
              <w:t>4</w:t>
            </w:r>
          </w:p>
        </w:tc>
      </w:tr>
      <w:tr w:rsidR="004E075F" w:rsidRPr="004E075F" w14:paraId="0725D2BF" w14:textId="77777777" w:rsidTr="00670E52">
        <w:tc>
          <w:tcPr>
            <w:tcW w:w="7218" w:type="dxa"/>
            <w:shd w:val="clear" w:color="auto" w:fill="auto"/>
          </w:tcPr>
          <w:p w14:paraId="70C1E11C" w14:textId="7E0A1814" w:rsidR="00885744" w:rsidRPr="004E075F" w:rsidRDefault="002114D8" w:rsidP="002114D8">
            <w:pPr>
              <w:pStyle w:val="TableBody"/>
              <w:ind w:left="288" w:hanging="288"/>
            </w:pPr>
            <w:r w:rsidRPr="004E075F">
              <w:t>Exercise</w:t>
            </w:r>
            <w:r>
              <w:t xml:space="preserve"> </w:t>
            </w:r>
            <w:r w:rsidR="00885744" w:rsidRPr="004E075F">
              <w:t>9-7</w:t>
            </w:r>
          </w:p>
        </w:tc>
        <w:tc>
          <w:tcPr>
            <w:tcW w:w="2250" w:type="dxa"/>
          </w:tcPr>
          <w:p w14:paraId="58E5E8EE" w14:textId="77777777" w:rsidR="00885744" w:rsidRPr="004E075F" w:rsidRDefault="00057928" w:rsidP="00057928">
            <w:pPr>
              <w:pStyle w:val="TableBody"/>
            </w:pPr>
            <w:r w:rsidRPr="004E075F">
              <w:t>9-</w:t>
            </w:r>
            <w:r w:rsidR="004E075F">
              <w:t xml:space="preserve">65 </w:t>
            </w:r>
            <w:r w:rsidR="004E075F" w:rsidRPr="004E075F">
              <w:t>through 9-</w:t>
            </w:r>
            <w:r w:rsidR="004E075F">
              <w:t>70</w:t>
            </w:r>
          </w:p>
        </w:tc>
      </w:tr>
      <w:tr w:rsidR="004E075F" w:rsidRPr="004E075F" w14:paraId="1CA0528B" w14:textId="77777777" w:rsidTr="00670E52">
        <w:tc>
          <w:tcPr>
            <w:tcW w:w="7218" w:type="dxa"/>
            <w:shd w:val="clear" w:color="auto" w:fill="auto"/>
          </w:tcPr>
          <w:p w14:paraId="5112AC86" w14:textId="644ABCB6" w:rsidR="00885744" w:rsidRPr="004E075F" w:rsidRDefault="00885744" w:rsidP="002114D8">
            <w:pPr>
              <w:pStyle w:val="TableBody"/>
              <w:ind w:left="288" w:hanging="288"/>
            </w:pPr>
            <w:r w:rsidRPr="004E075F">
              <w:t>Exercise 9-</w:t>
            </w:r>
            <w:r w:rsidR="004E075F">
              <w:t>9</w:t>
            </w:r>
          </w:p>
        </w:tc>
        <w:tc>
          <w:tcPr>
            <w:tcW w:w="2250" w:type="dxa"/>
          </w:tcPr>
          <w:p w14:paraId="547160ED" w14:textId="77777777" w:rsidR="00885744" w:rsidRPr="004E075F" w:rsidRDefault="005C4337" w:rsidP="00066DBD">
            <w:pPr>
              <w:pStyle w:val="TableBody"/>
            </w:pPr>
            <w:r w:rsidRPr="004E075F">
              <w:t>9-</w:t>
            </w:r>
            <w:r w:rsidR="00057928" w:rsidRPr="004E075F">
              <w:t>71</w:t>
            </w:r>
            <w:r w:rsidRPr="004E075F">
              <w:t xml:space="preserve"> through 9-</w:t>
            </w:r>
            <w:r w:rsidR="00066DBD" w:rsidRPr="004E075F">
              <w:t>7</w:t>
            </w:r>
            <w:r w:rsidR="004E075F">
              <w:t>6</w:t>
            </w:r>
          </w:p>
        </w:tc>
      </w:tr>
    </w:tbl>
    <w:p w14:paraId="4D8B6E4B" w14:textId="77777777" w:rsidR="005C4337" w:rsidRPr="004E075F" w:rsidRDefault="005C4337" w:rsidP="00CF18FE">
      <w:pPr>
        <w:pStyle w:val="BodyText"/>
        <w:spacing w:before="120" w:after="120"/>
        <w:jc w:val="left"/>
        <w:rPr>
          <w:rFonts w:ascii="Arial" w:hAnsi="Arial"/>
          <w:b/>
          <w:kern w:val="28"/>
          <w:sz w:val="24"/>
          <w:u w:val="single"/>
        </w:rPr>
      </w:pPr>
    </w:p>
    <w:p w14:paraId="79131E3E" w14:textId="77777777" w:rsidR="00B95C07" w:rsidRPr="00CB2DB3" w:rsidRDefault="005C4337" w:rsidP="00CF18FE">
      <w:pPr>
        <w:pStyle w:val="BodyText"/>
        <w:spacing w:before="120" w:after="120"/>
        <w:jc w:val="left"/>
        <w:rPr>
          <w:rFonts w:ascii="Arial" w:hAnsi="Arial"/>
          <w:b/>
          <w:kern w:val="28"/>
          <w:sz w:val="24"/>
          <w:u w:val="single"/>
        </w:rPr>
      </w:pPr>
      <w:r>
        <w:rPr>
          <w:rFonts w:ascii="Arial" w:hAnsi="Arial"/>
          <w:b/>
          <w:kern w:val="28"/>
          <w:sz w:val="24"/>
          <w:u w:val="single"/>
        </w:rPr>
        <w:br w:type="page"/>
      </w:r>
      <w:r w:rsidR="00B95C07" w:rsidRPr="00CB2DB3">
        <w:rPr>
          <w:rFonts w:ascii="Arial" w:hAnsi="Arial"/>
          <w:b/>
          <w:kern w:val="28"/>
          <w:sz w:val="24"/>
          <w:u w:val="single"/>
        </w:rPr>
        <w:lastRenderedPageBreak/>
        <w:t>Summary of Related Video Program</w:t>
      </w:r>
    </w:p>
    <w:p w14:paraId="6D7C190C" w14:textId="77777777" w:rsidR="00CD30FF" w:rsidRPr="00116CC6" w:rsidRDefault="00CD30FF" w:rsidP="00CF18FE">
      <w:pPr>
        <w:spacing w:before="60" w:after="120"/>
        <w:rPr>
          <w:b/>
        </w:rPr>
      </w:pPr>
      <w:r>
        <w:rPr>
          <w:b/>
          <w:sz w:val="24"/>
          <w:szCs w:val="24"/>
        </w:rPr>
        <w:t xml:space="preserve">Spotlight </w:t>
      </w:r>
      <w:r w:rsidRPr="00042303">
        <w:rPr>
          <w:b/>
          <w:sz w:val="24"/>
          <w:szCs w:val="24"/>
        </w:rPr>
        <w:t xml:space="preserve">Video </w:t>
      </w:r>
      <w:r>
        <w:rPr>
          <w:b/>
          <w:sz w:val="24"/>
          <w:szCs w:val="24"/>
        </w:rPr>
        <w:t>Series</w:t>
      </w:r>
      <w:r w:rsidRPr="00042303">
        <w:rPr>
          <w:b/>
          <w:sz w:val="24"/>
          <w:szCs w:val="24"/>
        </w:rPr>
        <w:t xml:space="preserve"> </w:t>
      </w:r>
      <w:r w:rsidRPr="00042303">
        <w:rPr>
          <w:b/>
          <w:sz w:val="24"/>
          <w:szCs w:val="24"/>
        </w:rPr>
        <w:br/>
      </w:r>
      <w:r w:rsidRPr="00116CC6">
        <w:rPr>
          <w:b/>
        </w:rPr>
        <w:t xml:space="preserve">Chapter </w:t>
      </w:r>
      <w:r>
        <w:rPr>
          <w:b/>
        </w:rPr>
        <w:t>9</w:t>
      </w:r>
      <w:r w:rsidRPr="00116CC6">
        <w:rPr>
          <w:b/>
        </w:rPr>
        <w:t xml:space="preserve"> – </w:t>
      </w:r>
      <w:r>
        <w:rPr>
          <w:b/>
        </w:rPr>
        <w:t>The Biggest and Simplest Accounting Fraud (approximately 4:00)</w:t>
      </w:r>
    </w:p>
    <w:p w14:paraId="4CD9CA2F" w14:textId="66426D8B" w:rsidR="00CD30FF" w:rsidRDefault="00CD30FF" w:rsidP="00CF18FE">
      <w:pPr>
        <w:pStyle w:val="BodyText"/>
        <w:spacing w:after="120"/>
        <w:jc w:val="left"/>
      </w:pPr>
      <w:r>
        <w:t>This video describes how the simple act of capitalizing expenses enabled WorldCom to mislead financial statement users. Students are invited to consider the judgment inherent in many seeming</w:t>
      </w:r>
      <w:r w:rsidR="00304D1D">
        <w:t>ly</w:t>
      </w:r>
      <w:r>
        <w:t xml:space="preserve"> simple accounting decisions.</w:t>
      </w:r>
    </w:p>
    <w:p w14:paraId="5A2E4B68" w14:textId="77777777" w:rsidR="000C4AAD" w:rsidRPr="00CB2DB3" w:rsidRDefault="000C4AAD" w:rsidP="00CF18FE">
      <w:pPr>
        <w:pStyle w:val="Heading1"/>
      </w:pPr>
      <w:r w:rsidRPr="00CB2DB3">
        <w:t>Chapter Summary</w:t>
      </w:r>
    </w:p>
    <w:p w14:paraId="3D0FC8EC" w14:textId="22367F4A" w:rsidR="00DF5CEC" w:rsidRPr="00DF5CEC" w:rsidRDefault="00DF5CEC" w:rsidP="00DF5CEC">
      <w:pPr>
        <w:pStyle w:val="BodyText"/>
        <w:spacing w:before="120" w:after="120"/>
        <w:jc w:val="left"/>
        <w:rPr>
          <w:b/>
          <w:bCs/>
        </w:rPr>
      </w:pPr>
      <w:r>
        <w:rPr>
          <w:b/>
          <w:bCs/>
        </w:rPr>
        <w:t xml:space="preserve">LO </w:t>
      </w:r>
      <w:r w:rsidR="00C45729">
        <w:rPr>
          <w:b/>
          <w:bCs/>
        </w:rPr>
        <w:t>9-</w:t>
      </w:r>
      <w:r>
        <w:rPr>
          <w:b/>
          <w:bCs/>
        </w:rPr>
        <w:t xml:space="preserve">1 </w:t>
      </w:r>
      <w:r w:rsidRPr="00DF5CEC">
        <w:rPr>
          <w:b/>
          <w:bCs/>
        </w:rPr>
        <w:t>Define, classify, and explain the nature of long-lived assets.</w:t>
      </w:r>
      <w:r>
        <w:rPr>
          <w:b/>
          <w:bCs/>
        </w:rPr>
        <w:t xml:space="preserve"> </w:t>
      </w:r>
    </w:p>
    <w:p w14:paraId="219BCE0B" w14:textId="1FBE0650" w:rsidR="00DF5CEC" w:rsidRPr="00DF5CEC" w:rsidRDefault="00DF5CEC" w:rsidP="00DF5CEC">
      <w:pPr>
        <w:pStyle w:val="BodyText"/>
        <w:numPr>
          <w:ilvl w:val="0"/>
          <w:numId w:val="1"/>
        </w:numPr>
        <w:spacing w:after="0"/>
        <w:jc w:val="left"/>
      </w:pPr>
      <w:r w:rsidRPr="00DF5CEC">
        <w:t>Long-lived assets are those that a business retains for long periods of time for use in the course</w:t>
      </w:r>
      <w:r>
        <w:t xml:space="preserve"> </w:t>
      </w:r>
      <w:r w:rsidRPr="00DF5CEC">
        <w:t>of normal operations rather than for sale. They may be divided into tangible assets (land,</w:t>
      </w:r>
      <w:r>
        <w:t xml:space="preserve"> </w:t>
      </w:r>
      <w:r w:rsidRPr="00DF5CEC">
        <w:t>buildings, equipment) and intangible assets (including goodwill, patents, and franchises).</w:t>
      </w:r>
    </w:p>
    <w:p w14:paraId="713C3A55" w14:textId="5804E907" w:rsidR="00DF5CEC" w:rsidRPr="00DF5CEC" w:rsidRDefault="00DF5CEC" w:rsidP="00DF5CEC">
      <w:pPr>
        <w:pStyle w:val="BodyText"/>
        <w:spacing w:before="120" w:after="120"/>
        <w:jc w:val="left"/>
        <w:rPr>
          <w:b/>
          <w:bCs/>
        </w:rPr>
      </w:pPr>
      <w:r>
        <w:rPr>
          <w:b/>
          <w:bCs/>
        </w:rPr>
        <w:t xml:space="preserve">LO </w:t>
      </w:r>
      <w:r w:rsidR="00C45729">
        <w:rPr>
          <w:b/>
          <w:bCs/>
        </w:rPr>
        <w:t>9-</w:t>
      </w:r>
      <w:r>
        <w:rPr>
          <w:b/>
          <w:bCs/>
        </w:rPr>
        <w:t xml:space="preserve">2 </w:t>
      </w:r>
      <w:r w:rsidRPr="00DF5CEC">
        <w:rPr>
          <w:b/>
          <w:bCs/>
        </w:rPr>
        <w:t>Apply the cost principle to the acquisition of long-lived assets.</w:t>
      </w:r>
      <w:r>
        <w:rPr>
          <w:b/>
          <w:bCs/>
        </w:rPr>
        <w:t xml:space="preserve"> </w:t>
      </w:r>
    </w:p>
    <w:p w14:paraId="2E96D3E1" w14:textId="4F6C93B3" w:rsidR="00DF5CEC" w:rsidRPr="00DF5CEC" w:rsidRDefault="00AF75C6" w:rsidP="00DF5CEC">
      <w:pPr>
        <w:pStyle w:val="BodyText"/>
        <w:numPr>
          <w:ilvl w:val="0"/>
          <w:numId w:val="1"/>
        </w:numPr>
        <w:spacing w:after="0"/>
        <w:jc w:val="left"/>
      </w:pPr>
      <w:r>
        <w:t>The a</w:t>
      </w:r>
      <w:r w:rsidRPr="00DF5CEC">
        <w:t xml:space="preserve">cquisition </w:t>
      </w:r>
      <w:r w:rsidR="00DF5CEC" w:rsidRPr="00DF5CEC">
        <w:t>cost of property, plant, and equipment is the cash-equivalent purchase price</w:t>
      </w:r>
      <w:r w:rsidR="00DF5CEC">
        <w:t xml:space="preserve"> </w:t>
      </w:r>
      <w:r w:rsidR="00DF5CEC" w:rsidRPr="00DF5CEC">
        <w:t>plus all reasonable and necessary expenditures made to acquire and prepare the asset for its</w:t>
      </w:r>
      <w:r w:rsidR="00DF5CEC">
        <w:t xml:space="preserve"> </w:t>
      </w:r>
      <w:r w:rsidR="00DF5CEC" w:rsidRPr="00DF5CEC">
        <w:t>intended use. Expenditures made after the asset is in use are either expensed or capitalized</w:t>
      </w:r>
      <w:r w:rsidR="00DF5CEC">
        <w:t xml:space="preserve"> </w:t>
      </w:r>
      <w:r w:rsidR="00DF5CEC" w:rsidRPr="00DF5CEC">
        <w:t>as a cost of the asset:</w:t>
      </w:r>
    </w:p>
    <w:p w14:paraId="6B4B2219" w14:textId="77777777" w:rsidR="00DF5CEC" w:rsidRPr="00DF5CEC" w:rsidRDefault="00DF5CEC" w:rsidP="00DF5CEC">
      <w:pPr>
        <w:pStyle w:val="BodyText"/>
        <w:spacing w:after="0"/>
        <w:ind w:left="936" w:hanging="288"/>
        <w:jc w:val="left"/>
      </w:pPr>
      <w:r>
        <w:t>a.</w:t>
      </w:r>
      <w:r>
        <w:tab/>
      </w:r>
      <w:r w:rsidRPr="00DF5CEC">
        <w:t>Expenditures are expensed if they recur frequently, involve relatively small amounts, and</w:t>
      </w:r>
      <w:r>
        <w:t xml:space="preserve"> </w:t>
      </w:r>
      <w:r w:rsidRPr="00DF5CEC">
        <w:t>do not directly lengthen the asset’s useful life. These are considered ordinary repairs and</w:t>
      </w:r>
      <w:r>
        <w:t xml:space="preserve"> </w:t>
      </w:r>
      <w:r w:rsidRPr="00DF5CEC">
        <w:t>maintenance expense.</w:t>
      </w:r>
    </w:p>
    <w:p w14:paraId="3C67FE3C" w14:textId="77777777" w:rsidR="00DF5CEC" w:rsidRPr="00DF5CEC" w:rsidRDefault="00DF5CEC" w:rsidP="00DF5CEC">
      <w:pPr>
        <w:pStyle w:val="BodyText"/>
        <w:spacing w:after="0"/>
        <w:ind w:left="936" w:hanging="288"/>
        <w:jc w:val="left"/>
      </w:pPr>
      <w:r>
        <w:t>b.</w:t>
      </w:r>
      <w:r>
        <w:tab/>
      </w:r>
      <w:r w:rsidRPr="00DF5CEC">
        <w:t>Expenditures are capitalized as a cost of the asset if they provide benefits for one or more</w:t>
      </w:r>
      <w:r>
        <w:t xml:space="preserve"> </w:t>
      </w:r>
      <w:r w:rsidRPr="00DF5CEC">
        <w:t>accounting periods beyond the current period. This category includes extraordinary</w:t>
      </w:r>
      <w:r>
        <w:t xml:space="preserve"> </w:t>
      </w:r>
      <w:r w:rsidRPr="00DF5CEC">
        <w:t>repairs, replacements, and additions.</w:t>
      </w:r>
    </w:p>
    <w:p w14:paraId="7C912606" w14:textId="136B11EC" w:rsidR="00DF5CEC" w:rsidRPr="00DF5CEC" w:rsidRDefault="00DF5CEC" w:rsidP="00DF5CEC">
      <w:pPr>
        <w:pStyle w:val="BodyText"/>
        <w:spacing w:before="120" w:after="120"/>
        <w:jc w:val="left"/>
        <w:rPr>
          <w:b/>
          <w:bCs/>
        </w:rPr>
      </w:pPr>
      <w:r>
        <w:rPr>
          <w:b/>
          <w:bCs/>
        </w:rPr>
        <w:t xml:space="preserve">LO </w:t>
      </w:r>
      <w:r w:rsidR="00C45729">
        <w:rPr>
          <w:b/>
          <w:bCs/>
        </w:rPr>
        <w:t>9-</w:t>
      </w:r>
      <w:r>
        <w:rPr>
          <w:b/>
          <w:bCs/>
        </w:rPr>
        <w:t xml:space="preserve">3 </w:t>
      </w:r>
      <w:r w:rsidRPr="00DF5CEC">
        <w:rPr>
          <w:b/>
          <w:bCs/>
        </w:rPr>
        <w:t>Apply various depreciation methods as economic benefits are used up over</w:t>
      </w:r>
      <w:r>
        <w:rPr>
          <w:b/>
          <w:bCs/>
        </w:rPr>
        <w:t xml:space="preserve"> </w:t>
      </w:r>
      <w:r w:rsidRPr="00DF5CEC">
        <w:rPr>
          <w:b/>
          <w:bCs/>
        </w:rPr>
        <w:t>time.</w:t>
      </w:r>
      <w:r>
        <w:rPr>
          <w:b/>
          <w:bCs/>
        </w:rPr>
        <w:t xml:space="preserve"> </w:t>
      </w:r>
    </w:p>
    <w:p w14:paraId="676CB966" w14:textId="77777777" w:rsidR="00DF5CEC" w:rsidRPr="00DF5CEC" w:rsidRDefault="00DF5CEC" w:rsidP="00DF5CEC">
      <w:pPr>
        <w:pStyle w:val="BodyText"/>
        <w:numPr>
          <w:ilvl w:val="0"/>
          <w:numId w:val="1"/>
        </w:numPr>
        <w:spacing w:after="0"/>
        <w:jc w:val="left"/>
      </w:pPr>
      <w:r w:rsidRPr="00DF5CEC">
        <w:t>In conformity with the matching principle, the cost of long-lived tangible assets (less any</w:t>
      </w:r>
      <w:r>
        <w:t xml:space="preserve"> </w:t>
      </w:r>
      <w:r w:rsidRPr="00DF5CEC">
        <w:t>estimated residual value) is allocated to depreciation expense over each period benefited by</w:t>
      </w:r>
      <w:r>
        <w:t xml:space="preserve"> </w:t>
      </w:r>
      <w:r w:rsidRPr="00DF5CEC">
        <w:t>the assets.</w:t>
      </w:r>
    </w:p>
    <w:p w14:paraId="51117CC2" w14:textId="77777777" w:rsidR="00DF5CEC" w:rsidRPr="00DF5CEC" w:rsidRDefault="00DF5CEC" w:rsidP="00DF5CEC">
      <w:pPr>
        <w:pStyle w:val="BodyText"/>
        <w:numPr>
          <w:ilvl w:val="0"/>
          <w:numId w:val="1"/>
        </w:numPr>
        <w:spacing w:after="0"/>
        <w:jc w:val="left"/>
      </w:pPr>
      <w:r w:rsidRPr="00DF5CEC">
        <w:t>Because of depreciation, the book value of an asset declines over time and net income is</w:t>
      </w:r>
      <w:r>
        <w:t xml:space="preserve"> </w:t>
      </w:r>
      <w:r w:rsidRPr="00DF5CEC">
        <w:t>reduced by the amount of the expense.</w:t>
      </w:r>
    </w:p>
    <w:p w14:paraId="26EBFE3D" w14:textId="77777777" w:rsidR="00DF5CEC" w:rsidRPr="00DF5CEC" w:rsidRDefault="00DF5CEC" w:rsidP="00DF5CEC">
      <w:pPr>
        <w:pStyle w:val="BodyText"/>
        <w:numPr>
          <w:ilvl w:val="0"/>
          <w:numId w:val="1"/>
        </w:numPr>
        <w:spacing w:after="0"/>
        <w:jc w:val="left"/>
      </w:pPr>
      <w:r w:rsidRPr="00DF5CEC">
        <w:t>Common depreciation methods include straight-line (a constant amount over time),</w:t>
      </w:r>
      <w:r>
        <w:t xml:space="preserve"> </w:t>
      </w:r>
      <w:r w:rsidRPr="00DF5CEC">
        <w:t>units-of-production (a variable amount over time), and double-declining-balance</w:t>
      </w:r>
      <w:r>
        <w:t xml:space="preserve"> </w:t>
      </w:r>
      <w:r w:rsidRPr="00DF5CEC">
        <w:t>(a decreasing amount over time).</w:t>
      </w:r>
    </w:p>
    <w:p w14:paraId="468522E1" w14:textId="0D9B40B0" w:rsidR="000D1B86" w:rsidRPr="00DF5CEC" w:rsidRDefault="000D1B86" w:rsidP="000D1B86">
      <w:pPr>
        <w:pStyle w:val="BodyText"/>
        <w:spacing w:before="120" w:after="120"/>
        <w:jc w:val="left"/>
        <w:rPr>
          <w:b/>
          <w:bCs/>
        </w:rPr>
      </w:pPr>
      <w:r>
        <w:rPr>
          <w:b/>
          <w:bCs/>
        </w:rPr>
        <w:t xml:space="preserve">LO 9-4 </w:t>
      </w:r>
      <w:r w:rsidRPr="00DF5CEC">
        <w:rPr>
          <w:b/>
          <w:bCs/>
        </w:rPr>
        <w:t>Explain the effect of asset impairment on the financial statements.</w:t>
      </w:r>
      <w:r>
        <w:rPr>
          <w:b/>
          <w:bCs/>
        </w:rPr>
        <w:t xml:space="preserve"> </w:t>
      </w:r>
    </w:p>
    <w:p w14:paraId="7C97FED5" w14:textId="77777777" w:rsidR="000D1B86" w:rsidRPr="00DF5CEC" w:rsidRDefault="000D1B86" w:rsidP="000D1B86">
      <w:pPr>
        <w:pStyle w:val="BodyText"/>
        <w:numPr>
          <w:ilvl w:val="0"/>
          <w:numId w:val="1"/>
        </w:numPr>
        <w:spacing w:after="0"/>
        <w:jc w:val="left"/>
      </w:pPr>
      <w:r w:rsidRPr="00DF5CEC">
        <w:t>When events or changes in circumstances reduce the estimated future cash flows of a long</w:t>
      </w:r>
      <w:r>
        <w:t>-</w:t>
      </w:r>
      <w:r w:rsidRPr="00DF5CEC">
        <w:t>lived</w:t>
      </w:r>
      <w:r>
        <w:t xml:space="preserve"> </w:t>
      </w:r>
      <w:r w:rsidRPr="00DF5CEC">
        <w:t>asset below its book value, the book value of the asset should be written down, with</w:t>
      </w:r>
      <w:r>
        <w:t xml:space="preserve"> </w:t>
      </w:r>
      <w:r w:rsidRPr="00DF5CEC">
        <w:t>the amount of the write-down reported as an impairment loss.</w:t>
      </w:r>
    </w:p>
    <w:p w14:paraId="6E181D33" w14:textId="180D4B06" w:rsidR="000D1B86" w:rsidRPr="00DF5CEC" w:rsidRDefault="000D1B86" w:rsidP="000D1B86">
      <w:pPr>
        <w:pStyle w:val="BodyText"/>
        <w:spacing w:before="120" w:after="120"/>
        <w:jc w:val="left"/>
        <w:rPr>
          <w:b/>
          <w:bCs/>
        </w:rPr>
      </w:pPr>
      <w:r>
        <w:rPr>
          <w:b/>
          <w:bCs/>
        </w:rPr>
        <w:t xml:space="preserve">LO 9-5 </w:t>
      </w:r>
      <w:r w:rsidRPr="00DF5CEC">
        <w:rPr>
          <w:b/>
          <w:bCs/>
        </w:rPr>
        <w:t>Analyze the disposal of long-lived tangible assets.</w:t>
      </w:r>
      <w:r>
        <w:rPr>
          <w:b/>
          <w:bCs/>
        </w:rPr>
        <w:t xml:space="preserve"> </w:t>
      </w:r>
    </w:p>
    <w:p w14:paraId="2E25160E" w14:textId="77777777" w:rsidR="000D1B86" w:rsidRDefault="000D1B86" w:rsidP="000D1B86">
      <w:pPr>
        <w:pStyle w:val="BodyText"/>
        <w:spacing w:after="0"/>
        <w:ind w:left="288"/>
        <w:jc w:val="left"/>
      </w:pPr>
      <w:r w:rsidRPr="00DF5CEC">
        <w:t>When assets are disposed of through sale or abandonment,</w:t>
      </w:r>
      <w:r>
        <w:t xml:space="preserve"> </w:t>
      </w:r>
    </w:p>
    <w:p w14:paraId="5FCBD98C" w14:textId="77777777" w:rsidR="000D1B86" w:rsidRPr="00DF5CEC" w:rsidRDefault="000D1B86" w:rsidP="000D1B86">
      <w:pPr>
        <w:pStyle w:val="BodyText"/>
        <w:numPr>
          <w:ilvl w:val="0"/>
          <w:numId w:val="1"/>
        </w:numPr>
        <w:spacing w:after="0"/>
        <w:jc w:val="left"/>
      </w:pPr>
      <w:r w:rsidRPr="00DF5CEC">
        <w:t>Record additional depreciation arising since the last adjustment was made.</w:t>
      </w:r>
    </w:p>
    <w:p w14:paraId="2A65AE1F" w14:textId="77777777" w:rsidR="000D1B86" w:rsidRPr="00DF5CEC" w:rsidRDefault="000D1B86" w:rsidP="000D1B86">
      <w:pPr>
        <w:pStyle w:val="BodyText"/>
        <w:numPr>
          <w:ilvl w:val="0"/>
          <w:numId w:val="1"/>
        </w:numPr>
        <w:spacing w:after="0"/>
        <w:jc w:val="left"/>
      </w:pPr>
      <w:r w:rsidRPr="00DF5CEC">
        <w:t>Remove the cost of the old asset and its related accumulated depreciation.</w:t>
      </w:r>
    </w:p>
    <w:p w14:paraId="19D5A212" w14:textId="77777777" w:rsidR="000D1B86" w:rsidRPr="00DF5CEC" w:rsidRDefault="000D1B86" w:rsidP="000D1B86">
      <w:pPr>
        <w:pStyle w:val="BodyText"/>
        <w:numPr>
          <w:ilvl w:val="0"/>
          <w:numId w:val="1"/>
        </w:numPr>
        <w:spacing w:after="0"/>
        <w:jc w:val="left"/>
      </w:pPr>
      <w:r w:rsidRPr="00DF5CEC">
        <w:t>Recognize the cash proceeds (if any).</w:t>
      </w:r>
    </w:p>
    <w:p w14:paraId="33B758F8" w14:textId="77777777" w:rsidR="000D1B86" w:rsidRPr="00DF5CEC" w:rsidRDefault="000D1B86" w:rsidP="000D1B86">
      <w:pPr>
        <w:pStyle w:val="BodyText"/>
        <w:numPr>
          <w:ilvl w:val="0"/>
          <w:numId w:val="1"/>
        </w:numPr>
        <w:spacing w:after="0"/>
        <w:jc w:val="left"/>
      </w:pPr>
      <w:r w:rsidRPr="00DF5CEC">
        <w:t>Recognize any gains or losses when the asset’s book value is not equal to the cash</w:t>
      </w:r>
      <w:r>
        <w:t xml:space="preserve"> </w:t>
      </w:r>
      <w:r w:rsidRPr="00DF5CEC">
        <w:t>received.</w:t>
      </w:r>
    </w:p>
    <w:p w14:paraId="1BDCE010" w14:textId="77777777" w:rsidR="00822723" w:rsidRDefault="00CB2DB3" w:rsidP="00822723">
      <w:pPr>
        <w:pStyle w:val="Heading1"/>
      </w:pPr>
      <w:r>
        <w:rPr>
          <w:bCs/>
        </w:rPr>
        <w:br w:type="page"/>
      </w:r>
      <w:r w:rsidR="00822723">
        <w:lastRenderedPageBreak/>
        <w:t>Chapter Summary</w:t>
      </w:r>
      <w:r w:rsidR="00822723" w:rsidRPr="003B10B3">
        <w:rPr>
          <w:u w:val="none"/>
        </w:rPr>
        <w:t>, continued</w:t>
      </w:r>
    </w:p>
    <w:p w14:paraId="038C819C" w14:textId="5103E9AA" w:rsidR="00DF5CEC" w:rsidRPr="00DF5CEC" w:rsidRDefault="00DF5CEC" w:rsidP="00DF5CEC">
      <w:pPr>
        <w:pStyle w:val="BodyText"/>
        <w:spacing w:before="120" w:after="120"/>
        <w:jc w:val="left"/>
        <w:rPr>
          <w:b/>
          <w:bCs/>
        </w:rPr>
      </w:pPr>
      <w:r>
        <w:rPr>
          <w:b/>
          <w:bCs/>
        </w:rPr>
        <w:t xml:space="preserve">LO </w:t>
      </w:r>
      <w:r w:rsidR="00C45729">
        <w:rPr>
          <w:b/>
          <w:bCs/>
        </w:rPr>
        <w:t>9-</w:t>
      </w:r>
      <w:r>
        <w:rPr>
          <w:b/>
          <w:bCs/>
        </w:rPr>
        <w:t xml:space="preserve">6 </w:t>
      </w:r>
      <w:r w:rsidRPr="00DF5CEC">
        <w:rPr>
          <w:b/>
          <w:bCs/>
        </w:rPr>
        <w:t>Analyze the acquisition, use, and disposal of long-lived intangible assets.</w:t>
      </w:r>
      <w:r>
        <w:rPr>
          <w:b/>
          <w:bCs/>
        </w:rPr>
        <w:t xml:space="preserve"> </w:t>
      </w:r>
    </w:p>
    <w:p w14:paraId="4054EF33" w14:textId="77777777" w:rsidR="00DF5CEC" w:rsidRPr="00DF5CEC" w:rsidRDefault="00DF5CEC" w:rsidP="00DF5CEC">
      <w:pPr>
        <w:pStyle w:val="BodyText"/>
        <w:numPr>
          <w:ilvl w:val="0"/>
          <w:numId w:val="1"/>
        </w:numPr>
        <w:spacing w:after="0"/>
        <w:jc w:val="left"/>
      </w:pPr>
      <w:r w:rsidRPr="00DF5CEC">
        <w:t>Intangible assets are recorded at cost, but only when purchased. The costs of most</w:t>
      </w:r>
      <w:r>
        <w:t xml:space="preserve"> </w:t>
      </w:r>
      <w:r w:rsidRPr="00DF5CEC">
        <w:t>internally developed intangible assets are expensed as research and development when</w:t>
      </w:r>
      <w:r>
        <w:t xml:space="preserve"> </w:t>
      </w:r>
      <w:r w:rsidRPr="00DF5CEC">
        <w:t>incurred.</w:t>
      </w:r>
    </w:p>
    <w:p w14:paraId="156953D8" w14:textId="77777777" w:rsidR="00DF5CEC" w:rsidRPr="00DF5CEC" w:rsidRDefault="00DF5CEC" w:rsidP="00DF5CEC">
      <w:pPr>
        <w:pStyle w:val="BodyText"/>
        <w:numPr>
          <w:ilvl w:val="0"/>
          <w:numId w:val="1"/>
        </w:numPr>
        <w:spacing w:after="0"/>
        <w:jc w:val="left"/>
      </w:pPr>
      <w:r w:rsidRPr="00DF5CEC">
        <w:t>Intangibles are reported at book value on the balance sheet.</w:t>
      </w:r>
    </w:p>
    <w:p w14:paraId="04C2308E" w14:textId="77777777" w:rsidR="00DF5CEC" w:rsidRPr="00DF5CEC" w:rsidRDefault="00DF5CEC" w:rsidP="00DF5CEC">
      <w:pPr>
        <w:pStyle w:val="BodyText"/>
        <w:numPr>
          <w:ilvl w:val="0"/>
          <w:numId w:val="1"/>
        </w:numPr>
        <w:spacing w:after="0"/>
        <w:jc w:val="left"/>
      </w:pPr>
      <w:r w:rsidRPr="00DF5CEC">
        <w:t>Amortization is calculated for intangibles with limited useful lives, using the straight-line</w:t>
      </w:r>
      <w:r>
        <w:t xml:space="preserve"> </w:t>
      </w:r>
      <w:r w:rsidRPr="00DF5CEC">
        <w:t>method.</w:t>
      </w:r>
    </w:p>
    <w:p w14:paraId="28CD7C12" w14:textId="77777777" w:rsidR="00DF5CEC" w:rsidRPr="00DF5CEC" w:rsidRDefault="00DF5CEC" w:rsidP="00DF5CEC">
      <w:pPr>
        <w:pStyle w:val="BodyText"/>
        <w:numPr>
          <w:ilvl w:val="0"/>
          <w:numId w:val="1"/>
        </w:numPr>
        <w:spacing w:after="0"/>
        <w:jc w:val="left"/>
      </w:pPr>
      <w:r w:rsidRPr="00DF5CEC">
        <w:t xml:space="preserve">Intangibles with unlimited useful lives, including </w:t>
      </w:r>
      <w:r w:rsidR="00DA6394">
        <w:t xml:space="preserve">most </w:t>
      </w:r>
      <w:r w:rsidRPr="00DF5CEC">
        <w:t>goodwill, are not amortized, but are</w:t>
      </w:r>
      <w:r>
        <w:t xml:space="preserve"> </w:t>
      </w:r>
      <w:r w:rsidRPr="00DF5CEC">
        <w:t>reviewed for impairment.</w:t>
      </w:r>
    </w:p>
    <w:p w14:paraId="6E1D9920" w14:textId="1E27F959" w:rsidR="00DF5CEC" w:rsidRPr="00DF5CEC" w:rsidRDefault="00DF5CEC" w:rsidP="00DF5CEC">
      <w:pPr>
        <w:pStyle w:val="BodyText"/>
        <w:spacing w:before="120" w:after="120"/>
        <w:jc w:val="left"/>
        <w:rPr>
          <w:b/>
          <w:bCs/>
        </w:rPr>
      </w:pPr>
      <w:r>
        <w:rPr>
          <w:b/>
          <w:bCs/>
        </w:rPr>
        <w:t xml:space="preserve">LO </w:t>
      </w:r>
      <w:r w:rsidR="00C45729">
        <w:rPr>
          <w:b/>
          <w:bCs/>
        </w:rPr>
        <w:t>9-</w:t>
      </w:r>
      <w:r>
        <w:rPr>
          <w:b/>
          <w:bCs/>
        </w:rPr>
        <w:t xml:space="preserve">7 </w:t>
      </w:r>
      <w:r w:rsidRPr="00DF5CEC">
        <w:rPr>
          <w:b/>
          <w:bCs/>
        </w:rPr>
        <w:t>Interpret the fixed asset turnover ratio.</w:t>
      </w:r>
      <w:r>
        <w:rPr>
          <w:b/>
          <w:bCs/>
        </w:rPr>
        <w:t xml:space="preserve"> </w:t>
      </w:r>
    </w:p>
    <w:p w14:paraId="0088519F" w14:textId="77777777" w:rsidR="00DF5CEC" w:rsidRPr="00DF5CEC" w:rsidRDefault="00DF5CEC" w:rsidP="00DF5CEC">
      <w:pPr>
        <w:pStyle w:val="BodyText"/>
        <w:numPr>
          <w:ilvl w:val="0"/>
          <w:numId w:val="1"/>
        </w:numPr>
        <w:spacing w:after="0"/>
        <w:jc w:val="left"/>
      </w:pPr>
      <w:r w:rsidRPr="00DF5CEC">
        <w:t>The fixed asset turnover ratio measures the company’s efficiency at using its investment</w:t>
      </w:r>
      <w:r>
        <w:t xml:space="preserve"> </w:t>
      </w:r>
      <w:r w:rsidRPr="00DF5CEC">
        <w:t>in property, plant, and equipment to generate sales. Higher turnover ratios imply greater</w:t>
      </w:r>
      <w:r>
        <w:t xml:space="preserve"> </w:t>
      </w:r>
      <w:r w:rsidRPr="00DF5CEC">
        <w:t>efficiency.</w:t>
      </w:r>
    </w:p>
    <w:p w14:paraId="08AFF0F2" w14:textId="7E9595F5" w:rsidR="00DF5CEC" w:rsidRPr="00DF5CEC" w:rsidRDefault="00DF5CEC" w:rsidP="00DF5CEC">
      <w:pPr>
        <w:pStyle w:val="BodyText"/>
        <w:spacing w:before="120" w:after="120"/>
        <w:jc w:val="left"/>
        <w:rPr>
          <w:b/>
          <w:bCs/>
        </w:rPr>
      </w:pPr>
      <w:r>
        <w:rPr>
          <w:b/>
          <w:bCs/>
        </w:rPr>
        <w:t xml:space="preserve">LO </w:t>
      </w:r>
      <w:r w:rsidR="00C45729">
        <w:rPr>
          <w:b/>
          <w:bCs/>
        </w:rPr>
        <w:t>9-</w:t>
      </w:r>
      <w:r>
        <w:rPr>
          <w:b/>
          <w:bCs/>
        </w:rPr>
        <w:t xml:space="preserve">8 </w:t>
      </w:r>
      <w:r w:rsidRPr="00DF5CEC">
        <w:rPr>
          <w:b/>
          <w:bCs/>
        </w:rPr>
        <w:t>Describe factors to consider when comparing companies’ long-lived assets.</w:t>
      </w:r>
      <w:r>
        <w:rPr>
          <w:b/>
          <w:bCs/>
        </w:rPr>
        <w:t xml:space="preserve"> </w:t>
      </w:r>
    </w:p>
    <w:p w14:paraId="60BB1F86" w14:textId="77777777" w:rsidR="00DF5CEC" w:rsidRDefault="00DF5CEC" w:rsidP="00DF5CEC">
      <w:pPr>
        <w:pStyle w:val="BodyText"/>
        <w:numPr>
          <w:ilvl w:val="0"/>
          <w:numId w:val="1"/>
        </w:numPr>
        <w:spacing w:after="0"/>
        <w:jc w:val="left"/>
      </w:pPr>
      <w:r w:rsidRPr="00DF5CEC">
        <w:t>Companies in different industries require different levels of investment in long-lived assets.</w:t>
      </w:r>
      <w:r>
        <w:t xml:space="preserve"> </w:t>
      </w:r>
      <w:r w:rsidRPr="00DF5CEC">
        <w:t>Beyond that, you should consider whether differences exist in depreciation methods,</w:t>
      </w:r>
      <w:r>
        <w:t xml:space="preserve"> </w:t>
      </w:r>
      <w:r w:rsidRPr="00DF5CEC">
        <w:t>estimated useful lives, and estimated residual values, which can affect the book value of</w:t>
      </w:r>
      <w:r>
        <w:t xml:space="preserve"> </w:t>
      </w:r>
      <w:r w:rsidRPr="00DF5CEC">
        <w:t>long-lived assets as well as ratios calculated using these book values and any gains or losses</w:t>
      </w:r>
      <w:r>
        <w:t xml:space="preserve"> </w:t>
      </w:r>
      <w:r w:rsidRPr="00DF5CEC">
        <w:t>reported at the time of asset disposal.</w:t>
      </w:r>
    </w:p>
    <w:p w14:paraId="05B53216" w14:textId="77777777" w:rsidR="00116354" w:rsidRPr="00CB2DB3" w:rsidRDefault="00A82C85" w:rsidP="00116354">
      <w:pPr>
        <w:pStyle w:val="BodyText"/>
        <w:spacing w:before="120" w:after="120"/>
        <w:ind w:left="288" w:hanging="288"/>
        <w:jc w:val="left"/>
        <w:rPr>
          <w:b/>
          <w:bCs/>
          <w:i/>
          <w:iCs/>
          <w:sz w:val="24"/>
          <w:szCs w:val="24"/>
        </w:rPr>
      </w:pPr>
      <w:r>
        <w:rPr>
          <w:b/>
          <w:bCs/>
          <w:i/>
          <w:iCs/>
          <w:sz w:val="24"/>
          <w:szCs w:val="24"/>
        </w:rPr>
        <w:t>Accounting Decision Tool</w:t>
      </w:r>
    </w:p>
    <w:p w14:paraId="134F1C0F" w14:textId="77777777" w:rsidR="00116354" w:rsidRPr="00CB2DB3" w:rsidRDefault="00A82C85" w:rsidP="00A82C85">
      <w:pPr>
        <w:pStyle w:val="BodyText"/>
        <w:spacing w:after="0"/>
        <w:jc w:val="left"/>
        <w:rPr>
          <w:b/>
        </w:rPr>
      </w:pPr>
      <w:r>
        <w:rPr>
          <w:b/>
        </w:rPr>
        <w:t>Fixed Assets</w:t>
      </w:r>
      <w:r w:rsidR="00116354" w:rsidRPr="00CB2DB3">
        <w:rPr>
          <w:b/>
        </w:rPr>
        <w:t xml:space="preserve"> Turnover Ratio = Net Sales Revenue ÷ Average </w:t>
      </w:r>
      <w:r>
        <w:rPr>
          <w:b/>
        </w:rPr>
        <w:t>Fixed Assets</w:t>
      </w:r>
    </w:p>
    <w:p w14:paraId="5CF4296A" w14:textId="77777777" w:rsidR="00116354" w:rsidRPr="00CB2DB3" w:rsidRDefault="00116354" w:rsidP="00116354">
      <w:pPr>
        <w:pStyle w:val="BodyText"/>
        <w:numPr>
          <w:ilvl w:val="0"/>
          <w:numId w:val="12"/>
        </w:numPr>
        <w:spacing w:after="0"/>
        <w:jc w:val="left"/>
      </w:pPr>
      <w:r w:rsidRPr="00CB2DB3">
        <w:t xml:space="preserve">It tells you </w:t>
      </w:r>
      <w:r w:rsidR="00A82C85">
        <w:t>dollars of sales generated for each dollar invested in (tangible) fixed assets.</w:t>
      </w:r>
    </w:p>
    <w:p w14:paraId="1DE5A9AB" w14:textId="77777777" w:rsidR="00C47851" w:rsidRDefault="00116354" w:rsidP="00116354">
      <w:pPr>
        <w:pStyle w:val="BodyText"/>
        <w:numPr>
          <w:ilvl w:val="0"/>
          <w:numId w:val="12"/>
        </w:numPr>
        <w:spacing w:after="0"/>
        <w:jc w:val="left"/>
      </w:pPr>
      <w:r w:rsidRPr="00CB2DB3">
        <w:t xml:space="preserve">A higher ratio </w:t>
      </w:r>
      <w:r w:rsidR="00A82C85">
        <w:t>implies greater efficiency.</w:t>
      </w:r>
      <w:r w:rsidRPr="00CB2DB3">
        <w:t xml:space="preserve"> </w:t>
      </w:r>
      <w:r w:rsidRPr="00CB2DB3">
        <w:br/>
      </w:r>
    </w:p>
    <w:p w14:paraId="0EAAB6A7" w14:textId="77777777" w:rsidR="00CB2DB3" w:rsidRPr="00BC2B2D" w:rsidRDefault="00CB2DB3">
      <w:pPr>
        <w:rPr>
          <w:sz w:val="4"/>
          <w:szCs w:val="4"/>
        </w:rPr>
      </w:pPr>
      <w:r>
        <w:rPr>
          <w:b/>
        </w:rPr>
        <w:br w:type="page"/>
      </w:r>
    </w:p>
    <w:tbl>
      <w:tblPr>
        <w:tblW w:w="0" w:type="auto"/>
        <w:tblLayout w:type="fixed"/>
        <w:tblLook w:val="01E0" w:firstRow="1" w:lastRow="1" w:firstColumn="1" w:lastColumn="1" w:noHBand="0" w:noVBand="0"/>
      </w:tblPr>
      <w:tblGrid>
        <w:gridCol w:w="6498"/>
        <w:gridCol w:w="2862"/>
      </w:tblGrid>
      <w:tr w:rsidR="00507ED2" w14:paraId="7C153950" w14:textId="77777777">
        <w:tc>
          <w:tcPr>
            <w:tcW w:w="6498" w:type="dxa"/>
            <w:tcBorders>
              <w:right w:val="single" w:sz="4" w:space="0" w:color="auto"/>
            </w:tcBorders>
          </w:tcPr>
          <w:p w14:paraId="462DDA9E" w14:textId="77777777" w:rsidR="00507ED2" w:rsidRPr="00507ED2" w:rsidRDefault="003C5492" w:rsidP="00CD480D">
            <w:pPr>
              <w:pStyle w:val="Heading1"/>
              <w:rPr>
                <w:bCs/>
              </w:rPr>
            </w:pPr>
            <w:r>
              <w:rPr>
                <w:rFonts w:ascii="Times New Roman" w:hAnsi="Times New Roman"/>
                <w:b w:val="0"/>
                <w:kern w:val="0"/>
                <w:sz w:val="22"/>
                <w:u w:val="none"/>
              </w:rPr>
              <w:lastRenderedPageBreak/>
              <w:br w:type="page"/>
            </w:r>
            <w:r>
              <w:rPr>
                <w:rFonts w:ascii="Times New Roman" w:hAnsi="Times New Roman"/>
                <w:b w:val="0"/>
                <w:kern w:val="0"/>
                <w:sz w:val="22"/>
                <w:u w:val="none"/>
              </w:rPr>
              <w:br w:type="page"/>
            </w:r>
            <w:r w:rsidR="00CD480D">
              <w:t>Chapter Outline</w:t>
            </w:r>
          </w:p>
        </w:tc>
        <w:tc>
          <w:tcPr>
            <w:tcW w:w="2862" w:type="dxa"/>
            <w:tcBorders>
              <w:left w:val="single" w:sz="4" w:space="0" w:color="auto"/>
            </w:tcBorders>
          </w:tcPr>
          <w:p w14:paraId="6828B0D8" w14:textId="77777777" w:rsidR="00507ED2" w:rsidRPr="00CD480D" w:rsidRDefault="0041057B" w:rsidP="00122122">
            <w:pPr>
              <w:pStyle w:val="Heading1"/>
            </w:pPr>
            <w:r w:rsidRPr="00CD480D">
              <w:t xml:space="preserve">Teaching </w:t>
            </w:r>
            <w:r w:rsidR="00507ED2" w:rsidRPr="00CD480D">
              <w:t>Notes</w:t>
            </w:r>
          </w:p>
        </w:tc>
      </w:tr>
      <w:tr w:rsidR="002F07A6" w14:paraId="23DFBB0B" w14:textId="77777777" w:rsidTr="005C4337">
        <w:tc>
          <w:tcPr>
            <w:tcW w:w="6498" w:type="dxa"/>
            <w:tcBorders>
              <w:bottom w:val="single" w:sz="4" w:space="0" w:color="auto"/>
              <w:right w:val="single" w:sz="4" w:space="0" w:color="auto"/>
            </w:tcBorders>
          </w:tcPr>
          <w:p w14:paraId="5544B303" w14:textId="77777777" w:rsidR="002F07A6" w:rsidRPr="00122122" w:rsidRDefault="002F07A6" w:rsidP="005320A5">
            <w:pPr>
              <w:pStyle w:val="TableBody"/>
            </w:pPr>
            <w:r w:rsidRPr="00122122">
              <w:t>I.</w:t>
            </w:r>
            <w:r w:rsidRPr="00122122">
              <w:tab/>
            </w:r>
            <w:r w:rsidRPr="00122122">
              <w:tab/>
            </w:r>
            <w:r w:rsidR="005320A5">
              <w:t>Understand the Business</w:t>
            </w:r>
          </w:p>
        </w:tc>
        <w:tc>
          <w:tcPr>
            <w:tcW w:w="2862" w:type="dxa"/>
            <w:tcBorders>
              <w:left w:val="single" w:sz="4" w:space="0" w:color="auto"/>
              <w:bottom w:val="single" w:sz="4" w:space="0" w:color="auto"/>
            </w:tcBorders>
          </w:tcPr>
          <w:p w14:paraId="47946B28" w14:textId="77777777" w:rsidR="002F07A6" w:rsidRDefault="002F07A6" w:rsidP="00122122">
            <w:pPr>
              <w:pStyle w:val="TableBody"/>
            </w:pPr>
          </w:p>
        </w:tc>
      </w:tr>
      <w:tr w:rsidR="005C4337" w:rsidRPr="005C4337" w14:paraId="7137EE1A" w14:textId="77777777" w:rsidTr="00C70A1D">
        <w:tc>
          <w:tcPr>
            <w:tcW w:w="9360" w:type="dxa"/>
            <w:gridSpan w:val="2"/>
            <w:tcBorders>
              <w:top w:val="single" w:sz="4" w:space="0" w:color="auto"/>
              <w:left w:val="single" w:sz="4" w:space="0" w:color="auto"/>
              <w:bottom w:val="single" w:sz="4" w:space="0" w:color="auto"/>
              <w:right w:val="single" w:sz="4" w:space="0" w:color="auto"/>
            </w:tcBorders>
          </w:tcPr>
          <w:p w14:paraId="591762D8" w14:textId="4BA6D4E9" w:rsidR="005C4337" w:rsidRPr="005C4337" w:rsidRDefault="005C4337" w:rsidP="00852C29">
            <w:pPr>
              <w:pStyle w:val="TableBody"/>
              <w:spacing w:before="60" w:after="60"/>
              <w:rPr>
                <w:b/>
                <w:i/>
              </w:rPr>
            </w:pPr>
            <w:r w:rsidRPr="005C4337">
              <w:rPr>
                <w:b/>
                <w:i/>
              </w:rPr>
              <w:t xml:space="preserve">LO </w:t>
            </w:r>
            <w:r w:rsidR="00C45729" w:rsidRPr="00C45729">
              <w:rPr>
                <w:b/>
                <w:bCs/>
                <w:i/>
              </w:rPr>
              <w:t>9-</w:t>
            </w:r>
            <w:r w:rsidRPr="005C4337">
              <w:rPr>
                <w:b/>
                <w:i/>
              </w:rPr>
              <w:t>1 Define, classify, and explain the nature of long-lived assets.</w:t>
            </w:r>
          </w:p>
        </w:tc>
      </w:tr>
      <w:tr w:rsidR="002F07A6" w14:paraId="7B4A2A3D" w14:textId="77777777" w:rsidTr="005C4337">
        <w:tc>
          <w:tcPr>
            <w:tcW w:w="6498" w:type="dxa"/>
            <w:tcBorders>
              <w:top w:val="single" w:sz="4" w:space="0" w:color="auto"/>
              <w:right w:val="single" w:sz="4" w:space="0" w:color="auto"/>
            </w:tcBorders>
          </w:tcPr>
          <w:p w14:paraId="09B66265" w14:textId="5A42C0B1" w:rsidR="002F07A6" w:rsidRPr="00122122" w:rsidRDefault="002F07A6" w:rsidP="003F0535">
            <w:pPr>
              <w:pStyle w:val="TableBody"/>
              <w:ind w:left="576"/>
              <w:rPr>
                <w:i/>
                <w:iCs/>
              </w:rPr>
            </w:pPr>
            <w:r w:rsidRPr="00122122">
              <w:t>A</w:t>
            </w:r>
            <w:r w:rsidRPr="00122122">
              <w:tab/>
            </w:r>
            <w:r w:rsidR="005320A5" w:rsidRPr="005320A5">
              <w:t xml:space="preserve">Definition </w:t>
            </w:r>
            <w:r w:rsidR="003F0535">
              <w:t>a</w:t>
            </w:r>
            <w:r w:rsidR="003F0535" w:rsidRPr="005320A5">
              <w:t xml:space="preserve">nd </w:t>
            </w:r>
            <w:r w:rsidR="005320A5" w:rsidRPr="005320A5">
              <w:t>Classification</w:t>
            </w:r>
            <w:r w:rsidR="0036578B" w:rsidRPr="00122122">
              <w:rPr>
                <w:i/>
                <w:iCs/>
              </w:rPr>
              <w:t xml:space="preserve"> </w:t>
            </w:r>
          </w:p>
        </w:tc>
        <w:tc>
          <w:tcPr>
            <w:tcW w:w="2862" w:type="dxa"/>
            <w:tcBorders>
              <w:top w:val="single" w:sz="4" w:space="0" w:color="auto"/>
              <w:left w:val="single" w:sz="4" w:space="0" w:color="auto"/>
            </w:tcBorders>
          </w:tcPr>
          <w:p w14:paraId="34E9756A" w14:textId="77777777" w:rsidR="002F07A6" w:rsidRDefault="002F07A6" w:rsidP="00122122">
            <w:pPr>
              <w:pStyle w:val="TableBody"/>
            </w:pPr>
          </w:p>
        </w:tc>
      </w:tr>
      <w:tr w:rsidR="002F07A6" w14:paraId="31E7F281" w14:textId="77777777">
        <w:tc>
          <w:tcPr>
            <w:tcW w:w="6498" w:type="dxa"/>
            <w:tcBorders>
              <w:right w:val="single" w:sz="4" w:space="0" w:color="auto"/>
            </w:tcBorders>
          </w:tcPr>
          <w:p w14:paraId="674351FB" w14:textId="77777777" w:rsidR="002F07A6" w:rsidRPr="004B05FA" w:rsidRDefault="002F07A6" w:rsidP="005C4337">
            <w:pPr>
              <w:pStyle w:val="TableBody"/>
              <w:ind w:left="1152" w:hanging="288"/>
            </w:pPr>
            <w:r w:rsidRPr="00122122">
              <w:t>1.</w:t>
            </w:r>
            <w:r w:rsidRPr="00122122">
              <w:tab/>
            </w:r>
            <w:r w:rsidR="005320A5" w:rsidRPr="00FE2A3F">
              <w:rPr>
                <w:b/>
              </w:rPr>
              <w:t>Long-lived assets</w:t>
            </w:r>
            <w:r w:rsidR="00FE2A3F">
              <w:t>–</w:t>
            </w:r>
            <w:r w:rsidR="00FE2A3F" w:rsidRPr="00FE2A3F">
              <w:t>–</w:t>
            </w:r>
            <w:r w:rsidR="004B05FA">
              <w:t>R</w:t>
            </w:r>
            <w:r w:rsidR="004B05FA" w:rsidRPr="004B05FA">
              <w:t>esources owned by a business</w:t>
            </w:r>
            <w:r w:rsidR="004B05FA">
              <w:t xml:space="preserve"> </w:t>
            </w:r>
            <w:r w:rsidR="004B05FA" w:rsidRPr="004B05FA">
              <w:t>that enable it to produce the</w:t>
            </w:r>
            <w:r w:rsidR="004B05FA">
              <w:t xml:space="preserve"> </w:t>
            </w:r>
            <w:r w:rsidR="004B05FA" w:rsidRPr="004B05FA">
              <w:t>goods on services that are</w:t>
            </w:r>
            <w:r w:rsidR="004B05FA">
              <w:t xml:space="preserve"> s</w:t>
            </w:r>
            <w:r w:rsidR="004B05FA" w:rsidRPr="004B05FA">
              <w:t>old</w:t>
            </w:r>
            <w:r w:rsidR="004B05FA">
              <w:t xml:space="preserve"> </w:t>
            </w:r>
            <w:r w:rsidR="004B05FA" w:rsidRPr="004B05FA">
              <w:t>to customers.</w:t>
            </w:r>
            <w:r w:rsidR="0079387C" w:rsidRPr="0079387C">
              <w:t xml:space="preserve"> Long-lived assets include the following:</w:t>
            </w:r>
          </w:p>
        </w:tc>
        <w:tc>
          <w:tcPr>
            <w:tcW w:w="2862" w:type="dxa"/>
            <w:tcBorders>
              <w:left w:val="single" w:sz="4" w:space="0" w:color="auto"/>
            </w:tcBorders>
          </w:tcPr>
          <w:p w14:paraId="1CACF2B6" w14:textId="77777777" w:rsidR="002F07A6" w:rsidRDefault="002F07A6" w:rsidP="00E1016D">
            <w:pPr>
              <w:pStyle w:val="TableBody"/>
              <w:ind w:left="360"/>
            </w:pPr>
          </w:p>
        </w:tc>
      </w:tr>
      <w:tr w:rsidR="0079387C" w14:paraId="401DC5EB" w14:textId="77777777">
        <w:tc>
          <w:tcPr>
            <w:tcW w:w="6498" w:type="dxa"/>
            <w:tcBorders>
              <w:right w:val="single" w:sz="4" w:space="0" w:color="auto"/>
            </w:tcBorders>
          </w:tcPr>
          <w:p w14:paraId="2A4F1628" w14:textId="4DE71C2B" w:rsidR="0079387C" w:rsidRPr="00FE2A3F" w:rsidRDefault="0079387C" w:rsidP="00FE2A3F">
            <w:pPr>
              <w:pStyle w:val="TableBody"/>
              <w:ind w:left="1440" w:hanging="288"/>
            </w:pPr>
            <w:r w:rsidRPr="00FE2A3F">
              <w:t>a.</w:t>
            </w:r>
            <w:r w:rsidRPr="00FE2A3F">
              <w:tab/>
              <w:t>Tangible assets</w:t>
            </w:r>
            <w:r w:rsidR="000868B6">
              <w:t>–</w:t>
            </w:r>
            <w:r w:rsidR="000868B6" w:rsidRPr="00FE2A3F">
              <w:t>–</w:t>
            </w:r>
            <w:r w:rsidR="00FE2A3F">
              <w:t>L</w:t>
            </w:r>
            <w:r w:rsidRPr="00FE2A3F">
              <w:t xml:space="preserve">ong-lived assets that have physical substance, which simply means that you can see, touch, or kick them. </w:t>
            </w:r>
          </w:p>
        </w:tc>
        <w:tc>
          <w:tcPr>
            <w:tcW w:w="2862" w:type="dxa"/>
            <w:tcBorders>
              <w:left w:val="single" w:sz="4" w:space="0" w:color="auto"/>
            </w:tcBorders>
          </w:tcPr>
          <w:p w14:paraId="3711C776" w14:textId="77777777" w:rsidR="0079387C" w:rsidRDefault="0079387C" w:rsidP="00122122">
            <w:pPr>
              <w:pStyle w:val="TableBody"/>
            </w:pPr>
          </w:p>
        </w:tc>
      </w:tr>
      <w:tr w:rsidR="0079387C" w14:paraId="7F7D20D3" w14:textId="77777777">
        <w:tc>
          <w:tcPr>
            <w:tcW w:w="6498" w:type="dxa"/>
            <w:tcBorders>
              <w:right w:val="single" w:sz="4" w:space="0" w:color="auto"/>
            </w:tcBorders>
          </w:tcPr>
          <w:p w14:paraId="513EB039" w14:textId="77777777" w:rsidR="0079387C" w:rsidRPr="00FE2A3F" w:rsidRDefault="00B35464" w:rsidP="00F343B1">
            <w:pPr>
              <w:pStyle w:val="TableBody"/>
              <w:ind w:left="1728" w:hanging="288"/>
            </w:pPr>
            <w:r w:rsidRPr="00FE2A3F">
              <w:t>i.</w:t>
            </w:r>
            <w:r w:rsidRPr="00FE2A3F">
              <w:tab/>
            </w:r>
            <w:r w:rsidR="00B2557A" w:rsidRPr="00FE2A3F">
              <w:t xml:space="preserve">Examples include </w:t>
            </w:r>
            <w:r w:rsidR="0079387C" w:rsidRPr="00FE2A3F">
              <w:t xml:space="preserve">are land, buildings, </w:t>
            </w:r>
            <w:r w:rsidR="00F343B1" w:rsidRPr="00FE2A3F">
              <w:t>machinery, vehicles</w:t>
            </w:r>
            <w:r w:rsidR="0079387C" w:rsidRPr="00FE2A3F">
              <w:t>, office equipment, and furniture and fixtures</w:t>
            </w:r>
            <w:r w:rsidRPr="00FE2A3F">
              <w:t xml:space="preserve">; </w:t>
            </w:r>
            <w:r w:rsidR="0079387C" w:rsidRPr="00FE2A3F">
              <w:t xml:space="preserve">typically grouped into a single line item on the balance sheet called </w:t>
            </w:r>
            <w:r w:rsidRPr="00FE2A3F">
              <w:t>P</w:t>
            </w:r>
            <w:r w:rsidR="0079387C" w:rsidRPr="00FE2A3F">
              <w:t xml:space="preserve">roperty, </w:t>
            </w:r>
            <w:r w:rsidRPr="00FE2A3F">
              <w:t>P</w:t>
            </w:r>
            <w:r w:rsidR="0079387C" w:rsidRPr="00FE2A3F">
              <w:t xml:space="preserve">lant, and </w:t>
            </w:r>
            <w:r w:rsidRPr="00FE2A3F">
              <w:t>E</w:t>
            </w:r>
            <w:r w:rsidR="0079387C" w:rsidRPr="00FE2A3F">
              <w:t xml:space="preserve">quipment. </w:t>
            </w:r>
          </w:p>
        </w:tc>
        <w:tc>
          <w:tcPr>
            <w:tcW w:w="2862" w:type="dxa"/>
            <w:tcBorders>
              <w:left w:val="single" w:sz="4" w:space="0" w:color="auto"/>
            </w:tcBorders>
          </w:tcPr>
          <w:p w14:paraId="6CFB4B1A" w14:textId="77777777" w:rsidR="0079387C" w:rsidRDefault="00B2557A" w:rsidP="00B2557A">
            <w:pPr>
              <w:pStyle w:val="TableBody"/>
            </w:pPr>
            <w:r>
              <w:t>Cedar Fair’s fixed assets are illustrated in Exhibit 9.1</w:t>
            </w:r>
          </w:p>
        </w:tc>
      </w:tr>
      <w:tr w:rsidR="00B35464" w14:paraId="6CE18872" w14:textId="77777777">
        <w:tc>
          <w:tcPr>
            <w:tcW w:w="6498" w:type="dxa"/>
            <w:tcBorders>
              <w:right w:val="single" w:sz="4" w:space="0" w:color="auto"/>
            </w:tcBorders>
          </w:tcPr>
          <w:p w14:paraId="7E612C92" w14:textId="77777777" w:rsidR="00B35464" w:rsidRPr="00FE2A3F" w:rsidRDefault="00B35464" w:rsidP="00C40DE0">
            <w:pPr>
              <w:pStyle w:val="TableBody"/>
              <w:ind w:left="1728" w:hanging="288"/>
            </w:pPr>
            <w:r w:rsidRPr="00FE2A3F">
              <w:t>ii.</w:t>
            </w:r>
            <w:r w:rsidRPr="00FE2A3F">
              <w:tab/>
            </w:r>
            <w:r w:rsidR="00C40DE0" w:rsidRPr="00FE2A3F">
              <w:t>They are also known as fixed assets b</w:t>
            </w:r>
            <w:r w:rsidRPr="00FE2A3F">
              <w:t xml:space="preserve">ecause </w:t>
            </w:r>
            <w:r w:rsidR="00C40DE0" w:rsidRPr="00FE2A3F">
              <w:t xml:space="preserve">they are often </w:t>
            </w:r>
            <w:r w:rsidRPr="00FE2A3F">
              <w:t>fi</w:t>
            </w:r>
            <w:r w:rsidR="00C40DE0" w:rsidRPr="00FE2A3F">
              <w:t>xed in place</w:t>
            </w:r>
            <w:r w:rsidRPr="00FE2A3F">
              <w:t>.</w:t>
            </w:r>
          </w:p>
        </w:tc>
        <w:tc>
          <w:tcPr>
            <w:tcW w:w="2862" w:type="dxa"/>
            <w:tcBorders>
              <w:left w:val="single" w:sz="4" w:space="0" w:color="auto"/>
            </w:tcBorders>
          </w:tcPr>
          <w:p w14:paraId="70F7C8DC" w14:textId="77777777" w:rsidR="00B35464" w:rsidRDefault="00B35464" w:rsidP="00122122">
            <w:pPr>
              <w:pStyle w:val="TableBody"/>
            </w:pPr>
          </w:p>
        </w:tc>
      </w:tr>
      <w:tr w:rsidR="0079387C" w14:paraId="1224A5EA" w14:textId="77777777">
        <w:tc>
          <w:tcPr>
            <w:tcW w:w="6498" w:type="dxa"/>
            <w:tcBorders>
              <w:right w:val="single" w:sz="4" w:space="0" w:color="auto"/>
            </w:tcBorders>
          </w:tcPr>
          <w:p w14:paraId="233C663E" w14:textId="77777777" w:rsidR="0079387C" w:rsidRPr="00FE2A3F" w:rsidRDefault="0079387C" w:rsidP="00FE2A3F">
            <w:pPr>
              <w:pStyle w:val="TableBody"/>
              <w:ind w:left="1440" w:hanging="288"/>
            </w:pPr>
            <w:r w:rsidRPr="00FE2A3F">
              <w:t>b.</w:t>
            </w:r>
            <w:r w:rsidRPr="00FE2A3F">
              <w:tab/>
              <w:t>Intangible assets–</w:t>
            </w:r>
            <w:r w:rsidR="00FE2A3F" w:rsidRPr="00FE2A3F">
              <w:t>–</w:t>
            </w:r>
            <w:r w:rsidR="00FE2A3F">
              <w:t>L</w:t>
            </w:r>
            <w:r w:rsidRPr="00FE2A3F">
              <w:t xml:space="preserve">ong-lived assets </w:t>
            </w:r>
            <w:r w:rsidR="00FE2A3F">
              <w:t xml:space="preserve">that </w:t>
            </w:r>
            <w:r w:rsidRPr="00FE2A3F">
              <w:t>have special rights but no physical substance</w:t>
            </w:r>
            <w:r w:rsidR="00B35464" w:rsidRPr="00FE2A3F">
              <w:t xml:space="preserve">; the </w:t>
            </w:r>
            <w:r w:rsidRPr="00FE2A3F">
              <w:t>existence of most intangible assets is indicated only by legal documents that describe certain legal rights.</w:t>
            </w:r>
          </w:p>
        </w:tc>
        <w:tc>
          <w:tcPr>
            <w:tcW w:w="2862" w:type="dxa"/>
            <w:tcBorders>
              <w:left w:val="single" w:sz="4" w:space="0" w:color="auto"/>
            </w:tcBorders>
          </w:tcPr>
          <w:p w14:paraId="5F2B107E" w14:textId="77777777" w:rsidR="0079387C" w:rsidRDefault="0079387C" w:rsidP="00122122">
            <w:pPr>
              <w:pStyle w:val="TableBody"/>
            </w:pPr>
          </w:p>
        </w:tc>
      </w:tr>
      <w:tr w:rsidR="004B05FA" w14:paraId="31FF94D7" w14:textId="77777777">
        <w:tc>
          <w:tcPr>
            <w:tcW w:w="6498" w:type="dxa"/>
            <w:tcBorders>
              <w:right w:val="single" w:sz="4" w:space="0" w:color="auto"/>
            </w:tcBorders>
          </w:tcPr>
          <w:p w14:paraId="22FDCA51" w14:textId="77777777" w:rsidR="004B05FA" w:rsidRPr="00FE2A3F" w:rsidRDefault="004B05FA" w:rsidP="00FE2A3F">
            <w:pPr>
              <w:pStyle w:val="TableBody"/>
              <w:ind w:left="1440" w:hanging="288"/>
            </w:pPr>
            <w:r w:rsidRPr="00FE2A3F">
              <w:t>c.</w:t>
            </w:r>
            <w:r w:rsidRPr="00FE2A3F">
              <w:tab/>
              <w:t>Natural resources––</w:t>
            </w:r>
            <w:r w:rsidR="00FE2A3F">
              <w:t>L</w:t>
            </w:r>
            <w:r w:rsidRPr="00FE2A3F">
              <w:t>ong-lived assets that are depleted over time, like an oil well or gold mine</w:t>
            </w:r>
            <w:r w:rsidR="00FE2A3F">
              <w:t>.</w:t>
            </w:r>
          </w:p>
        </w:tc>
        <w:tc>
          <w:tcPr>
            <w:tcW w:w="2862" w:type="dxa"/>
            <w:tcBorders>
              <w:left w:val="single" w:sz="4" w:space="0" w:color="auto"/>
            </w:tcBorders>
          </w:tcPr>
          <w:p w14:paraId="7D4743C3" w14:textId="77777777" w:rsidR="004B05FA" w:rsidRPr="00B35464" w:rsidRDefault="004B05FA" w:rsidP="00B35464">
            <w:pPr>
              <w:pStyle w:val="TableBody"/>
              <w:rPr>
                <w:i/>
              </w:rPr>
            </w:pPr>
            <w:r w:rsidRPr="00B35464">
              <w:rPr>
                <w:i/>
              </w:rPr>
              <w:t xml:space="preserve">Chapter Supplement </w:t>
            </w:r>
            <w:r w:rsidR="00B35464">
              <w:rPr>
                <w:i/>
              </w:rPr>
              <w:t>9</w:t>
            </w:r>
            <w:r w:rsidRPr="00B35464">
              <w:rPr>
                <w:i/>
              </w:rPr>
              <w:t xml:space="preserve">A </w:t>
            </w:r>
            <w:r w:rsidR="00B35464">
              <w:rPr>
                <w:i/>
              </w:rPr>
              <w:t xml:space="preserve">addresses </w:t>
            </w:r>
            <w:r w:rsidRPr="00B35464">
              <w:rPr>
                <w:i/>
              </w:rPr>
              <w:t>natural resource</w:t>
            </w:r>
            <w:r w:rsidR="00B35464">
              <w:rPr>
                <w:i/>
              </w:rPr>
              <w:t>s</w:t>
            </w:r>
            <w:r w:rsidRPr="00B35464">
              <w:rPr>
                <w:i/>
              </w:rPr>
              <w:t>.</w:t>
            </w:r>
          </w:p>
        </w:tc>
      </w:tr>
      <w:tr w:rsidR="004D5488" w14:paraId="771F1AAE" w14:textId="77777777">
        <w:tc>
          <w:tcPr>
            <w:tcW w:w="6498" w:type="dxa"/>
            <w:tcBorders>
              <w:right w:val="single" w:sz="4" w:space="0" w:color="auto"/>
            </w:tcBorders>
          </w:tcPr>
          <w:p w14:paraId="34FDBF78" w14:textId="77777777" w:rsidR="004D5488" w:rsidRPr="00122122" w:rsidRDefault="009D3434" w:rsidP="009D3434">
            <w:pPr>
              <w:pStyle w:val="TableBody"/>
              <w:ind w:left="288" w:hanging="288"/>
            </w:pPr>
            <w:r>
              <w:t xml:space="preserve">II. </w:t>
            </w:r>
            <w:r>
              <w:tab/>
            </w:r>
            <w:r>
              <w:tab/>
              <w:t>Study the Accounting Methods</w:t>
            </w:r>
          </w:p>
        </w:tc>
        <w:tc>
          <w:tcPr>
            <w:tcW w:w="2862" w:type="dxa"/>
            <w:tcBorders>
              <w:left w:val="single" w:sz="4" w:space="0" w:color="auto"/>
            </w:tcBorders>
          </w:tcPr>
          <w:p w14:paraId="05A71D63" w14:textId="77777777" w:rsidR="004D5488" w:rsidRDefault="004D5488" w:rsidP="00122122">
            <w:pPr>
              <w:pStyle w:val="TableBody"/>
            </w:pPr>
          </w:p>
        </w:tc>
      </w:tr>
      <w:tr w:rsidR="00B35464" w:rsidRPr="005C4337" w14:paraId="2767F492" w14:textId="77777777" w:rsidTr="001822E4">
        <w:tc>
          <w:tcPr>
            <w:tcW w:w="9360" w:type="dxa"/>
            <w:gridSpan w:val="2"/>
            <w:tcBorders>
              <w:top w:val="single" w:sz="4" w:space="0" w:color="auto"/>
              <w:left w:val="single" w:sz="4" w:space="0" w:color="auto"/>
              <w:bottom w:val="single" w:sz="4" w:space="0" w:color="auto"/>
              <w:right w:val="single" w:sz="4" w:space="0" w:color="auto"/>
            </w:tcBorders>
          </w:tcPr>
          <w:p w14:paraId="7F4F7C7E" w14:textId="36307D9B" w:rsidR="00B35464" w:rsidRPr="005C4337" w:rsidRDefault="00B35464" w:rsidP="00852C29">
            <w:pPr>
              <w:pStyle w:val="TableBody"/>
              <w:spacing w:before="60" w:after="60"/>
              <w:rPr>
                <w:b/>
                <w:i/>
              </w:rPr>
            </w:pPr>
            <w:r w:rsidRPr="005C4337">
              <w:rPr>
                <w:b/>
                <w:i/>
              </w:rPr>
              <w:t>LO</w:t>
            </w:r>
            <w:r w:rsidR="00C45729">
              <w:rPr>
                <w:b/>
                <w:i/>
              </w:rPr>
              <w:t xml:space="preserve"> </w:t>
            </w:r>
            <w:r w:rsidR="00C45729" w:rsidRPr="00C45729">
              <w:rPr>
                <w:b/>
                <w:bCs/>
                <w:i/>
              </w:rPr>
              <w:t>9-</w:t>
            </w:r>
            <w:r w:rsidRPr="005C4337">
              <w:rPr>
                <w:b/>
                <w:i/>
              </w:rPr>
              <w:t>2 Apply the cost principle to the acquisition of long-lived assets.</w:t>
            </w:r>
          </w:p>
        </w:tc>
      </w:tr>
      <w:tr w:rsidR="009D3434" w14:paraId="3AB02D38" w14:textId="77777777" w:rsidTr="00B35464">
        <w:tc>
          <w:tcPr>
            <w:tcW w:w="6498" w:type="dxa"/>
            <w:tcBorders>
              <w:right w:val="single" w:sz="4" w:space="0" w:color="auto"/>
            </w:tcBorders>
          </w:tcPr>
          <w:p w14:paraId="5A1E562F" w14:textId="77777777" w:rsidR="009D3434" w:rsidRPr="009D3434" w:rsidRDefault="009D3434" w:rsidP="0036578B">
            <w:pPr>
              <w:pStyle w:val="TableBody"/>
              <w:ind w:left="576"/>
              <w:rPr>
                <w:iCs/>
              </w:rPr>
            </w:pPr>
            <w:r w:rsidRPr="009D3434">
              <w:rPr>
                <w:iCs/>
              </w:rPr>
              <w:t>A.</w:t>
            </w:r>
            <w:r w:rsidRPr="009D3434">
              <w:rPr>
                <w:iCs/>
              </w:rPr>
              <w:tab/>
            </w:r>
            <w:r w:rsidR="00C60A4F">
              <w:rPr>
                <w:iCs/>
              </w:rPr>
              <w:t xml:space="preserve">Acquisition of </w:t>
            </w:r>
            <w:r w:rsidRPr="009D3434">
              <w:rPr>
                <w:iCs/>
              </w:rPr>
              <w:t>Tangible Assets</w:t>
            </w:r>
          </w:p>
        </w:tc>
        <w:tc>
          <w:tcPr>
            <w:tcW w:w="2862" w:type="dxa"/>
            <w:tcBorders>
              <w:left w:val="single" w:sz="4" w:space="0" w:color="auto"/>
            </w:tcBorders>
          </w:tcPr>
          <w:p w14:paraId="58DD3E69" w14:textId="77777777" w:rsidR="009D3434" w:rsidRDefault="009D3434" w:rsidP="00122122">
            <w:pPr>
              <w:pStyle w:val="TableBody"/>
            </w:pPr>
          </w:p>
        </w:tc>
      </w:tr>
      <w:tr w:rsidR="005320A5" w14:paraId="141B09C9" w14:textId="77777777" w:rsidTr="00766794">
        <w:trPr>
          <w:trHeight w:val="891"/>
        </w:trPr>
        <w:tc>
          <w:tcPr>
            <w:tcW w:w="6498" w:type="dxa"/>
            <w:tcBorders>
              <w:right w:val="single" w:sz="4" w:space="0" w:color="auto"/>
            </w:tcBorders>
          </w:tcPr>
          <w:p w14:paraId="13C3867A" w14:textId="77777777" w:rsidR="005320A5" w:rsidRPr="005676B4" w:rsidRDefault="005676B4" w:rsidP="00FE2A3F">
            <w:pPr>
              <w:pStyle w:val="TableBody"/>
              <w:ind w:left="1152" w:hanging="288"/>
            </w:pPr>
            <w:r>
              <w:t>1.</w:t>
            </w:r>
            <w:r>
              <w:tab/>
            </w:r>
            <w:r w:rsidR="00FE2A3F">
              <w:t>G</w:t>
            </w:r>
            <w:r w:rsidRPr="005676B4">
              <w:t xml:space="preserve">eneral rule </w:t>
            </w:r>
            <w:r w:rsidR="00FE2A3F">
              <w:t xml:space="preserve">under </w:t>
            </w:r>
            <w:r w:rsidRPr="005676B4">
              <w:t>the cost principle is that all reasonable and necessary costs of acquiring and preparing an asset for use should be</w:t>
            </w:r>
            <w:r w:rsidR="00443203">
              <w:t xml:space="preserve"> </w:t>
            </w:r>
            <w:r w:rsidRPr="005676B4">
              <w:t>recorded</w:t>
            </w:r>
            <w:r w:rsidR="00B35464">
              <w:t xml:space="preserve"> </w:t>
            </w:r>
            <w:r w:rsidRPr="005676B4">
              <w:t xml:space="preserve">as a cost of the asset. </w:t>
            </w:r>
          </w:p>
        </w:tc>
        <w:tc>
          <w:tcPr>
            <w:tcW w:w="2862" w:type="dxa"/>
            <w:tcBorders>
              <w:left w:val="single" w:sz="4" w:space="0" w:color="auto"/>
            </w:tcBorders>
          </w:tcPr>
          <w:p w14:paraId="4F0AB496" w14:textId="77777777" w:rsidR="00B2557A" w:rsidRDefault="005C4337" w:rsidP="005C4337">
            <w:pPr>
              <w:pStyle w:val="TableBody"/>
              <w:numPr>
                <w:ilvl w:val="0"/>
                <w:numId w:val="10"/>
              </w:numPr>
              <w:ind w:left="360"/>
            </w:pPr>
            <w:r>
              <w:t xml:space="preserve">Video Spotlight </w:t>
            </w:r>
            <w:r w:rsidR="00E1016D">
              <w:t xml:space="preserve">Series - </w:t>
            </w:r>
            <w:r>
              <w:t xml:space="preserve">Chapter </w:t>
            </w:r>
            <w:r w:rsidR="00E1016D">
              <w:t>9</w:t>
            </w:r>
          </w:p>
          <w:p w14:paraId="68BEB628" w14:textId="77777777" w:rsidR="00B2557A" w:rsidRDefault="00B2557A" w:rsidP="00B2557A">
            <w:pPr>
              <w:pStyle w:val="TableBody"/>
            </w:pPr>
          </w:p>
          <w:p w14:paraId="775F0A4C" w14:textId="77777777" w:rsidR="005320A5" w:rsidRDefault="00B2557A" w:rsidP="0094509B">
            <w:pPr>
              <w:pStyle w:val="TableBody"/>
            </w:pPr>
            <w:r w:rsidRPr="00DC54C7">
              <w:t xml:space="preserve">The “Spotlight on </w:t>
            </w:r>
            <w:r>
              <w:t>Ethics</w:t>
            </w:r>
            <w:r w:rsidRPr="00DC54C7">
              <w:t xml:space="preserve">” </w:t>
            </w:r>
          </w:p>
        </w:tc>
      </w:tr>
      <w:tr w:rsidR="00C60A4F" w14:paraId="107B7390" w14:textId="77777777">
        <w:tc>
          <w:tcPr>
            <w:tcW w:w="6498" w:type="dxa"/>
            <w:tcBorders>
              <w:right w:val="single" w:sz="4" w:space="0" w:color="auto"/>
            </w:tcBorders>
          </w:tcPr>
          <w:p w14:paraId="6C532761" w14:textId="7D4F70EE" w:rsidR="00C60A4F" w:rsidRPr="005676B4" w:rsidRDefault="005676B4" w:rsidP="0094509B">
            <w:pPr>
              <w:pStyle w:val="TableBody"/>
              <w:ind w:left="1152" w:hanging="288"/>
            </w:pPr>
            <w:r>
              <w:t>2.</w:t>
            </w:r>
            <w:r>
              <w:tab/>
            </w:r>
            <w:r w:rsidR="0094509B" w:rsidRPr="0094509B">
              <w:rPr>
                <w:b/>
              </w:rPr>
              <w:t>C</w:t>
            </w:r>
            <w:r w:rsidRPr="005676B4">
              <w:rPr>
                <w:b/>
              </w:rPr>
              <w:t>apitalize</w:t>
            </w:r>
            <w:r w:rsidR="0094509B">
              <w:t xml:space="preserve">––To record a cost as </w:t>
            </w:r>
            <w:r w:rsidRPr="005676B4">
              <w:t>an asset</w:t>
            </w:r>
            <w:r w:rsidR="00B35464">
              <w:t xml:space="preserve"> (</w:t>
            </w:r>
            <w:r w:rsidRPr="005676B4">
              <w:t>rather than an</w:t>
            </w:r>
            <w:r>
              <w:t xml:space="preserve"> </w:t>
            </w:r>
            <w:r w:rsidRPr="005676B4">
              <w:t>expense</w:t>
            </w:r>
            <w:r w:rsidR="00B35464">
              <w:t>)</w:t>
            </w:r>
            <w:r w:rsidRPr="005676B4">
              <w:t>.</w:t>
            </w:r>
          </w:p>
        </w:tc>
        <w:tc>
          <w:tcPr>
            <w:tcW w:w="2862" w:type="dxa"/>
            <w:tcBorders>
              <w:left w:val="single" w:sz="4" w:space="0" w:color="auto"/>
            </w:tcBorders>
          </w:tcPr>
          <w:p w14:paraId="4D1A9964" w14:textId="77777777" w:rsidR="00C60A4F" w:rsidRDefault="00B2557A" w:rsidP="00B2557A">
            <w:pPr>
              <w:pStyle w:val="TableBody"/>
            </w:pPr>
            <w:r w:rsidRPr="00DC54C7">
              <w:t>feature addres</w:t>
            </w:r>
            <w:r>
              <w:t>ses improper  capitalization of expenses</w:t>
            </w:r>
            <w:r w:rsidR="009D0D1A">
              <w:t>.</w:t>
            </w:r>
            <w:r>
              <w:t xml:space="preserve"> </w:t>
            </w:r>
          </w:p>
        </w:tc>
      </w:tr>
      <w:tr w:rsidR="00C60A4F" w14:paraId="5E240239" w14:textId="77777777">
        <w:tc>
          <w:tcPr>
            <w:tcW w:w="6498" w:type="dxa"/>
            <w:tcBorders>
              <w:right w:val="single" w:sz="4" w:space="0" w:color="auto"/>
            </w:tcBorders>
          </w:tcPr>
          <w:p w14:paraId="6B0D13CE" w14:textId="77777777" w:rsidR="00C60A4F" w:rsidRPr="005676B4" w:rsidRDefault="005676B4" w:rsidP="00FE2A3F">
            <w:pPr>
              <w:pStyle w:val="TableBody"/>
              <w:ind w:left="1152" w:hanging="288"/>
            </w:pPr>
            <w:r w:rsidRPr="005676B4">
              <w:t>3.</w:t>
            </w:r>
            <w:r w:rsidRPr="005676B4">
              <w:tab/>
              <w:t xml:space="preserve">Costs that are capitalized </w:t>
            </w:r>
            <w:r w:rsidR="00FE2A3F">
              <w:t xml:space="preserve">upon acquisition </w:t>
            </w:r>
            <w:r w:rsidRPr="005676B4">
              <w:t>include:</w:t>
            </w:r>
          </w:p>
        </w:tc>
        <w:tc>
          <w:tcPr>
            <w:tcW w:w="2862" w:type="dxa"/>
            <w:tcBorders>
              <w:left w:val="single" w:sz="4" w:space="0" w:color="auto"/>
            </w:tcBorders>
          </w:tcPr>
          <w:p w14:paraId="6FBDC463" w14:textId="77777777" w:rsidR="00C60A4F" w:rsidRDefault="00C60A4F" w:rsidP="00122122">
            <w:pPr>
              <w:pStyle w:val="TableBody"/>
            </w:pPr>
          </w:p>
        </w:tc>
      </w:tr>
      <w:tr w:rsidR="00C60A4F" w14:paraId="111F6E3E" w14:textId="77777777">
        <w:tc>
          <w:tcPr>
            <w:tcW w:w="6498" w:type="dxa"/>
            <w:tcBorders>
              <w:right w:val="single" w:sz="4" w:space="0" w:color="auto"/>
            </w:tcBorders>
          </w:tcPr>
          <w:p w14:paraId="26763314" w14:textId="77777777" w:rsidR="005676B4" w:rsidRDefault="005676B4" w:rsidP="005676B4">
            <w:pPr>
              <w:pStyle w:val="TableBody"/>
              <w:ind w:left="1152"/>
            </w:pPr>
            <w:r w:rsidRPr="005676B4">
              <w:t>a.</w:t>
            </w:r>
            <w:r w:rsidRPr="005676B4">
              <w:tab/>
              <w:t>Land</w:t>
            </w:r>
          </w:p>
          <w:p w14:paraId="1F924F19" w14:textId="77777777" w:rsidR="005676B4" w:rsidRPr="00766794" w:rsidRDefault="005676B4" w:rsidP="00766794">
            <w:pPr>
              <w:pStyle w:val="TableBody"/>
              <w:numPr>
                <w:ilvl w:val="0"/>
                <w:numId w:val="19"/>
              </w:numPr>
              <w:ind w:left="1530" w:hanging="90"/>
            </w:pPr>
            <w:r w:rsidRPr="005676B4">
              <w:t>Purchase cost</w:t>
            </w:r>
          </w:p>
          <w:p w14:paraId="4AF13AD6" w14:textId="77777777" w:rsidR="005676B4" w:rsidRPr="00766794" w:rsidRDefault="005676B4" w:rsidP="00766794">
            <w:pPr>
              <w:pStyle w:val="TableBody"/>
              <w:numPr>
                <w:ilvl w:val="0"/>
                <w:numId w:val="19"/>
              </w:numPr>
              <w:ind w:left="1530" w:hanging="90"/>
            </w:pPr>
            <w:r w:rsidRPr="005676B4">
              <w:t>Legal fees</w:t>
            </w:r>
          </w:p>
          <w:p w14:paraId="2A1C245F" w14:textId="6BAC618E" w:rsidR="00B948D9" w:rsidRDefault="005676B4" w:rsidP="00766794">
            <w:pPr>
              <w:pStyle w:val="TableBody"/>
              <w:numPr>
                <w:ilvl w:val="0"/>
                <w:numId w:val="19"/>
              </w:numPr>
              <w:ind w:left="1530" w:hanging="90"/>
            </w:pPr>
            <w:r w:rsidRPr="005676B4">
              <w:t>Survey fees</w:t>
            </w:r>
          </w:p>
          <w:p w14:paraId="5CB41619" w14:textId="4F27719B" w:rsidR="00C60A4F" w:rsidRPr="00766794" w:rsidRDefault="00B948D9" w:rsidP="00766794">
            <w:pPr>
              <w:pStyle w:val="TableBody"/>
              <w:numPr>
                <w:ilvl w:val="0"/>
                <w:numId w:val="19"/>
              </w:numPr>
              <w:ind w:left="1530" w:hanging="90"/>
            </w:pPr>
            <w:r>
              <w:t>Title search fees</w:t>
            </w:r>
          </w:p>
        </w:tc>
        <w:tc>
          <w:tcPr>
            <w:tcW w:w="2862" w:type="dxa"/>
            <w:tcBorders>
              <w:left w:val="single" w:sz="4" w:space="0" w:color="auto"/>
            </w:tcBorders>
          </w:tcPr>
          <w:p w14:paraId="03C0A8FC" w14:textId="77777777" w:rsidR="00C60A4F" w:rsidRPr="00B35464" w:rsidRDefault="005676B4" w:rsidP="00B35464">
            <w:pPr>
              <w:pStyle w:val="TableBody"/>
              <w:rPr>
                <w:i/>
              </w:rPr>
            </w:pPr>
            <w:r w:rsidRPr="00B35464">
              <w:rPr>
                <w:i/>
              </w:rPr>
              <w:t xml:space="preserve">Stress that the </w:t>
            </w:r>
            <w:r w:rsidR="00B35464">
              <w:rPr>
                <w:i/>
              </w:rPr>
              <w:t xml:space="preserve">capitalized </w:t>
            </w:r>
            <w:r w:rsidRPr="00B35464">
              <w:rPr>
                <w:i/>
              </w:rPr>
              <w:t>costs are not just</w:t>
            </w:r>
            <w:r w:rsidR="00811E4F" w:rsidRPr="00B35464">
              <w:rPr>
                <w:i/>
              </w:rPr>
              <w:t xml:space="preserve"> the </w:t>
            </w:r>
            <w:r w:rsidRPr="00B35464">
              <w:rPr>
                <w:i/>
              </w:rPr>
              <w:t>amounts paid to purchase or construct the assets.</w:t>
            </w:r>
          </w:p>
        </w:tc>
      </w:tr>
      <w:tr w:rsidR="005676B4" w14:paraId="4EEE4BB2" w14:textId="77777777">
        <w:tc>
          <w:tcPr>
            <w:tcW w:w="6498" w:type="dxa"/>
            <w:tcBorders>
              <w:right w:val="single" w:sz="4" w:space="0" w:color="auto"/>
            </w:tcBorders>
          </w:tcPr>
          <w:p w14:paraId="7DD4F7D1" w14:textId="77777777" w:rsidR="005676B4" w:rsidRPr="005676B4" w:rsidRDefault="005676B4" w:rsidP="00766794">
            <w:pPr>
              <w:pStyle w:val="TableBody"/>
              <w:ind w:left="1152"/>
              <w:rPr>
                <w:rFonts w:ascii="Arial" w:eastAsiaTheme="majorEastAsia" w:hAnsi="Arial" w:cstheme="majorBidi"/>
                <w:b/>
                <w:i/>
                <w:iCs/>
                <w:caps/>
                <w:color w:val="404040" w:themeColor="text1" w:themeTint="BF"/>
              </w:rPr>
            </w:pPr>
            <w:r w:rsidRPr="005676B4">
              <w:t>b.</w:t>
            </w:r>
            <w:r w:rsidRPr="005676B4">
              <w:tab/>
              <w:t>Buildings</w:t>
            </w:r>
          </w:p>
          <w:p w14:paraId="6E340F13" w14:textId="77777777" w:rsidR="005676B4" w:rsidRPr="00766794" w:rsidRDefault="005676B4" w:rsidP="00766794">
            <w:pPr>
              <w:pStyle w:val="TableBody"/>
              <w:numPr>
                <w:ilvl w:val="0"/>
                <w:numId w:val="24"/>
              </w:numPr>
              <w:ind w:left="1530" w:hanging="90"/>
            </w:pPr>
            <w:r w:rsidRPr="005676B4">
              <w:t>Purchase/construction cost</w:t>
            </w:r>
          </w:p>
          <w:p w14:paraId="5E33395F" w14:textId="77777777" w:rsidR="005676B4" w:rsidRPr="00766794" w:rsidRDefault="005676B4" w:rsidP="00766794">
            <w:pPr>
              <w:pStyle w:val="TableBody"/>
              <w:numPr>
                <w:ilvl w:val="0"/>
                <w:numId w:val="24"/>
              </w:numPr>
              <w:ind w:left="1530" w:hanging="90"/>
            </w:pPr>
            <w:r w:rsidRPr="005676B4">
              <w:t>Legal fees</w:t>
            </w:r>
          </w:p>
          <w:p w14:paraId="6E2CD9E2" w14:textId="77777777" w:rsidR="005676B4" w:rsidRPr="00766794" w:rsidRDefault="005676B4" w:rsidP="00766794">
            <w:pPr>
              <w:pStyle w:val="TableBody"/>
              <w:numPr>
                <w:ilvl w:val="0"/>
                <w:numId w:val="24"/>
              </w:numPr>
              <w:ind w:left="1530" w:hanging="90"/>
            </w:pPr>
            <w:r w:rsidRPr="005676B4">
              <w:t>Appraisal fees</w:t>
            </w:r>
          </w:p>
          <w:p w14:paraId="49AFB447" w14:textId="77777777" w:rsidR="005676B4" w:rsidRPr="00766794" w:rsidRDefault="005676B4" w:rsidP="00766794">
            <w:pPr>
              <w:pStyle w:val="TableBody"/>
              <w:numPr>
                <w:ilvl w:val="0"/>
                <w:numId w:val="24"/>
              </w:numPr>
              <w:ind w:left="1530" w:hanging="90"/>
            </w:pPr>
            <w:r w:rsidRPr="005676B4">
              <w:t>Architect fees</w:t>
            </w:r>
          </w:p>
        </w:tc>
        <w:tc>
          <w:tcPr>
            <w:tcW w:w="2862" w:type="dxa"/>
            <w:tcBorders>
              <w:left w:val="single" w:sz="4" w:space="0" w:color="auto"/>
            </w:tcBorders>
          </w:tcPr>
          <w:p w14:paraId="74A3E753" w14:textId="77777777" w:rsidR="005676B4" w:rsidRDefault="005676B4" w:rsidP="002D518A">
            <w:pPr>
              <w:pStyle w:val="TableBody"/>
              <w:ind w:left="1440"/>
            </w:pPr>
          </w:p>
        </w:tc>
      </w:tr>
    </w:tbl>
    <w:p w14:paraId="26DABEE9" w14:textId="77777777" w:rsidR="005676B4" w:rsidRPr="00766794" w:rsidRDefault="005676B4" w:rsidP="00766794">
      <w:pPr>
        <w:pStyle w:val="TableBody"/>
        <w:numPr>
          <w:ilvl w:val="0"/>
          <w:numId w:val="24"/>
        </w:numPr>
        <w:ind w:left="1530" w:hanging="90"/>
      </w:pPr>
      <w:r>
        <w:br w:type="page"/>
      </w:r>
    </w:p>
    <w:tbl>
      <w:tblPr>
        <w:tblW w:w="0" w:type="auto"/>
        <w:tblLayout w:type="fixed"/>
        <w:tblLook w:val="01E0" w:firstRow="1" w:lastRow="1" w:firstColumn="1" w:lastColumn="1" w:noHBand="0" w:noVBand="0"/>
      </w:tblPr>
      <w:tblGrid>
        <w:gridCol w:w="6498"/>
        <w:gridCol w:w="2862"/>
      </w:tblGrid>
      <w:tr w:rsidR="005676B4" w:rsidRPr="00CD480D" w14:paraId="35D74D47" w14:textId="77777777">
        <w:tc>
          <w:tcPr>
            <w:tcW w:w="6498" w:type="dxa"/>
            <w:tcBorders>
              <w:right w:val="single" w:sz="4" w:space="0" w:color="auto"/>
            </w:tcBorders>
          </w:tcPr>
          <w:p w14:paraId="30DAC2EB" w14:textId="77777777" w:rsidR="005676B4" w:rsidRPr="00507ED2" w:rsidRDefault="005676B4" w:rsidP="005676B4">
            <w:pPr>
              <w:pStyle w:val="Heading1"/>
              <w:rPr>
                <w:bCs/>
              </w:rPr>
            </w:pPr>
            <w:r>
              <w:rPr>
                <w:rFonts w:ascii="Times New Roman" w:hAnsi="Times New Roman"/>
                <w:b w:val="0"/>
                <w:kern w:val="0"/>
                <w:sz w:val="22"/>
                <w:u w:val="none"/>
              </w:rPr>
              <w:lastRenderedPageBreak/>
              <w:br w:type="page"/>
            </w:r>
            <w:r>
              <w:rPr>
                <w:rFonts w:ascii="Times New Roman" w:hAnsi="Times New Roman"/>
                <w:b w:val="0"/>
                <w:kern w:val="0"/>
                <w:sz w:val="22"/>
                <w:u w:val="none"/>
              </w:rPr>
              <w:br w:type="page"/>
            </w:r>
            <w:r>
              <w:t>Chapter Outline</w:t>
            </w:r>
          </w:p>
        </w:tc>
        <w:tc>
          <w:tcPr>
            <w:tcW w:w="2862" w:type="dxa"/>
            <w:tcBorders>
              <w:left w:val="single" w:sz="4" w:space="0" w:color="auto"/>
            </w:tcBorders>
          </w:tcPr>
          <w:p w14:paraId="537475C8" w14:textId="77777777" w:rsidR="005676B4" w:rsidRPr="00CD480D" w:rsidRDefault="005676B4" w:rsidP="005676B4">
            <w:pPr>
              <w:pStyle w:val="Heading1"/>
            </w:pPr>
            <w:r w:rsidRPr="00CD480D">
              <w:t>Teaching Notes</w:t>
            </w:r>
          </w:p>
        </w:tc>
      </w:tr>
      <w:tr w:rsidR="005676B4" w14:paraId="77C92734" w14:textId="77777777">
        <w:tc>
          <w:tcPr>
            <w:tcW w:w="6498" w:type="dxa"/>
            <w:tcBorders>
              <w:right w:val="single" w:sz="4" w:space="0" w:color="auto"/>
            </w:tcBorders>
          </w:tcPr>
          <w:p w14:paraId="1FBC6B8B" w14:textId="77777777" w:rsidR="005676B4" w:rsidRPr="005676B4" w:rsidRDefault="005676B4" w:rsidP="005676B4">
            <w:pPr>
              <w:pStyle w:val="TableBody"/>
              <w:ind w:left="1440" w:hanging="288"/>
            </w:pPr>
            <w:r>
              <w:t>c.</w:t>
            </w:r>
            <w:r>
              <w:tab/>
            </w:r>
            <w:r w:rsidRPr="005676B4">
              <w:t>Equipment</w:t>
            </w:r>
          </w:p>
          <w:p w14:paraId="1A7689AB" w14:textId="77777777" w:rsidR="005676B4" w:rsidRPr="00766794" w:rsidRDefault="005676B4" w:rsidP="00766794">
            <w:pPr>
              <w:pStyle w:val="TableBody"/>
              <w:numPr>
                <w:ilvl w:val="0"/>
                <w:numId w:val="27"/>
              </w:numPr>
            </w:pPr>
            <w:r w:rsidRPr="005676B4">
              <w:t>Purchase/construction cost</w:t>
            </w:r>
          </w:p>
          <w:p w14:paraId="508C1440" w14:textId="77777777" w:rsidR="005676B4" w:rsidRPr="00766794" w:rsidRDefault="005676B4" w:rsidP="00766794">
            <w:pPr>
              <w:pStyle w:val="TableBody"/>
              <w:numPr>
                <w:ilvl w:val="0"/>
                <w:numId w:val="27"/>
              </w:numPr>
            </w:pPr>
            <w:r w:rsidRPr="005676B4">
              <w:t>Sales taxes</w:t>
            </w:r>
          </w:p>
          <w:p w14:paraId="4FA2B6C8" w14:textId="77777777" w:rsidR="00B948D9" w:rsidRPr="00766794" w:rsidRDefault="005676B4" w:rsidP="00766794">
            <w:pPr>
              <w:pStyle w:val="TableBody"/>
              <w:numPr>
                <w:ilvl w:val="0"/>
                <w:numId w:val="27"/>
              </w:numPr>
            </w:pPr>
            <w:r w:rsidRPr="005676B4">
              <w:t>Transportation costs</w:t>
            </w:r>
            <w:r w:rsidR="00B948D9">
              <w:t xml:space="preserve"> </w:t>
            </w:r>
          </w:p>
          <w:p w14:paraId="5D2FD458" w14:textId="75F82EFA" w:rsidR="005676B4" w:rsidRPr="00343DC5" w:rsidRDefault="00D04B84" w:rsidP="00343DC5">
            <w:pPr>
              <w:pStyle w:val="TableBody"/>
              <w:numPr>
                <w:ilvl w:val="0"/>
                <w:numId w:val="27"/>
              </w:numPr>
            </w:pPr>
            <w:r>
              <w:t>Installation costs</w:t>
            </w:r>
            <w:bookmarkStart w:id="0" w:name="_GoBack"/>
            <w:bookmarkEnd w:id="0"/>
          </w:p>
        </w:tc>
        <w:tc>
          <w:tcPr>
            <w:tcW w:w="2862" w:type="dxa"/>
            <w:tcBorders>
              <w:left w:val="single" w:sz="4" w:space="0" w:color="auto"/>
            </w:tcBorders>
          </w:tcPr>
          <w:p w14:paraId="0EF212D5" w14:textId="77777777" w:rsidR="005676B4" w:rsidRDefault="005676B4" w:rsidP="00122122">
            <w:pPr>
              <w:pStyle w:val="TableBody"/>
            </w:pPr>
          </w:p>
        </w:tc>
      </w:tr>
      <w:tr w:rsidR="005676B4" w14:paraId="7CF83B7D" w14:textId="77777777">
        <w:tc>
          <w:tcPr>
            <w:tcW w:w="6498" w:type="dxa"/>
            <w:tcBorders>
              <w:right w:val="single" w:sz="4" w:space="0" w:color="auto"/>
            </w:tcBorders>
          </w:tcPr>
          <w:p w14:paraId="7AF1EE13" w14:textId="77777777" w:rsidR="005676B4" w:rsidRPr="00592DB6" w:rsidRDefault="00592DB6" w:rsidP="00FE2A3F">
            <w:pPr>
              <w:pStyle w:val="TableBody"/>
              <w:ind w:left="1440" w:hanging="288"/>
            </w:pPr>
            <w:r w:rsidRPr="00592DB6">
              <w:t>d.</w:t>
            </w:r>
            <w:r w:rsidRPr="00592DB6">
              <w:tab/>
            </w:r>
            <w:r w:rsidR="00FE2A3F">
              <w:t>D</w:t>
            </w:r>
            <w:r w:rsidRPr="00592DB6">
              <w:t xml:space="preserve">emolition, renovation, or repair costs </w:t>
            </w:r>
            <w:r w:rsidR="00FE2A3F">
              <w:t xml:space="preserve">incurred </w:t>
            </w:r>
            <w:r w:rsidRPr="00592DB6">
              <w:t xml:space="preserve">before </w:t>
            </w:r>
            <w:r w:rsidR="002B6C50">
              <w:t xml:space="preserve">the long-lived tangible asset </w:t>
            </w:r>
            <w:r w:rsidRPr="00592DB6">
              <w:t>can be used</w:t>
            </w:r>
            <w:r w:rsidR="00FE2A3F">
              <w:t xml:space="preserve"> are </w:t>
            </w:r>
            <w:r w:rsidRPr="00592DB6">
              <w:t>capitalized</w:t>
            </w:r>
            <w:r w:rsidR="002B6C50">
              <w:t xml:space="preserve"> because they</w:t>
            </w:r>
            <w:r w:rsidRPr="00592DB6">
              <w:t xml:space="preserve"> are needed to prepare the asset for use.</w:t>
            </w:r>
          </w:p>
        </w:tc>
        <w:tc>
          <w:tcPr>
            <w:tcW w:w="2862" w:type="dxa"/>
            <w:tcBorders>
              <w:left w:val="single" w:sz="4" w:space="0" w:color="auto"/>
            </w:tcBorders>
          </w:tcPr>
          <w:p w14:paraId="2E47363B" w14:textId="77777777" w:rsidR="005676B4" w:rsidRDefault="005676B4" w:rsidP="00122122">
            <w:pPr>
              <w:pStyle w:val="TableBody"/>
            </w:pPr>
          </w:p>
        </w:tc>
      </w:tr>
      <w:tr w:rsidR="00592DB6" w14:paraId="7CFA822D" w14:textId="77777777">
        <w:tc>
          <w:tcPr>
            <w:tcW w:w="6498" w:type="dxa"/>
            <w:tcBorders>
              <w:right w:val="single" w:sz="4" w:space="0" w:color="auto"/>
            </w:tcBorders>
          </w:tcPr>
          <w:p w14:paraId="5A0F243E" w14:textId="77777777" w:rsidR="00592DB6" w:rsidRPr="00592DB6" w:rsidRDefault="00592DB6" w:rsidP="002B6C50">
            <w:pPr>
              <w:pStyle w:val="TableBody"/>
              <w:ind w:left="1152" w:hanging="288"/>
            </w:pPr>
            <w:r>
              <w:t>4.</w:t>
            </w:r>
            <w:r>
              <w:tab/>
            </w:r>
            <w:r w:rsidRPr="00592DB6">
              <w:t xml:space="preserve">When </w:t>
            </w:r>
            <w:r w:rsidR="002B6C50">
              <w:t xml:space="preserve">a </w:t>
            </w:r>
            <w:r w:rsidRPr="00592DB6">
              <w:t>“basket purchase” occurs, the total cost is split between each asset in proportion to the market value of the assets as a whole.</w:t>
            </w:r>
          </w:p>
        </w:tc>
        <w:tc>
          <w:tcPr>
            <w:tcW w:w="2862" w:type="dxa"/>
            <w:tcBorders>
              <w:left w:val="single" w:sz="4" w:space="0" w:color="auto"/>
            </w:tcBorders>
          </w:tcPr>
          <w:p w14:paraId="11EE45DA" w14:textId="77777777" w:rsidR="00592DB6" w:rsidRDefault="00B2557A" w:rsidP="00B2557A">
            <w:pPr>
              <w:pStyle w:val="TableBody"/>
            </w:pPr>
            <w:r w:rsidRPr="00DC54C7">
              <w:t xml:space="preserve">The “Spotlight on </w:t>
            </w:r>
            <w:r>
              <w:t>the World</w:t>
            </w:r>
            <w:r w:rsidRPr="00DC54C7">
              <w:t>” feature addres</w:t>
            </w:r>
            <w:r>
              <w:t>ses treatment of basket purchase by IFRS</w:t>
            </w:r>
            <w:r w:rsidR="009D0D1A">
              <w:t>.</w:t>
            </w:r>
          </w:p>
        </w:tc>
      </w:tr>
      <w:tr w:rsidR="002B6C50" w14:paraId="37B80BEA" w14:textId="77777777">
        <w:tc>
          <w:tcPr>
            <w:tcW w:w="6498" w:type="dxa"/>
            <w:tcBorders>
              <w:right w:val="single" w:sz="4" w:space="0" w:color="auto"/>
            </w:tcBorders>
          </w:tcPr>
          <w:p w14:paraId="3160EB37" w14:textId="77777777" w:rsidR="002B6C50" w:rsidRDefault="0094509B" w:rsidP="00FE2A3F">
            <w:pPr>
              <w:pStyle w:val="TableBody"/>
              <w:ind w:left="1152" w:hanging="288"/>
            </w:pPr>
            <w:r>
              <w:t>5</w:t>
            </w:r>
            <w:r w:rsidR="002B6C50">
              <w:t>.</w:t>
            </w:r>
            <w:r w:rsidR="002B6C50">
              <w:tab/>
            </w:r>
            <w:r w:rsidR="00020627">
              <w:t xml:space="preserve">The </w:t>
            </w:r>
            <w:r w:rsidR="00020627" w:rsidRPr="00020627">
              <w:t xml:space="preserve">list price for </w:t>
            </w:r>
            <w:r w:rsidR="00020627">
              <w:t>equipment</w:t>
            </w:r>
            <w:r w:rsidR="00020627" w:rsidRPr="00020627">
              <w:t xml:space="preserve"> was $26 million but</w:t>
            </w:r>
            <w:r w:rsidR="00020627">
              <w:t xml:space="preserve"> company </w:t>
            </w:r>
            <w:r w:rsidR="00020627" w:rsidRPr="00020627">
              <w:t xml:space="preserve">received a $1 million discount. </w:t>
            </w:r>
            <w:r w:rsidR="00020627">
              <w:t>The company paid</w:t>
            </w:r>
            <w:r w:rsidR="00020627" w:rsidRPr="00020627">
              <w:t xml:space="preserve"> $125,000</w:t>
            </w:r>
            <w:r w:rsidR="00020627">
              <w:t xml:space="preserve"> to </w:t>
            </w:r>
            <w:r w:rsidR="00020627" w:rsidRPr="00020627">
              <w:t xml:space="preserve">have the </w:t>
            </w:r>
            <w:r w:rsidR="00020627">
              <w:t xml:space="preserve">equipment </w:t>
            </w:r>
            <w:r w:rsidR="00020627" w:rsidRPr="00020627">
              <w:t>delivered and another $625,000 to have it assembled and</w:t>
            </w:r>
            <w:r w:rsidR="00020627">
              <w:t xml:space="preserve"> </w:t>
            </w:r>
            <w:r w:rsidR="00020627" w:rsidRPr="00020627">
              <w:t>prepared for use.</w:t>
            </w:r>
          </w:p>
        </w:tc>
        <w:tc>
          <w:tcPr>
            <w:tcW w:w="2862" w:type="dxa"/>
            <w:tcBorders>
              <w:left w:val="single" w:sz="4" w:space="0" w:color="auto"/>
            </w:tcBorders>
          </w:tcPr>
          <w:p w14:paraId="6E2C61FD" w14:textId="77777777" w:rsidR="002B6C50" w:rsidRDefault="002B6C50" w:rsidP="00122122">
            <w:pPr>
              <w:pStyle w:val="TableBody"/>
            </w:pPr>
          </w:p>
        </w:tc>
      </w:tr>
      <w:tr w:rsidR="00020627" w14:paraId="3705ED90" w14:textId="77777777" w:rsidTr="001822E4">
        <w:tc>
          <w:tcPr>
            <w:tcW w:w="6498" w:type="dxa"/>
            <w:tcBorders>
              <w:right w:val="single" w:sz="4" w:space="0" w:color="auto"/>
            </w:tcBorders>
            <w:vAlign w:val="center"/>
          </w:tcPr>
          <w:p w14:paraId="2AADE427" w14:textId="77777777" w:rsidR="00020627" w:rsidRDefault="00020627" w:rsidP="00020627">
            <w:pPr>
              <w:pStyle w:val="TableBody"/>
              <w:ind w:left="1440" w:hanging="288"/>
            </w:pPr>
            <w:r>
              <w:t>a.</w:t>
            </w:r>
            <w:r>
              <w:tab/>
            </w:r>
            <w:r w:rsidRPr="00020627">
              <w:t xml:space="preserve">List price </w:t>
            </w:r>
            <w:r>
              <w:t xml:space="preserve">of </w:t>
            </w:r>
            <w:r w:rsidRPr="00020627">
              <w:t>$26,000,000</w:t>
            </w:r>
            <w:r>
              <w:t xml:space="preserve"> – </w:t>
            </w:r>
            <w:r w:rsidRPr="00020627">
              <w:t xml:space="preserve">Discount </w:t>
            </w:r>
            <w:r>
              <w:t>of $</w:t>
            </w:r>
            <w:r w:rsidRPr="00020627">
              <w:t>1,000,000</w:t>
            </w:r>
            <w:r>
              <w:t xml:space="preserve"> + </w:t>
            </w:r>
            <w:r w:rsidRPr="00020627">
              <w:t xml:space="preserve">Transportation costs paid by </w:t>
            </w:r>
            <w:r>
              <w:t>company of $</w:t>
            </w:r>
            <w:r w:rsidRPr="00020627">
              <w:t>125,000</w:t>
            </w:r>
            <w:r>
              <w:t xml:space="preserve"> + </w:t>
            </w:r>
            <w:r w:rsidRPr="00020627">
              <w:t xml:space="preserve">Installation costs paid by </w:t>
            </w:r>
            <w:r>
              <w:t>company of $</w:t>
            </w:r>
            <w:r w:rsidRPr="00020627">
              <w:t>625,000</w:t>
            </w:r>
            <w:r>
              <w:t xml:space="preserve"> = Total c</w:t>
            </w:r>
            <w:r w:rsidRPr="00020627">
              <w:t xml:space="preserve">ost </w:t>
            </w:r>
            <w:r>
              <w:t xml:space="preserve">of </w:t>
            </w:r>
            <w:r w:rsidRPr="00020627">
              <w:t>$25,750,000</w:t>
            </w:r>
            <w:r>
              <w:t>.</w:t>
            </w:r>
          </w:p>
        </w:tc>
        <w:tc>
          <w:tcPr>
            <w:tcW w:w="2862" w:type="dxa"/>
            <w:tcBorders>
              <w:left w:val="single" w:sz="4" w:space="0" w:color="auto"/>
            </w:tcBorders>
          </w:tcPr>
          <w:p w14:paraId="6C168555" w14:textId="77777777" w:rsidR="00020627" w:rsidRDefault="00020627" w:rsidP="00122122">
            <w:pPr>
              <w:pStyle w:val="TableBody"/>
            </w:pPr>
          </w:p>
        </w:tc>
      </w:tr>
      <w:tr w:rsidR="00D1756F" w14:paraId="12815BE7" w14:textId="77777777" w:rsidTr="001822E4">
        <w:tc>
          <w:tcPr>
            <w:tcW w:w="6498" w:type="dxa"/>
            <w:tcBorders>
              <w:right w:val="single" w:sz="4" w:space="0" w:color="auto"/>
            </w:tcBorders>
            <w:vAlign w:val="center"/>
          </w:tcPr>
          <w:p w14:paraId="79778580" w14:textId="77777777" w:rsidR="00D1756F" w:rsidRPr="003656D8" w:rsidRDefault="00020627" w:rsidP="00020627">
            <w:pPr>
              <w:pStyle w:val="TableBody"/>
              <w:ind w:left="1440" w:hanging="288"/>
            </w:pPr>
            <w:r>
              <w:t>b</w:t>
            </w:r>
            <w:r w:rsidR="00D1756F">
              <w:t>.</w:t>
            </w:r>
            <w:r w:rsidR="00D1756F">
              <w:tab/>
              <w:t xml:space="preserve">Analyze: </w:t>
            </w:r>
            <w:r w:rsidR="00D1756F">
              <w:tab/>
              <w:t>Assets = Liabilities + Stockholders’ Equity</w:t>
            </w:r>
            <w:r w:rsidR="00D1756F">
              <w:br/>
              <w:t xml:space="preserve">Cash (A) </w:t>
            </w:r>
            <w:r w:rsidR="003D7EAA">
              <w:t>–</w:t>
            </w:r>
            <w:r w:rsidR="00D1756F">
              <w:t xml:space="preserve">750,000; Equipment (A) </w:t>
            </w:r>
            <w:r w:rsidR="003D7EAA">
              <w:t>+25,750,000; Note Payable (</w:t>
            </w:r>
            <w:r w:rsidR="00D1756F">
              <w:t xml:space="preserve">L) </w:t>
            </w:r>
            <w:r w:rsidR="003D7EAA">
              <w:t>+</w:t>
            </w:r>
            <w:r w:rsidR="00D1756F">
              <w:t>25,000,000</w:t>
            </w:r>
          </w:p>
        </w:tc>
        <w:tc>
          <w:tcPr>
            <w:tcW w:w="2862" w:type="dxa"/>
            <w:tcBorders>
              <w:left w:val="single" w:sz="4" w:space="0" w:color="auto"/>
            </w:tcBorders>
          </w:tcPr>
          <w:p w14:paraId="794977AF" w14:textId="77777777" w:rsidR="00D1756F" w:rsidRDefault="00D1756F" w:rsidP="00122122">
            <w:pPr>
              <w:pStyle w:val="TableBody"/>
            </w:pPr>
          </w:p>
        </w:tc>
      </w:tr>
      <w:tr w:rsidR="00D1756F" w14:paraId="11436210" w14:textId="77777777">
        <w:tc>
          <w:tcPr>
            <w:tcW w:w="6498" w:type="dxa"/>
            <w:tcBorders>
              <w:right w:val="single" w:sz="4" w:space="0" w:color="auto"/>
            </w:tcBorders>
          </w:tcPr>
          <w:p w14:paraId="07AF72FB" w14:textId="77777777" w:rsidR="00D1756F" w:rsidRDefault="00020627" w:rsidP="001822E4">
            <w:pPr>
              <w:pStyle w:val="TableBody"/>
              <w:ind w:left="1440" w:hanging="288"/>
            </w:pPr>
            <w:r>
              <w:t>c</w:t>
            </w:r>
            <w:r w:rsidR="00D1756F">
              <w:t>.</w:t>
            </w:r>
            <w:r w:rsidR="00D1756F">
              <w:tab/>
              <w:t>Record:</w:t>
            </w:r>
          </w:p>
        </w:tc>
        <w:tc>
          <w:tcPr>
            <w:tcW w:w="2862" w:type="dxa"/>
            <w:tcBorders>
              <w:left w:val="single" w:sz="4" w:space="0" w:color="auto"/>
            </w:tcBorders>
          </w:tcPr>
          <w:p w14:paraId="70DAB44A" w14:textId="77777777" w:rsidR="00D1756F" w:rsidRDefault="00D1756F" w:rsidP="00122122">
            <w:pPr>
              <w:pStyle w:val="TableBody"/>
            </w:pPr>
          </w:p>
        </w:tc>
      </w:tr>
      <w:tr w:rsidR="002B6C50" w14:paraId="3571FFA6" w14:textId="77777777">
        <w:tc>
          <w:tcPr>
            <w:tcW w:w="6498" w:type="dxa"/>
            <w:tcBorders>
              <w:right w:val="single" w:sz="4" w:space="0" w:color="auto"/>
            </w:tcBorders>
          </w:tcPr>
          <w:tbl>
            <w:tblPr>
              <w:tblW w:w="5184" w:type="dxa"/>
              <w:tblInd w:w="1296" w:type="dxa"/>
              <w:tblLayout w:type="fixed"/>
              <w:tblLook w:val="04A0" w:firstRow="1" w:lastRow="0" w:firstColumn="1" w:lastColumn="0" w:noHBand="0" w:noVBand="1"/>
            </w:tblPr>
            <w:tblGrid>
              <w:gridCol w:w="2592"/>
              <w:gridCol w:w="1296"/>
              <w:gridCol w:w="1296"/>
            </w:tblGrid>
            <w:tr w:rsidR="00D1756F" w14:paraId="3A24F89E" w14:textId="77777777" w:rsidTr="001822E4">
              <w:tc>
                <w:tcPr>
                  <w:tcW w:w="2592" w:type="dxa"/>
                </w:tcPr>
                <w:p w14:paraId="6115B7EF" w14:textId="77777777" w:rsidR="00D1756F" w:rsidRDefault="00D1756F" w:rsidP="000B573E">
                  <w:pPr>
                    <w:pStyle w:val="TableBody"/>
                  </w:pPr>
                  <w:r>
                    <w:t xml:space="preserve">Equipment </w:t>
                  </w:r>
                </w:p>
              </w:tc>
              <w:tc>
                <w:tcPr>
                  <w:tcW w:w="1296" w:type="dxa"/>
                </w:tcPr>
                <w:p w14:paraId="193E278A" w14:textId="77777777" w:rsidR="00D1756F" w:rsidRDefault="00D1756F" w:rsidP="001822E4">
                  <w:pPr>
                    <w:pStyle w:val="TableBody"/>
                    <w:jc w:val="right"/>
                  </w:pPr>
                  <w:r>
                    <w:t>25,750,000</w:t>
                  </w:r>
                </w:p>
              </w:tc>
              <w:tc>
                <w:tcPr>
                  <w:tcW w:w="1296" w:type="dxa"/>
                </w:tcPr>
                <w:p w14:paraId="007F9933" w14:textId="77777777" w:rsidR="00D1756F" w:rsidRDefault="00D1756F" w:rsidP="001822E4">
                  <w:pPr>
                    <w:pStyle w:val="TableBody"/>
                    <w:jc w:val="right"/>
                  </w:pPr>
                </w:p>
              </w:tc>
            </w:tr>
            <w:tr w:rsidR="00D1756F" w14:paraId="17ECE2FC" w14:textId="77777777" w:rsidTr="001822E4">
              <w:tc>
                <w:tcPr>
                  <w:tcW w:w="2592" w:type="dxa"/>
                </w:tcPr>
                <w:p w14:paraId="37629CFE" w14:textId="77777777" w:rsidR="00D1756F" w:rsidRDefault="002B6F4D" w:rsidP="000B573E">
                  <w:pPr>
                    <w:pStyle w:val="TableBody"/>
                  </w:pPr>
                  <w:r>
                    <w:t xml:space="preserve"> </w:t>
                  </w:r>
                  <w:r w:rsidR="00D1756F">
                    <w:t xml:space="preserve">   Cash</w:t>
                  </w:r>
                </w:p>
              </w:tc>
              <w:tc>
                <w:tcPr>
                  <w:tcW w:w="1296" w:type="dxa"/>
                </w:tcPr>
                <w:p w14:paraId="5D2D882D" w14:textId="77777777" w:rsidR="00D1756F" w:rsidRDefault="00D1756F" w:rsidP="001822E4">
                  <w:pPr>
                    <w:pStyle w:val="TableBody"/>
                    <w:jc w:val="right"/>
                  </w:pPr>
                </w:p>
              </w:tc>
              <w:tc>
                <w:tcPr>
                  <w:tcW w:w="1296" w:type="dxa"/>
                </w:tcPr>
                <w:p w14:paraId="36CE0043" w14:textId="77777777" w:rsidR="00D1756F" w:rsidRDefault="00D1756F" w:rsidP="001822E4">
                  <w:pPr>
                    <w:pStyle w:val="TableBody"/>
                    <w:jc w:val="right"/>
                  </w:pPr>
                  <w:r>
                    <w:t>750,000</w:t>
                  </w:r>
                </w:p>
              </w:tc>
            </w:tr>
            <w:tr w:rsidR="00D1756F" w14:paraId="7B3E8437" w14:textId="77777777" w:rsidTr="001822E4">
              <w:tc>
                <w:tcPr>
                  <w:tcW w:w="2592" w:type="dxa"/>
                </w:tcPr>
                <w:p w14:paraId="75CC8C73" w14:textId="77777777" w:rsidR="00D1756F" w:rsidRDefault="00F343B1" w:rsidP="001822E4">
                  <w:pPr>
                    <w:pStyle w:val="TableBody"/>
                  </w:pPr>
                  <w:r>
                    <w:t xml:space="preserve"> </w:t>
                  </w:r>
                  <w:r w:rsidR="002B6F4D">
                    <w:t xml:space="preserve"> </w:t>
                  </w:r>
                  <w:r>
                    <w:t xml:space="preserve">  </w:t>
                  </w:r>
                  <w:r w:rsidR="000B573E">
                    <w:t>Note Payable</w:t>
                  </w:r>
                </w:p>
              </w:tc>
              <w:tc>
                <w:tcPr>
                  <w:tcW w:w="1296" w:type="dxa"/>
                </w:tcPr>
                <w:p w14:paraId="43350CBE" w14:textId="77777777" w:rsidR="00D1756F" w:rsidRDefault="00D1756F" w:rsidP="001822E4">
                  <w:pPr>
                    <w:pStyle w:val="TableBody"/>
                    <w:jc w:val="right"/>
                  </w:pPr>
                </w:p>
              </w:tc>
              <w:tc>
                <w:tcPr>
                  <w:tcW w:w="1296" w:type="dxa"/>
                </w:tcPr>
                <w:p w14:paraId="65369D54" w14:textId="77777777" w:rsidR="00D1756F" w:rsidRDefault="00D1756F" w:rsidP="001822E4">
                  <w:pPr>
                    <w:pStyle w:val="TableBody"/>
                    <w:jc w:val="right"/>
                  </w:pPr>
                  <w:r>
                    <w:t>25,000,000</w:t>
                  </w:r>
                </w:p>
              </w:tc>
            </w:tr>
          </w:tbl>
          <w:p w14:paraId="286336FB" w14:textId="77777777" w:rsidR="002B6C50" w:rsidRDefault="002B6C50" w:rsidP="00592DB6">
            <w:pPr>
              <w:pStyle w:val="TableBody"/>
              <w:ind w:left="1152" w:hanging="288"/>
            </w:pPr>
          </w:p>
        </w:tc>
        <w:tc>
          <w:tcPr>
            <w:tcW w:w="2862" w:type="dxa"/>
            <w:tcBorders>
              <w:left w:val="single" w:sz="4" w:space="0" w:color="auto"/>
            </w:tcBorders>
          </w:tcPr>
          <w:p w14:paraId="0140FE8C" w14:textId="77777777" w:rsidR="002B6C50" w:rsidRDefault="002B6C50" w:rsidP="00122122">
            <w:pPr>
              <w:pStyle w:val="TableBody"/>
            </w:pPr>
          </w:p>
        </w:tc>
      </w:tr>
      <w:tr w:rsidR="00D1756F" w14:paraId="46E74C2F" w14:textId="77777777">
        <w:tc>
          <w:tcPr>
            <w:tcW w:w="6498" w:type="dxa"/>
            <w:tcBorders>
              <w:right w:val="single" w:sz="4" w:space="0" w:color="auto"/>
            </w:tcBorders>
          </w:tcPr>
          <w:p w14:paraId="71696562" w14:textId="77777777" w:rsidR="00D1756F" w:rsidRPr="00D1756F" w:rsidRDefault="0094509B" w:rsidP="00443203">
            <w:pPr>
              <w:pStyle w:val="TableBody"/>
              <w:ind w:left="1152" w:hanging="288"/>
            </w:pPr>
            <w:r>
              <w:t>6</w:t>
            </w:r>
            <w:r w:rsidR="00D1756F" w:rsidRPr="00D1756F">
              <w:t>.</w:t>
            </w:r>
            <w:r w:rsidR="00D1756F" w:rsidRPr="00D1756F">
              <w:tab/>
              <w:t>The cost of some fixed assets</w:t>
            </w:r>
            <w:r w:rsidR="00D1756F">
              <w:t xml:space="preserve"> </w:t>
            </w:r>
            <w:r w:rsidR="00D1756F" w:rsidRPr="00D1756F">
              <w:t>is such a</w:t>
            </w:r>
            <w:r w:rsidR="00D1756F">
              <w:t xml:space="preserve"> </w:t>
            </w:r>
            <w:r w:rsidR="00D1756F" w:rsidRPr="00D1756F">
              <w:t>small amount that it’s not worth the trouble of recording them as fixed assets</w:t>
            </w:r>
            <w:r w:rsidR="00D1756F">
              <w:t xml:space="preserve">; instead, they are expensed; such immaterial </w:t>
            </w:r>
            <w:r w:rsidR="00D1756F" w:rsidRPr="00D1756F">
              <w:t xml:space="preserve">amounts will not affect users’ </w:t>
            </w:r>
            <w:r w:rsidR="00443203">
              <w:t>decisions</w:t>
            </w:r>
            <w:r w:rsidR="00D1756F" w:rsidRPr="00D1756F">
              <w:t>.</w:t>
            </w:r>
          </w:p>
        </w:tc>
        <w:tc>
          <w:tcPr>
            <w:tcW w:w="2862" w:type="dxa"/>
            <w:tcBorders>
              <w:left w:val="single" w:sz="4" w:space="0" w:color="auto"/>
            </w:tcBorders>
          </w:tcPr>
          <w:p w14:paraId="73636359" w14:textId="77777777" w:rsidR="00D1756F" w:rsidRDefault="00D1756F" w:rsidP="00122122">
            <w:pPr>
              <w:pStyle w:val="TableBody"/>
            </w:pPr>
          </w:p>
        </w:tc>
      </w:tr>
      <w:tr w:rsidR="002B6C50" w14:paraId="74188D84" w14:textId="77777777">
        <w:tc>
          <w:tcPr>
            <w:tcW w:w="6498" w:type="dxa"/>
            <w:tcBorders>
              <w:right w:val="single" w:sz="4" w:space="0" w:color="auto"/>
            </w:tcBorders>
          </w:tcPr>
          <w:p w14:paraId="326294D8" w14:textId="77777777" w:rsidR="002B6C50" w:rsidRPr="00592DB6" w:rsidRDefault="002B6C50" w:rsidP="00443203">
            <w:pPr>
              <w:pStyle w:val="TableBody"/>
              <w:ind w:left="864" w:hanging="288"/>
              <w:rPr>
                <w:iCs/>
              </w:rPr>
            </w:pPr>
            <w:r w:rsidRPr="00592DB6">
              <w:rPr>
                <w:iCs/>
              </w:rPr>
              <w:t>B.</w:t>
            </w:r>
            <w:r w:rsidRPr="00592DB6">
              <w:rPr>
                <w:iCs/>
              </w:rPr>
              <w:tab/>
              <w:t>Use of Tangible Assets</w:t>
            </w:r>
          </w:p>
        </w:tc>
        <w:tc>
          <w:tcPr>
            <w:tcW w:w="2862" w:type="dxa"/>
            <w:tcBorders>
              <w:left w:val="single" w:sz="4" w:space="0" w:color="auto"/>
            </w:tcBorders>
          </w:tcPr>
          <w:p w14:paraId="0AF50048" w14:textId="77777777" w:rsidR="002B6C50" w:rsidRDefault="002B6C50" w:rsidP="00122122">
            <w:pPr>
              <w:pStyle w:val="TableBody"/>
            </w:pPr>
          </w:p>
        </w:tc>
      </w:tr>
      <w:tr w:rsidR="002B6C50" w14:paraId="1C8C6A92" w14:textId="77777777">
        <w:tc>
          <w:tcPr>
            <w:tcW w:w="6498" w:type="dxa"/>
            <w:tcBorders>
              <w:right w:val="single" w:sz="4" w:space="0" w:color="auto"/>
            </w:tcBorders>
          </w:tcPr>
          <w:p w14:paraId="6CF9E61B" w14:textId="77777777" w:rsidR="002B6C50" w:rsidRDefault="002B6C50" w:rsidP="00F343B1">
            <w:pPr>
              <w:pStyle w:val="TableBody"/>
              <w:ind w:left="1152" w:hanging="288"/>
            </w:pPr>
            <w:r>
              <w:t>1.</w:t>
            </w:r>
            <w:r>
              <w:tab/>
            </w:r>
            <w:r w:rsidRPr="00592DB6">
              <w:t>Most tangible assets require substantial expenditures over the course of their lives to maintain or enhance their ability to operate.</w:t>
            </w:r>
            <w:r>
              <w:t xml:space="preserve"> </w:t>
            </w:r>
          </w:p>
        </w:tc>
        <w:tc>
          <w:tcPr>
            <w:tcW w:w="2862" w:type="dxa"/>
            <w:tcBorders>
              <w:left w:val="single" w:sz="4" w:space="0" w:color="auto"/>
            </w:tcBorders>
          </w:tcPr>
          <w:p w14:paraId="49FD7C0A" w14:textId="77777777" w:rsidR="002B6C50" w:rsidRDefault="002B6C50" w:rsidP="00122122">
            <w:pPr>
              <w:pStyle w:val="TableBody"/>
            </w:pPr>
          </w:p>
        </w:tc>
      </w:tr>
      <w:tr w:rsidR="002B6C50" w14:paraId="43320CC0" w14:textId="77777777">
        <w:tc>
          <w:tcPr>
            <w:tcW w:w="6498" w:type="dxa"/>
            <w:tcBorders>
              <w:right w:val="single" w:sz="4" w:space="0" w:color="auto"/>
            </w:tcBorders>
          </w:tcPr>
          <w:p w14:paraId="51E11BD5" w14:textId="77777777" w:rsidR="002B6C50" w:rsidRPr="00592DB6" w:rsidRDefault="00443203" w:rsidP="00FE2A3F">
            <w:pPr>
              <w:pStyle w:val="TableBody"/>
              <w:ind w:left="1440" w:hanging="288"/>
            </w:pPr>
            <w:r>
              <w:t>a</w:t>
            </w:r>
            <w:r w:rsidR="002B6C50">
              <w:t>.</w:t>
            </w:r>
            <w:r w:rsidR="002B6C50">
              <w:tab/>
            </w:r>
            <w:r w:rsidR="002B6C50" w:rsidRPr="00443203">
              <w:rPr>
                <w:b/>
              </w:rPr>
              <w:t>Ordinary repairs</w:t>
            </w:r>
            <w:r w:rsidRPr="00443203">
              <w:rPr>
                <w:b/>
              </w:rPr>
              <w:t xml:space="preserve"> and maintenance</w:t>
            </w:r>
            <w:r w:rsidR="00886535">
              <w:t>–</w:t>
            </w:r>
            <w:r w:rsidR="003C535B">
              <w:rPr>
                <w:szCs w:val="22"/>
              </w:rPr>
              <w:t>–</w:t>
            </w:r>
            <w:r>
              <w:t>E</w:t>
            </w:r>
            <w:r w:rsidRPr="00592DB6">
              <w:t>xpenditures for routine operating upkeep of long-lived</w:t>
            </w:r>
            <w:r w:rsidRPr="001B36F5">
              <w:t>, expense</w:t>
            </w:r>
            <w:r>
              <w:t>d</w:t>
            </w:r>
            <w:r w:rsidRPr="001B36F5">
              <w:t>.</w:t>
            </w:r>
          </w:p>
        </w:tc>
        <w:tc>
          <w:tcPr>
            <w:tcW w:w="2862" w:type="dxa"/>
            <w:tcBorders>
              <w:left w:val="single" w:sz="4" w:space="0" w:color="auto"/>
            </w:tcBorders>
          </w:tcPr>
          <w:p w14:paraId="43F5AE71" w14:textId="77777777" w:rsidR="002B6C50" w:rsidRPr="00F343B1" w:rsidRDefault="00F343B1" w:rsidP="00FE2A3F">
            <w:pPr>
              <w:pStyle w:val="TableBody"/>
              <w:rPr>
                <w:i/>
              </w:rPr>
            </w:pPr>
            <w:r w:rsidRPr="00F343B1">
              <w:rPr>
                <w:i/>
              </w:rPr>
              <w:t xml:space="preserve">Also called “revenue expenditures” because these </w:t>
            </w:r>
          </w:p>
        </w:tc>
      </w:tr>
      <w:tr w:rsidR="00342106" w14:paraId="5D5B4BB7" w14:textId="77777777">
        <w:tc>
          <w:tcPr>
            <w:tcW w:w="6498" w:type="dxa"/>
            <w:tcBorders>
              <w:right w:val="single" w:sz="4" w:space="0" w:color="auto"/>
            </w:tcBorders>
          </w:tcPr>
          <w:p w14:paraId="72200A92" w14:textId="77777777" w:rsidR="00342106" w:rsidRDefault="00342106" w:rsidP="00342106">
            <w:pPr>
              <w:pStyle w:val="TableBody"/>
              <w:ind w:left="1728" w:hanging="288"/>
            </w:pPr>
            <w:r>
              <w:t>i.</w:t>
            </w:r>
            <w:r>
              <w:tab/>
              <w:t>Recurring, relatively small expenditures that do not directly increase an asset’s usefulness.</w:t>
            </w:r>
          </w:p>
        </w:tc>
        <w:tc>
          <w:tcPr>
            <w:tcW w:w="2862" w:type="dxa"/>
            <w:tcBorders>
              <w:left w:val="single" w:sz="4" w:space="0" w:color="auto"/>
            </w:tcBorders>
          </w:tcPr>
          <w:p w14:paraId="524287A9" w14:textId="6733ED56" w:rsidR="00342106" w:rsidRPr="00F343B1" w:rsidRDefault="00FE2A3F" w:rsidP="00201BE7">
            <w:pPr>
              <w:pStyle w:val="TableBody"/>
              <w:rPr>
                <w:i/>
              </w:rPr>
            </w:pPr>
            <w:r w:rsidRPr="00F343B1">
              <w:rPr>
                <w:i/>
              </w:rPr>
              <w:t xml:space="preserve">expenses are matched to </w:t>
            </w:r>
            <w:r w:rsidR="00342106" w:rsidRPr="00F343B1">
              <w:rPr>
                <w:i/>
              </w:rPr>
              <w:t>revenues on the income</w:t>
            </w:r>
          </w:p>
        </w:tc>
      </w:tr>
      <w:tr w:rsidR="00342106" w14:paraId="6FD9A97D" w14:textId="77777777">
        <w:tc>
          <w:tcPr>
            <w:tcW w:w="6498" w:type="dxa"/>
            <w:tcBorders>
              <w:right w:val="single" w:sz="4" w:space="0" w:color="auto"/>
            </w:tcBorders>
          </w:tcPr>
          <w:p w14:paraId="127485D9" w14:textId="77777777" w:rsidR="00342106" w:rsidRDefault="00342106" w:rsidP="00342106">
            <w:pPr>
              <w:pStyle w:val="TableBody"/>
              <w:ind w:left="1728" w:hanging="288"/>
            </w:pPr>
            <w:r>
              <w:t>ii.</w:t>
            </w:r>
            <w:r>
              <w:tab/>
              <w:t>O</w:t>
            </w:r>
            <w:r w:rsidRPr="00342106">
              <w:t>ccur</w:t>
            </w:r>
            <w:r>
              <w:t xml:space="preserve"> </w:t>
            </w:r>
            <w:r w:rsidRPr="00342106">
              <w:t>frequently to maintain the asset’s productive capacity for a short time,</w:t>
            </w:r>
          </w:p>
        </w:tc>
        <w:tc>
          <w:tcPr>
            <w:tcW w:w="2862" w:type="dxa"/>
            <w:tcBorders>
              <w:left w:val="single" w:sz="4" w:space="0" w:color="auto"/>
            </w:tcBorders>
          </w:tcPr>
          <w:p w14:paraId="1B3F8B8F" w14:textId="77777777" w:rsidR="00342106" w:rsidRPr="00F343B1" w:rsidRDefault="00FE2A3F" w:rsidP="00122122">
            <w:pPr>
              <w:pStyle w:val="TableBody"/>
              <w:rPr>
                <w:i/>
              </w:rPr>
            </w:pPr>
            <w:r w:rsidRPr="00F343B1">
              <w:rPr>
                <w:i/>
              </w:rPr>
              <w:t>statemen</w:t>
            </w:r>
            <w:r>
              <w:rPr>
                <w:i/>
              </w:rPr>
              <w:t>t</w:t>
            </w:r>
          </w:p>
        </w:tc>
      </w:tr>
      <w:tr w:rsidR="00342106" w14:paraId="6FAE4E22" w14:textId="77777777" w:rsidTr="000B573E">
        <w:tc>
          <w:tcPr>
            <w:tcW w:w="6498" w:type="dxa"/>
            <w:tcBorders>
              <w:right w:val="single" w:sz="4" w:space="0" w:color="auto"/>
            </w:tcBorders>
          </w:tcPr>
          <w:p w14:paraId="0C4817A0" w14:textId="77777777" w:rsidR="00342106" w:rsidRPr="00592DB6" w:rsidRDefault="00342106" w:rsidP="00FE2A3F">
            <w:pPr>
              <w:pStyle w:val="TableBody"/>
              <w:ind w:left="1440" w:hanging="288"/>
            </w:pPr>
            <w:r>
              <w:t>b.</w:t>
            </w:r>
            <w:r>
              <w:tab/>
            </w:r>
            <w:r w:rsidRPr="00FE2A3F">
              <w:rPr>
                <w:b/>
              </w:rPr>
              <w:t>Extraordinary repairs</w:t>
            </w:r>
            <w:r w:rsidR="003C535B">
              <w:rPr>
                <w:szCs w:val="22"/>
              </w:rPr>
              <w:t>–</w:t>
            </w:r>
            <w:r w:rsidR="00886535">
              <w:t>–</w:t>
            </w:r>
            <w:r>
              <w:t>E</w:t>
            </w:r>
            <w:r w:rsidRPr="00592DB6">
              <w:t xml:space="preserve">xpenditures that </w:t>
            </w:r>
            <w:r w:rsidR="00886535" w:rsidRPr="00886535">
              <w:t>extend the</w:t>
            </w:r>
            <w:r w:rsidR="00FE2A3F">
              <w:t xml:space="preserve"> </w:t>
            </w:r>
            <w:r w:rsidR="00886535" w:rsidRPr="00886535">
              <w:t>useful life of a tangible asset</w:t>
            </w:r>
            <w:r w:rsidR="00FE2A3F">
              <w:t xml:space="preserve"> </w:t>
            </w:r>
            <w:r w:rsidR="00886535" w:rsidRPr="00886535">
              <w:t>or improve its output in the</w:t>
            </w:r>
            <w:r w:rsidR="00FE2A3F">
              <w:t xml:space="preserve"> </w:t>
            </w:r>
            <w:r w:rsidR="00886535" w:rsidRPr="00886535">
              <w:t>future; recorded as</w:t>
            </w:r>
            <w:r w:rsidR="00FE2A3F">
              <w:t xml:space="preserve"> </w:t>
            </w:r>
            <w:r w:rsidR="00886535" w:rsidRPr="00886535">
              <w:t>increases in asset accounts.</w:t>
            </w:r>
          </w:p>
        </w:tc>
        <w:tc>
          <w:tcPr>
            <w:tcW w:w="2862" w:type="dxa"/>
            <w:tcBorders>
              <w:left w:val="single" w:sz="4" w:space="0" w:color="auto"/>
            </w:tcBorders>
          </w:tcPr>
          <w:p w14:paraId="44BF084D" w14:textId="77777777" w:rsidR="00342106" w:rsidRPr="000B573E" w:rsidRDefault="00342106" w:rsidP="00FE2A3F">
            <w:pPr>
              <w:pStyle w:val="TableBody"/>
              <w:rPr>
                <w:i/>
              </w:rPr>
            </w:pPr>
            <w:r w:rsidRPr="00F343B1">
              <w:rPr>
                <w:i/>
              </w:rPr>
              <w:t>Also called “</w:t>
            </w:r>
            <w:r>
              <w:rPr>
                <w:i/>
              </w:rPr>
              <w:t>capital</w:t>
            </w:r>
            <w:r w:rsidRPr="00F343B1">
              <w:rPr>
                <w:i/>
              </w:rPr>
              <w:t xml:space="preserve"> expenditures” because these </w:t>
            </w:r>
            <w:r>
              <w:rPr>
                <w:i/>
              </w:rPr>
              <w:t xml:space="preserve">costs </w:t>
            </w:r>
            <w:r w:rsidRPr="00F343B1">
              <w:rPr>
                <w:i/>
              </w:rPr>
              <w:t xml:space="preserve">are </w:t>
            </w:r>
            <w:r>
              <w:rPr>
                <w:i/>
              </w:rPr>
              <w:t xml:space="preserve">capitalized in an </w:t>
            </w:r>
          </w:p>
        </w:tc>
      </w:tr>
      <w:tr w:rsidR="00FE2A3F" w14:paraId="527FCCD1" w14:textId="77777777" w:rsidTr="000B573E">
        <w:tc>
          <w:tcPr>
            <w:tcW w:w="6498" w:type="dxa"/>
            <w:tcBorders>
              <w:right w:val="single" w:sz="4" w:space="0" w:color="auto"/>
            </w:tcBorders>
          </w:tcPr>
          <w:p w14:paraId="0CF8583B" w14:textId="77777777" w:rsidR="00FE2A3F" w:rsidRDefault="00FE2A3F" w:rsidP="00FE2A3F">
            <w:pPr>
              <w:pStyle w:val="TableBody"/>
              <w:ind w:left="1728" w:hanging="288"/>
            </w:pPr>
            <w:r>
              <w:t>i.</w:t>
            </w:r>
            <w:r>
              <w:tab/>
              <w:t>T</w:t>
            </w:r>
            <w:r w:rsidRPr="00FE2A3F">
              <w:t>hese costs increase the</w:t>
            </w:r>
            <w:r>
              <w:t xml:space="preserve"> </w:t>
            </w:r>
            <w:r w:rsidRPr="00FE2A3F">
              <w:t>usefulness of tangible assets beyond their original condition</w:t>
            </w:r>
            <w:r>
              <w:t>.</w:t>
            </w:r>
          </w:p>
        </w:tc>
        <w:tc>
          <w:tcPr>
            <w:tcW w:w="2862" w:type="dxa"/>
            <w:tcBorders>
              <w:left w:val="single" w:sz="4" w:space="0" w:color="auto"/>
            </w:tcBorders>
          </w:tcPr>
          <w:p w14:paraId="2E5D75E0" w14:textId="77777777" w:rsidR="00FE2A3F" w:rsidRPr="00F343B1" w:rsidRDefault="00FE2A3F" w:rsidP="00FE2A3F">
            <w:pPr>
              <w:pStyle w:val="TableBody"/>
              <w:rPr>
                <w:i/>
              </w:rPr>
            </w:pPr>
            <w:r>
              <w:rPr>
                <w:i/>
              </w:rPr>
              <w:t>asset account</w:t>
            </w:r>
          </w:p>
        </w:tc>
      </w:tr>
      <w:tr w:rsidR="00FE2A3F" w14:paraId="42A58BB7" w14:textId="77777777" w:rsidTr="000B573E">
        <w:tc>
          <w:tcPr>
            <w:tcW w:w="6498" w:type="dxa"/>
            <w:tcBorders>
              <w:right w:val="single" w:sz="4" w:space="0" w:color="auto"/>
            </w:tcBorders>
          </w:tcPr>
          <w:p w14:paraId="0BE161D8" w14:textId="77777777" w:rsidR="00FE2A3F" w:rsidRDefault="00FE2A3F" w:rsidP="00FE2A3F">
            <w:pPr>
              <w:pStyle w:val="TableBody"/>
              <w:ind w:left="1728" w:hanging="288"/>
            </w:pPr>
            <w:r>
              <w:t>ii.</w:t>
            </w:r>
            <w:r>
              <w:tab/>
              <w:t xml:space="preserve">Include additions, major overhauls, complete reconditioning, and major replacements and improvements. </w:t>
            </w:r>
          </w:p>
        </w:tc>
        <w:tc>
          <w:tcPr>
            <w:tcW w:w="2862" w:type="dxa"/>
            <w:tcBorders>
              <w:left w:val="single" w:sz="4" w:space="0" w:color="auto"/>
            </w:tcBorders>
          </w:tcPr>
          <w:p w14:paraId="60734EDE" w14:textId="77777777" w:rsidR="00FE2A3F" w:rsidRPr="00F343B1" w:rsidRDefault="00FE2A3F" w:rsidP="00FE2A3F">
            <w:pPr>
              <w:pStyle w:val="TableBody"/>
              <w:rPr>
                <w:i/>
              </w:rPr>
            </w:pPr>
          </w:p>
        </w:tc>
      </w:tr>
    </w:tbl>
    <w:p w14:paraId="63EDC8FD" w14:textId="4E24D987" w:rsidR="00443203" w:rsidRPr="00BC2B2D" w:rsidRDefault="00443203" w:rsidP="00443203">
      <w:pPr>
        <w:rPr>
          <w:sz w:val="4"/>
          <w:szCs w:val="4"/>
        </w:rPr>
      </w:pPr>
    </w:p>
    <w:tbl>
      <w:tblPr>
        <w:tblW w:w="0" w:type="auto"/>
        <w:tblLayout w:type="fixed"/>
        <w:tblLook w:val="01E0" w:firstRow="1" w:lastRow="1" w:firstColumn="1" w:lastColumn="1" w:noHBand="0" w:noVBand="0"/>
      </w:tblPr>
      <w:tblGrid>
        <w:gridCol w:w="6498"/>
        <w:gridCol w:w="2862"/>
      </w:tblGrid>
      <w:tr w:rsidR="00443203" w:rsidRPr="00CD480D" w14:paraId="282B8024" w14:textId="77777777" w:rsidTr="001822E4">
        <w:tc>
          <w:tcPr>
            <w:tcW w:w="6498" w:type="dxa"/>
            <w:tcBorders>
              <w:right w:val="single" w:sz="4" w:space="0" w:color="auto"/>
            </w:tcBorders>
          </w:tcPr>
          <w:p w14:paraId="34448620" w14:textId="77777777" w:rsidR="00443203" w:rsidRPr="00507ED2" w:rsidRDefault="00443203" w:rsidP="001822E4">
            <w:pPr>
              <w:pStyle w:val="Heading1"/>
              <w:rPr>
                <w:bCs/>
              </w:rPr>
            </w:pPr>
            <w:r>
              <w:rPr>
                <w:rFonts w:ascii="Times New Roman" w:hAnsi="Times New Roman"/>
                <w:b w:val="0"/>
                <w:kern w:val="0"/>
                <w:sz w:val="22"/>
                <w:u w:val="none"/>
              </w:rPr>
              <w:lastRenderedPageBreak/>
              <w:br w:type="page"/>
            </w:r>
            <w:r>
              <w:rPr>
                <w:rFonts w:ascii="Times New Roman" w:hAnsi="Times New Roman"/>
                <w:b w:val="0"/>
                <w:kern w:val="0"/>
                <w:sz w:val="22"/>
                <w:u w:val="none"/>
              </w:rPr>
              <w:br w:type="page"/>
            </w:r>
            <w:r>
              <w:t>Chapter Outline</w:t>
            </w:r>
          </w:p>
        </w:tc>
        <w:tc>
          <w:tcPr>
            <w:tcW w:w="2862" w:type="dxa"/>
            <w:tcBorders>
              <w:left w:val="single" w:sz="4" w:space="0" w:color="auto"/>
            </w:tcBorders>
          </w:tcPr>
          <w:p w14:paraId="43DA48E6" w14:textId="77777777" w:rsidR="00443203" w:rsidRPr="00CD480D" w:rsidRDefault="00443203" w:rsidP="001822E4">
            <w:pPr>
              <w:pStyle w:val="Heading1"/>
            </w:pPr>
            <w:r w:rsidRPr="00CD480D">
              <w:t>Teaching Notes</w:t>
            </w:r>
          </w:p>
        </w:tc>
      </w:tr>
      <w:tr w:rsidR="00443203" w:rsidRPr="005C4337" w14:paraId="48B2A856" w14:textId="77777777" w:rsidTr="001822E4">
        <w:tc>
          <w:tcPr>
            <w:tcW w:w="9360" w:type="dxa"/>
            <w:gridSpan w:val="2"/>
            <w:tcBorders>
              <w:top w:val="single" w:sz="4" w:space="0" w:color="auto"/>
              <w:left w:val="single" w:sz="4" w:space="0" w:color="auto"/>
              <w:bottom w:val="single" w:sz="4" w:space="0" w:color="auto"/>
              <w:right w:val="single" w:sz="4" w:space="0" w:color="auto"/>
            </w:tcBorders>
          </w:tcPr>
          <w:p w14:paraId="27DF9DBA" w14:textId="76B9EF59" w:rsidR="00443203" w:rsidRPr="005C4337" w:rsidRDefault="00443203" w:rsidP="00852C29">
            <w:pPr>
              <w:pStyle w:val="TableBody"/>
              <w:spacing w:before="60" w:after="60"/>
              <w:rPr>
                <w:b/>
                <w:i/>
              </w:rPr>
            </w:pPr>
            <w:r w:rsidRPr="005C4337">
              <w:rPr>
                <w:b/>
                <w:i/>
              </w:rPr>
              <w:t xml:space="preserve">LO </w:t>
            </w:r>
            <w:r w:rsidR="00C45729" w:rsidRPr="00C45729">
              <w:rPr>
                <w:b/>
                <w:bCs/>
                <w:i/>
              </w:rPr>
              <w:t>9-</w:t>
            </w:r>
            <w:r w:rsidRPr="005C4337">
              <w:rPr>
                <w:b/>
                <w:i/>
              </w:rPr>
              <w:t>3 Apply various depreciation methods as economic benefits are used up over time.</w:t>
            </w:r>
          </w:p>
        </w:tc>
      </w:tr>
      <w:tr w:rsidR="004D5488" w14:paraId="165B0917" w14:textId="77777777" w:rsidTr="00443203">
        <w:tc>
          <w:tcPr>
            <w:tcW w:w="6498" w:type="dxa"/>
            <w:tcBorders>
              <w:right w:val="single" w:sz="4" w:space="0" w:color="auto"/>
            </w:tcBorders>
          </w:tcPr>
          <w:p w14:paraId="08F0B4D3" w14:textId="77777777" w:rsidR="004D5488" w:rsidRPr="00C60A4F" w:rsidRDefault="00443203" w:rsidP="00443203">
            <w:pPr>
              <w:pStyle w:val="TableBody"/>
              <w:ind w:left="864"/>
              <w:rPr>
                <w:iCs/>
              </w:rPr>
            </w:pPr>
            <w:r>
              <w:rPr>
                <w:iCs/>
              </w:rPr>
              <w:t>2</w:t>
            </w:r>
            <w:r w:rsidR="00C60A4F" w:rsidRPr="00C60A4F">
              <w:rPr>
                <w:iCs/>
              </w:rPr>
              <w:t>.</w:t>
            </w:r>
            <w:r w:rsidR="00C60A4F" w:rsidRPr="00C60A4F">
              <w:rPr>
                <w:iCs/>
              </w:rPr>
              <w:tab/>
            </w:r>
            <w:r w:rsidR="000A114E">
              <w:rPr>
                <w:iCs/>
              </w:rPr>
              <w:t>Depreciation Expense</w:t>
            </w:r>
          </w:p>
        </w:tc>
        <w:tc>
          <w:tcPr>
            <w:tcW w:w="2862" w:type="dxa"/>
            <w:tcBorders>
              <w:left w:val="single" w:sz="4" w:space="0" w:color="auto"/>
            </w:tcBorders>
          </w:tcPr>
          <w:p w14:paraId="1555C45E" w14:textId="77777777" w:rsidR="004D5488" w:rsidRDefault="004D5488" w:rsidP="00122122">
            <w:pPr>
              <w:pStyle w:val="TableBody"/>
            </w:pPr>
          </w:p>
        </w:tc>
      </w:tr>
      <w:tr w:rsidR="000A114E" w14:paraId="5F951EBF" w14:textId="77777777" w:rsidTr="00443203">
        <w:tc>
          <w:tcPr>
            <w:tcW w:w="6498" w:type="dxa"/>
            <w:tcBorders>
              <w:right w:val="single" w:sz="4" w:space="0" w:color="auto"/>
            </w:tcBorders>
          </w:tcPr>
          <w:p w14:paraId="3D788103" w14:textId="77777777" w:rsidR="000A114E" w:rsidRPr="000A114E" w:rsidRDefault="00443203" w:rsidP="00443203">
            <w:pPr>
              <w:pStyle w:val="TableBody"/>
              <w:ind w:left="1440" w:hanging="288"/>
            </w:pPr>
            <w:r>
              <w:t>a</w:t>
            </w:r>
            <w:r w:rsidR="000A114E">
              <w:t>.</w:t>
            </w:r>
            <w:r w:rsidR="000A114E">
              <w:tab/>
            </w:r>
            <w:r w:rsidR="000A114E" w:rsidRPr="000A114E">
              <w:t xml:space="preserve">The cost of a long-lived tangible asset is essentially a prepaid cost representing future </w:t>
            </w:r>
            <w:r w:rsidR="00B41C31">
              <w:t xml:space="preserve">economic </w:t>
            </w:r>
            <w:r w:rsidR="000A114E" w:rsidRPr="000A114E">
              <w:t>benefits. These benefits are used up when the asset is used, so following the matching principle, a portion of the asset’s cost is moved from the balance sheet to the income statement as an expense in the period the asset is used to generate revenue.</w:t>
            </w:r>
          </w:p>
        </w:tc>
        <w:tc>
          <w:tcPr>
            <w:tcW w:w="2862" w:type="dxa"/>
            <w:tcBorders>
              <w:left w:val="single" w:sz="4" w:space="0" w:color="auto"/>
            </w:tcBorders>
          </w:tcPr>
          <w:p w14:paraId="52FA18C5" w14:textId="77777777" w:rsidR="000A114E" w:rsidRDefault="00CB2DB3" w:rsidP="007133D7">
            <w:pPr>
              <w:pStyle w:val="TableBody"/>
            </w:pPr>
            <w:r>
              <w:t>Reporting depreciation on the balance sheet and income statement is illustrated in Exhibit 9.2</w:t>
            </w:r>
          </w:p>
        </w:tc>
      </w:tr>
      <w:tr w:rsidR="000A114E" w14:paraId="1C4EA494" w14:textId="77777777" w:rsidTr="00923EBF">
        <w:trPr>
          <w:trHeight w:val="763"/>
        </w:trPr>
        <w:tc>
          <w:tcPr>
            <w:tcW w:w="6498" w:type="dxa"/>
            <w:tcBorders>
              <w:right w:val="single" w:sz="4" w:space="0" w:color="auto"/>
            </w:tcBorders>
          </w:tcPr>
          <w:p w14:paraId="76C975C7" w14:textId="77777777" w:rsidR="000A114E" w:rsidRPr="000A114E" w:rsidRDefault="00443203" w:rsidP="003C535B">
            <w:pPr>
              <w:pStyle w:val="TableBody"/>
              <w:ind w:left="1728" w:hanging="288"/>
            </w:pPr>
            <w:r>
              <w:t>i</w:t>
            </w:r>
            <w:r w:rsidR="000A114E" w:rsidRPr="000A114E">
              <w:t>.</w:t>
            </w:r>
            <w:r w:rsidR="000A114E" w:rsidRPr="000A114E">
              <w:tab/>
            </w:r>
            <w:r w:rsidR="000A114E" w:rsidRPr="000A114E">
              <w:rPr>
                <w:b/>
              </w:rPr>
              <w:t>Depreciation</w:t>
            </w:r>
            <w:r w:rsidR="00B41C31">
              <w:t>–</w:t>
            </w:r>
            <w:r w:rsidR="003C535B">
              <w:rPr>
                <w:szCs w:val="22"/>
              </w:rPr>
              <w:t>–</w:t>
            </w:r>
            <w:r>
              <w:t xml:space="preserve">The </w:t>
            </w:r>
            <w:r w:rsidR="000A114E" w:rsidRPr="000A114E">
              <w:t>allocation of the cost of long-lived tangible assets over their productive lives using a systematic and rational method.</w:t>
            </w:r>
          </w:p>
        </w:tc>
        <w:tc>
          <w:tcPr>
            <w:tcW w:w="2862" w:type="dxa"/>
            <w:tcBorders>
              <w:left w:val="single" w:sz="4" w:space="0" w:color="auto"/>
            </w:tcBorders>
          </w:tcPr>
          <w:p w14:paraId="29B83ED1" w14:textId="77777777" w:rsidR="000A114E" w:rsidRDefault="00CB2DB3" w:rsidP="00CB2DB3">
            <w:pPr>
              <w:pStyle w:val="ListParagraph"/>
              <w:numPr>
                <w:ilvl w:val="0"/>
                <w:numId w:val="14"/>
              </w:numPr>
              <w:ind w:left="288" w:hanging="288"/>
              <w:jc w:val="left"/>
            </w:pPr>
            <w:r>
              <w:t>Supplemental Enrichment Activity (Activity) #1</w:t>
            </w:r>
          </w:p>
        </w:tc>
      </w:tr>
      <w:tr w:rsidR="000A114E" w:rsidRPr="00F343B1" w14:paraId="4EACB0BE" w14:textId="77777777">
        <w:tc>
          <w:tcPr>
            <w:tcW w:w="6498" w:type="dxa"/>
            <w:tcBorders>
              <w:right w:val="single" w:sz="4" w:space="0" w:color="auto"/>
            </w:tcBorders>
          </w:tcPr>
          <w:p w14:paraId="100C94A4" w14:textId="56202B55" w:rsidR="000A114E" w:rsidRPr="00F343B1" w:rsidRDefault="00443203" w:rsidP="00443203">
            <w:pPr>
              <w:pStyle w:val="TableBody"/>
              <w:ind w:left="1728" w:hanging="288"/>
            </w:pPr>
            <w:r w:rsidRPr="00F343B1">
              <w:t>ii</w:t>
            </w:r>
            <w:r w:rsidR="000A114E" w:rsidRPr="00F343B1">
              <w:t>.</w:t>
            </w:r>
            <w:r w:rsidR="000A114E" w:rsidRPr="00F343B1">
              <w:tab/>
            </w:r>
            <w:r w:rsidRPr="00F343B1">
              <w:t>Depreciation expense</w:t>
            </w:r>
            <w:r w:rsidR="00A131B6">
              <w:t>–</w:t>
            </w:r>
            <w:r w:rsidR="00A131B6" w:rsidRPr="00FE2A3F">
              <w:t>–</w:t>
            </w:r>
            <w:r w:rsidR="000A114E" w:rsidRPr="00F343B1">
              <w:t xml:space="preserve">The amount of depreciation recorded during each period is reported on the income statement. </w:t>
            </w:r>
          </w:p>
        </w:tc>
        <w:tc>
          <w:tcPr>
            <w:tcW w:w="2862" w:type="dxa"/>
            <w:tcBorders>
              <w:left w:val="single" w:sz="4" w:space="0" w:color="auto"/>
            </w:tcBorders>
          </w:tcPr>
          <w:p w14:paraId="4DAF0702" w14:textId="77777777" w:rsidR="000A114E" w:rsidRPr="00F343B1" w:rsidRDefault="000A114E" w:rsidP="00122122">
            <w:pPr>
              <w:pStyle w:val="TableBody"/>
            </w:pPr>
          </w:p>
        </w:tc>
      </w:tr>
      <w:tr w:rsidR="000A114E" w:rsidRPr="00F343B1" w14:paraId="4C818934" w14:textId="77777777">
        <w:tc>
          <w:tcPr>
            <w:tcW w:w="6498" w:type="dxa"/>
            <w:tcBorders>
              <w:right w:val="single" w:sz="4" w:space="0" w:color="auto"/>
            </w:tcBorders>
          </w:tcPr>
          <w:p w14:paraId="52053AC5" w14:textId="77777777" w:rsidR="000A114E" w:rsidRPr="00F343B1" w:rsidRDefault="00443203" w:rsidP="00443203">
            <w:pPr>
              <w:pStyle w:val="TableBody"/>
              <w:ind w:left="1728" w:hanging="288"/>
            </w:pPr>
            <w:r w:rsidRPr="00F343B1">
              <w:t>iii</w:t>
            </w:r>
            <w:r w:rsidR="000A114E" w:rsidRPr="00F343B1">
              <w:t>.</w:t>
            </w:r>
            <w:r w:rsidR="000A114E" w:rsidRPr="00F343B1">
              <w:tab/>
            </w:r>
            <w:r w:rsidRPr="00F343B1">
              <w:t>Accumulated Depreciation</w:t>
            </w:r>
            <w:r w:rsidR="003C535B">
              <w:rPr>
                <w:szCs w:val="22"/>
              </w:rPr>
              <w:t>––</w:t>
            </w:r>
            <w:r w:rsidRPr="00F343B1">
              <w:t>A contra-account that accumulates t</w:t>
            </w:r>
            <w:r w:rsidR="000A114E" w:rsidRPr="00F343B1">
              <w:t>he amount of depreciation since the acquisition date</w:t>
            </w:r>
            <w:r w:rsidRPr="00F343B1">
              <w:t>; r</w:t>
            </w:r>
            <w:r w:rsidR="000A114E" w:rsidRPr="00F343B1">
              <w:t xml:space="preserve">eported on the balance sheet and deducted from the related asset’s cost. </w:t>
            </w:r>
          </w:p>
        </w:tc>
        <w:tc>
          <w:tcPr>
            <w:tcW w:w="2862" w:type="dxa"/>
            <w:tcBorders>
              <w:left w:val="single" w:sz="4" w:space="0" w:color="auto"/>
            </w:tcBorders>
          </w:tcPr>
          <w:p w14:paraId="2DAC77ED" w14:textId="77777777" w:rsidR="000A114E" w:rsidRPr="00F343B1" w:rsidRDefault="000A114E" w:rsidP="00122122">
            <w:pPr>
              <w:pStyle w:val="TableBody"/>
            </w:pPr>
          </w:p>
        </w:tc>
      </w:tr>
      <w:tr w:rsidR="00CB2DB3" w:rsidRPr="00F343B1" w14:paraId="2D66EDB5" w14:textId="77777777">
        <w:tc>
          <w:tcPr>
            <w:tcW w:w="6498" w:type="dxa"/>
            <w:tcBorders>
              <w:right w:val="single" w:sz="4" w:space="0" w:color="auto"/>
            </w:tcBorders>
          </w:tcPr>
          <w:p w14:paraId="20795C05" w14:textId="77777777" w:rsidR="00CB2DB3" w:rsidRPr="00F343B1" w:rsidRDefault="00443203" w:rsidP="003C535B">
            <w:pPr>
              <w:pStyle w:val="TableBody"/>
              <w:ind w:left="1728" w:hanging="288"/>
            </w:pPr>
            <w:r w:rsidRPr="00F343B1">
              <w:t>iv</w:t>
            </w:r>
            <w:r w:rsidR="00CB2DB3" w:rsidRPr="00F343B1">
              <w:t>.</w:t>
            </w:r>
            <w:r w:rsidR="00CB2DB3" w:rsidRPr="00F343B1">
              <w:tab/>
            </w:r>
            <w:r w:rsidRPr="00766794">
              <w:rPr>
                <w:b/>
              </w:rPr>
              <w:t>B</w:t>
            </w:r>
            <w:r w:rsidR="00CB2DB3" w:rsidRPr="00766794">
              <w:rPr>
                <w:b/>
              </w:rPr>
              <w:t>ook (or carrying) value</w:t>
            </w:r>
            <w:r w:rsidRPr="00F343B1">
              <w:t>–</w:t>
            </w:r>
            <w:r w:rsidR="003C535B">
              <w:rPr>
                <w:szCs w:val="22"/>
              </w:rPr>
              <w:t>–</w:t>
            </w:r>
            <w:r w:rsidRPr="00F343B1">
              <w:t>A</w:t>
            </w:r>
            <w:r w:rsidR="00CB2DB3" w:rsidRPr="00F343B1">
              <w:t>cquisition cost less the accumulated depreciation from acquisition date to the balance sheet date.</w:t>
            </w:r>
          </w:p>
        </w:tc>
        <w:tc>
          <w:tcPr>
            <w:tcW w:w="2862" w:type="dxa"/>
            <w:tcBorders>
              <w:left w:val="single" w:sz="4" w:space="0" w:color="auto"/>
            </w:tcBorders>
          </w:tcPr>
          <w:p w14:paraId="6ACBF445" w14:textId="77777777" w:rsidR="00CB2DB3" w:rsidRPr="00F343B1" w:rsidRDefault="00CB2DB3" w:rsidP="00CB2DB3">
            <w:pPr>
              <w:pStyle w:val="ListParagraph"/>
              <w:numPr>
                <w:ilvl w:val="0"/>
                <w:numId w:val="14"/>
              </w:numPr>
              <w:ind w:left="288" w:hanging="288"/>
              <w:jc w:val="left"/>
            </w:pPr>
            <w:r w:rsidRPr="00F343B1">
              <w:t>Activity #2</w:t>
            </w:r>
          </w:p>
        </w:tc>
      </w:tr>
      <w:tr w:rsidR="00A712A2" w14:paraId="0AF52B08" w14:textId="77777777">
        <w:tc>
          <w:tcPr>
            <w:tcW w:w="6498" w:type="dxa"/>
            <w:tcBorders>
              <w:right w:val="single" w:sz="4" w:space="0" w:color="auto"/>
            </w:tcBorders>
          </w:tcPr>
          <w:p w14:paraId="60BA0F4B" w14:textId="77777777" w:rsidR="00A712A2" w:rsidRDefault="00A712A2" w:rsidP="00A712A2">
            <w:pPr>
              <w:pStyle w:val="TableBody"/>
              <w:ind w:left="1440" w:hanging="288"/>
            </w:pPr>
            <w:r>
              <w:t>b.</w:t>
            </w:r>
            <w:r>
              <w:tab/>
              <w:t>Assume that depreciation of $130</w:t>
            </w:r>
            <w:r w:rsidR="00880B25">
              <w:t>,000</w:t>
            </w:r>
            <w:r>
              <w:t xml:space="preserve"> is recorded.</w:t>
            </w:r>
          </w:p>
        </w:tc>
        <w:tc>
          <w:tcPr>
            <w:tcW w:w="2862" w:type="dxa"/>
            <w:tcBorders>
              <w:left w:val="single" w:sz="4" w:space="0" w:color="auto"/>
            </w:tcBorders>
          </w:tcPr>
          <w:p w14:paraId="5CE9A894" w14:textId="77777777" w:rsidR="00A712A2" w:rsidRDefault="00A712A2" w:rsidP="00122122">
            <w:pPr>
              <w:pStyle w:val="TableBody"/>
            </w:pPr>
          </w:p>
        </w:tc>
      </w:tr>
      <w:tr w:rsidR="003D7EAA" w14:paraId="59034BEA" w14:textId="77777777" w:rsidTr="001822E4">
        <w:tc>
          <w:tcPr>
            <w:tcW w:w="6498" w:type="dxa"/>
            <w:tcBorders>
              <w:right w:val="single" w:sz="4" w:space="0" w:color="auto"/>
            </w:tcBorders>
            <w:vAlign w:val="center"/>
          </w:tcPr>
          <w:p w14:paraId="7A808FA5" w14:textId="77777777" w:rsidR="003D7EAA" w:rsidRPr="003656D8" w:rsidRDefault="003D7EAA" w:rsidP="002B2CC3">
            <w:pPr>
              <w:pStyle w:val="TableBody"/>
              <w:ind w:left="1728" w:hanging="288"/>
            </w:pPr>
            <w:r>
              <w:t>i.</w:t>
            </w:r>
            <w:r>
              <w:tab/>
            </w:r>
            <w:r w:rsidR="00880B25">
              <w:t xml:space="preserve">Analyze </w:t>
            </w:r>
            <w:r w:rsidR="00880B25" w:rsidRPr="00F645CC">
              <w:rPr>
                <w:i/>
              </w:rPr>
              <w:t xml:space="preserve">(rounded to nearest </w:t>
            </w:r>
            <w:r w:rsidR="00880B25">
              <w:rPr>
                <w:i/>
              </w:rPr>
              <w:t>thousand</w:t>
            </w:r>
            <w:r w:rsidR="00880B25" w:rsidRPr="00F645CC">
              <w:rPr>
                <w:i/>
              </w:rPr>
              <w:t>):</w:t>
            </w:r>
            <w:r>
              <w:br/>
              <w:t>Assets = Liabilities + Stockholders’ Equity</w:t>
            </w:r>
            <w:r>
              <w:br/>
              <w:t>Accumulated Depreciation (xA) –</w:t>
            </w:r>
            <w:r w:rsidR="002B2CC3">
              <w:t>1</w:t>
            </w:r>
            <w:r>
              <w:t>30; Depreciation Expense (E) –</w:t>
            </w:r>
            <w:r w:rsidR="002B2CC3">
              <w:t>1</w:t>
            </w:r>
            <w:r>
              <w:t>30</w:t>
            </w:r>
          </w:p>
        </w:tc>
        <w:tc>
          <w:tcPr>
            <w:tcW w:w="2862" w:type="dxa"/>
            <w:tcBorders>
              <w:left w:val="single" w:sz="4" w:space="0" w:color="auto"/>
            </w:tcBorders>
          </w:tcPr>
          <w:p w14:paraId="3113A08F" w14:textId="77777777" w:rsidR="003D7EAA" w:rsidRDefault="003D7EAA" w:rsidP="00122122">
            <w:pPr>
              <w:pStyle w:val="TableBody"/>
            </w:pPr>
          </w:p>
        </w:tc>
      </w:tr>
      <w:tr w:rsidR="00A712A2" w14:paraId="74ED8730" w14:textId="77777777">
        <w:tc>
          <w:tcPr>
            <w:tcW w:w="6498" w:type="dxa"/>
            <w:tcBorders>
              <w:right w:val="single" w:sz="4" w:space="0" w:color="auto"/>
            </w:tcBorders>
          </w:tcPr>
          <w:p w14:paraId="6E843229" w14:textId="77777777" w:rsidR="00A712A2" w:rsidRDefault="00880B25" w:rsidP="00880B25">
            <w:pPr>
              <w:pStyle w:val="TableBody"/>
              <w:ind w:left="1728" w:hanging="288"/>
            </w:pPr>
            <w:r>
              <w:t>ii</w:t>
            </w:r>
            <w:r w:rsidR="00A712A2">
              <w:t>.</w:t>
            </w:r>
            <w:r w:rsidR="00A712A2">
              <w:tab/>
              <w:t>Record:</w:t>
            </w:r>
          </w:p>
        </w:tc>
        <w:tc>
          <w:tcPr>
            <w:tcW w:w="2862" w:type="dxa"/>
            <w:tcBorders>
              <w:left w:val="single" w:sz="4" w:space="0" w:color="auto"/>
            </w:tcBorders>
          </w:tcPr>
          <w:p w14:paraId="60854D26" w14:textId="77777777" w:rsidR="00A712A2" w:rsidRDefault="00A712A2" w:rsidP="00122122">
            <w:pPr>
              <w:pStyle w:val="TableBody"/>
            </w:pPr>
          </w:p>
        </w:tc>
      </w:tr>
      <w:tr w:rsidR="00A712A2" w14:paraId="6ACAA4E0" w14:textId="77777777">
        <w:tc>
          <w:tcPr>
            <w:tcW w:w="6498" w:type="dxa"/>
            <w:tcBorders>
              <w:right w:val="single" w:sz="4" w:space="0" w:color="auto"/>
            </w:tcBorders>
          </w:tcPr>
          <w:tbl>
            <w:tblPr>
              <w:tblW w:w="4752" w:type="dxa"/>
              <w:tblInd w:w="1584" w:type="dxa"/>
              <w:tblLayout w:type="fixed"/>
              <w:tblLook w:val="04A0" w:firstRow="1" w:lastRow="0" w:firstColumn="1" w:lastColumn="0" w:noHBand="0" w:noVBand="1"/>
            </w:tblPr>
            <w:tblGrid>
              <w:gridCol w:w="3600"/>
              <w:gridCol w:w="576"/>
              <w:gridCol w:w="576"/>
            </w:tblGrid>
            <w:tr w:rsidR="00923EBF" w14:paraId="671896F3" w14:textId="77777777" w:rsidTr="00A712A2">
              <w:tc>
                <w:tcPr>
                  <w:tcW w:w="3600" w:type="dxa"/>
                </w:tcPr>
                <w:p w14:paraId="57683B37" w14:textId="77777777" w:rsidR="00923EBF" w:rsidRDefault="00923EBF" w:rsidP="00CD2C4D">
                  <w:pPr>
                    <w:pStyle w:val="TableBody"/>
                  </w:pPr>
                  <w:r>
                    <w:t xml:space="preserve">Depreciation Expense </w:t>
                  </w:r>
                </w:p>
              </w:tc>
              <w:tc>
                <w:tcPr>
                  <w:tcW w:w="576" w:type="dxa"/>
                </w:tcPr>
                <w:p w14:paraId="54B493B5" w14:textId="77777777" w:rsidR="00923EBF" w:rsidRDefault="00923EBF" w:rsidP="00A712A2">
                  <w:pPr>
                    <w:pStyle w:val="TableBody"/>
                    <w:jc w:val="right"/>
                  </w:pPr>
                  <w:r>
                    <w:t>130</w:t>
                  </w:r>
                </w:p>
              </w:tc>
              <w:tc>
                <w:tcPr>
                  <w:tcW w:w="576" w:type="dxa"/>
                </w:tcPr>
                <w:p w14:paraId="2E9361B8" w14:textId="77777777" w:rsidR="00923EBF" w:rsidRDefault="00923EBF" w:rsidP="001822E4">
                  <w:pPr>
                    <w:pStyle w:val="TableBody"/>
                    <w:jc w:val="right"/>
                  </w:pPr>
                </w:p>
              </w:tc>
            </w:tr>
            <w:tr w:rsidR="00923EBF" w14:paraId="3409ED52" w14:textId="77777777" w:rsidTr="00A712A2">
              <w:tc>
                <w:tcPr>
                  <w:tcW w:w="3600" w:type="dxa"/>
                </w:tcPr>
                <w:p w14:paraId="3563D094" w14:textId="77777777" w:rsidR="00923EBF" w:rsidRDefault="00923EBF" w:rsidP="00923EBF">
                  <w:pPr>
                    <w:pStyle w:val="TableBody"/>
                  </w:pPr>
                  <w:r>
                    <w:t xml:space="preserve"> </w:t>
                  </w:r>
                  <w:r w:rsidR="002B6F4D">
                    <w:t xml:space="preserve"> </w:t>
                  </w:r>
                  <w:r>
                    <w:t xml:space="preserve">  Accumulated Depreciation </w:t>
                  </w:r>
                </w:p>
              </w:tc>
              <w:tc>
                <w:tcPr>
                  <w:tcW w:w="576" w:type="dxa"/>
                </w:tcPr>
                <w:p w14:paraId="5145919C" w14:textId="77777777" w:rsidR="00923EBF" w:rsidRDefault="00923EBF" w:rsidP="001822E4">
                  <w:pPr>
                    <w:pStyle w:val="TableBody"/>
                    <w:jc w:val="right"/>
                  </w:pPr>
                </w:p>
              </w:tc>
              <w:tc>
                <w:tcPr>
                  <w:tcW w:w="576" w:type="dxa"/>
                </w:tcPr>
                <w:p w14:paraId="74EFF153" w14:textId="77777777" w:rsidR="00923EBF" w:rsidRDefault="00923EBF" w:rsidP="001822E4">
                  <w:pPr>
                    <w:pStyle w:val="TableBody"/>
                    <w:jc w:val="right"/>
                  </w:pPr>
                  <w:r>
                    <w:t>130</w:t>
                  </w:r>
                </w:p>
              </w:tc>
            </w:tr>
          </w:tbl>
          <w:p w14:paraId="7BE2397A" w14:textId="77777777" w:rsidR="00A712A2" w:rsidRDefault="00A712A2" w:rsidP="001822E4">
            <w:pPr>
              <w:pStyle w:val="TableBody"/>
              <w:ind w:left="1728" w:hanging="288"/>
            </w:pPr>
          </w:p>
        </w:tc>
        <w:tc>
          <w:tcPr>
            <w:tcW w:w="2862" w:type="dxa"/>
            <w:tcBorders>
              <w:left w:val="single" w:sz="4" w:space="0" w:color="auto"/>
            </w:tcBorders>
          </w:tcPr>
          <w:p w14:paraId="30C40398" w14:textId="77777777" w:rsidR="00A712A2" w:rsidRDefault="00A712A2" w:rsidP="001822E4">
            <w:pPr>
              <w:pStyle w:val="TableBody"/>
            </w:pPr>
          </w:p>
        </w:tc>
      </w:tr>
      <w:tr w:rsidR="00CB2DB3" w14:paraId="680117CD" w14:textId="77777777">
        <w:tc>
          <w:tcPr>
            <w:tcW w:w="6498" w:type="dxa"/>
            <w:tcBorders>
              <w:right w:val="single" w:sz="4" w:space="0" w:color="auto"/>
            </w:tcBorders>
          </w:tcPr>
          <w:p w14:paraId="7B240A3A" w14:textId="77777777" w:rsidR="00CB2DB3" w:rsidRDefault="00880B25" w:rsidP="00880B25">
            <w:pPr>
              <w:pStyle w:val="TableBody"/>
              <w:ind w:left="1440" w:hanging="288"/>
            </w:pPr>
            <w:r>
              <w:t>c</w:t>
            </w:r>
            <w:r w:rsidR="00CB2DB3">
              <w:t>.</w:t>
            </w:r>
            <w:r w:rsidR="00CB2DB3">
              <w:tab/>
            </w:r>
            <w:r w:rsidR="00CB2DB3" w:rsidRPr="002665EF">
              <w:t xml:space="preserve">To calculate depreciation expense, you need three amounts: </w:t>
            </w:r>
          </w:p>
        </w:tc>
        <w:tc>
          <w:tcPr>
            <w:tcW w:w="2862" w:type="dxa"/>
            <w:tcBorders>
              <w:left w:val="single" w:sz="4" w:space="0" w:color="auto"/>
            </w:tcBorders>
          </w:tcPr>
          <w:p w14:paraId="30A93FCB" w14:textId="77777777" w:rsidR="00CB2DB3" w:rsidRDefault="00CB2DB3" w:rsidP="00122122">
            <w:pPr>
              <w:pStyle w:val="TableBody"/>
            </w:pPr>
          </w:p>
        </w:tc>
      </w:tr>
      <w:tr w:rsidR="00CB2DB3" w:rsidRPr="00F343B1" w14:paraId="5EC4091C" w14:textId="77777777">
        <w:tc>
          <w:tcPr>
            <w:tcW w:w="6498" w:type="dxa"/>
            <w:tcBorders>
              <w:right w:val="single" w:sz="4" w:space="0" w:color="auto"/>
            </w:tcBorders>
          </w:tcPr>
          <w:p w14:paraId="0CFAF123" w14:textId="0A9A0209" w:rsidR="00CB2DB3" w:rsidRPr="00F343B1" w:rsidRDefault="00443203" w:rsidP="00A131B6">
            <w:pPr>
              <w:pStyle w:val="TableBody"/>
              <w:ind w:left="1728" w:hanging="288"/>
            </w:pPr>
            <w:r w:rsidRPr="00F343B1">
              <w:t>i</w:t>
            </w:r>
            <w:r w:rsidR="00CB2DB3" w:rsidRPr="00F343B1">
              <w:t>.</w:t>
            </w:r>
            <w:r w:rsidR="00CB2DB3" w:rsidRPr="00F343B1">
              <w:tab/>
              <w:t>Asset cost</w:t>
            </w:r>
            <w:r w:rsidR="00A131B6">
              <w:t>–</w:t>
            </w:r>
            <w:r w:rsidR="00A131B6" w:rsidRPr="00FE2A3F">
              <w:t>–</w:t>
            </w:r>
            <w:r w:rsidR="00CB2DB3" w:rsidRPr="00F343B1">
              <w:t>All the costs capitalized for the asset.</w:t>
            </w:r>
          </w:p>
        </w:tc>
        <w:tc>
          <w:tcPr>
            <w:tcW w:w="2862" w:type="dxa"/>
            <w:tcBorders>
              <w:left w:val="single" w:sz="4" w:space="0" w:color="auto"/>
            </w:tcBorders>
          </w:tcPr>
          <w:p w14:paraId="12018124" w14:textId="77777777" w:rsidR="00CB2DB3" w:rsidRPr="00F343B1" w:rsidRDefault="00CB2DB3" w:rsidP="00122122">
            <w:pPr>
              <w:pStyle w:val="TableBody"/>
            </w:pPr>
          </w:p>
        </w:tc>
      </w:tr>
      <w:tr w:rsidR="00563A51" w14:paraId="30AFBC4C" w14:textId="77777777" w:rsidTr="00CD2C4D">
        <w:tc>
          <w:tcPr>
            <w:tcW w:w="6498" w:type="dxa"/>
            <w:tcBorders>
              <w:right w:val="single" w:sz="4" w:space="0" w:color="auto"/>
            </w:tcBorders>
          </w:tcPr>
          <w:p w14:paraId="219E5882" w14:textId="77777777" w:rsidR="00563A51" w:rsidRDefault="00563A51" w:rsidP="003C535B">
            <w:pPr>
              <w:pStyle w:val="TableBody"/>
              <w:ind w:left="1728" w:hanging="288"/>
            </w:pPr>
            <w:r>
              <w:t>ii.</w:t>
            </w:r>
            <w:r>
              <w:tab/>
            </w:r>
            <w:r w:rsidRPr="00563A51">
              <w:rPr>
                <w:b/>
              </w:rPr>
              <w:t>Useful life</w:t>
            </w:r>
            <w:r w:rsidR="003C535B">
              <w:rPr>
                <w:szCs w:val="22"/>
              </w:rPr>
              <w:t>–</w:t>
            </w:r>
            <w:r>
              <w:t xml:space="preserve">–Expected service life of an </w:t>
            </w:r>
            <w:r w:rsidRPr="002665EF">
              <w:t>asset</w:t>
            </w:r>
            <w:r>
              <w:t xml:space="preserve"> to the present owner.</w:t>
            </w:r>
            <w:r w:rsidRPr="002665EF">
              <w:t xml:space="preserve"> </w:t>
            </w:r>
          </w:p>
        </w:tc>
        <w:tc>
          <w:tcPr>
            <w:tcW w:w="2862" w:type="dxa"/>
            <w:tcBorders>
              <w:left w:val="single" w:sz="4" w:space="0" w:color="auto"/>
            </w:tcBorders>
          </w:tcPr>
          <w:p w14:paraId="52B624D4" w14:textId="77777777" w:rsidR="00563A51" w:rsidRDefault="00563A51" w:rsidP="00CD2C4D">
            <w:pPr>
              <w:pStyle w:val="TableBody"/>
            </w:pPr>
          </w:p>
        </w:tc>
      </w:tr>
      <w:tr w:rsidR="00563A51" w14:paraId="24C570FC" w14:textId="77777777" w:rsidTr="00CD2C4D">
        <w:tc>
          <w:tcPr>
            <w:tcW w:w="6498" w:type="dxa"/>
            <w:tcBorders>
              <w:right w:val="single" w:sz="4" w:space="0" w:color="auto"/>
            </w:tcBorders>
          </w:tcPr>
          <w:p w14:paraId="60D77CEF" w14:textId="77777777" w:rsidR="00563A51" w:rsidRDefault="00563A51" w:rsidP="00CD2C4D">
            <w:pPr>
              <w:pStyle w:val="TableBody"/>
              <w:numPr>
                <w:ilvl w:val="0"/>
                <w:numId w:val="6"/>
              </w:numPr>
            </w:pPr>
            <w:r>
              <w:t>L</w:t>
            </w:r>
            <w:r w:rsidRPr="002665EF">
              <w:t>ife</w:t>
            </w:r>
            <w:r>
              <w:t xml:space="preserve"> </w:t>
            </w:r>
            <w:r w:rsidRPr="002665EF">
              <w:t>may be expressed in terms of years or units of asset capacity</w:t>
            </w:r>
            <w:r>
              <w:t>.</w:t>
            </w:r>
          </w:p>
          <w:p w14:paraId="45E0C80C" w14:textId="77777777" w:rsidR="00563A51" w:rsidRDefault="00563A51" w:rsidP="00CD2C4D">
            <w:pPr>
              <w:pStyle w:val="TableBody"/>
              <w:numPr>
                <w:ilvl w:val="0"/>
                <w:numId w:val="6"/>
              </w:numPr>
            </w:pPr>
            <w:r w:rsidRPr="002665EF">
              <w:t>Land is the only</w:t>
            </w:r>
            <w:r>
              <w:t xml:space="preserve"> </w:t>
            </w:r>
            <w:r w:rsidRPr="002665EF">
              <w:t>tangible asset that’s assum</w:t>
            </w:r>
            <w:r>
              <w:t>ed to have an unlimited (indefi</w:t>
            </w:r>
            <w:r w:rsidRPr="002665EF">
              <w:t>nite) useful life.</w:t>
            </w:r>
            <w:r>
              <w:t xml:space="preserve"> </w:t>
            </w:r>
            <w:r w:rsidRPr="002665EF">
              <w:t>Because of this, land is not depreciated.</w:t>
            </w:r>
          </w:p>
        </w:tc>
        <w:tc>
          <w:tcPr>
            <w:tcW w:w="2862" w:type="dxa"/>
            <w:tcBorders>
              <w:left w:val="single" w:sz="4" w:space="0" w:color="auto"/>
            </w:tcBorders>
          </w:tcPr>
          <w:p w14:paraId="5B674B6D" w14:textId="77777777" w:rsidR="00563A51" w:rsidRDefault="00563A51" w:rsidP="00CD2C4D">
            <w:pPr>
              <w:pStyle w:val="TableBody"/>
            </w:pPr>
          </w:p>
        </w:tc>
      </w:tr>
      <w:tr w:rsidR="00CB2DB3" w14:paraId="02C28AB0" w14:textId="77777777">
        <w:tc>
          <w:tcPr>
            <w:tcW w:w="6498" w:type="dxa"/>
            <w:tcBorders>
              <w:right w:val="single" w:sz="4" w:space="0" w:color="auto"/>
            </w:tcBorders>
          </w:tcPr>
          <w:p w14:paraId="458C4BF6" w14:textId="77777777" w:rsidR="00CB2DB3" w:rsidRDefault="00443203" w:rsidP="003C535B">
            <w:pPr>
              <w:pStyle w:val="TableBody"/>
              <w:ind w:left="1728" w:hanging="288"/>
            </w:pPr>
            <w:r>
              <w:t>i</w:t>
            </w:r>
            <w:r w:rsidR="00563A51">
              <w:t>i</w:t>
            </w:r>
            <w:r>
              <w:t>i</w:t>
            </w:r>
            <w:r w:rsidR="00CB2DB3" w:rsidRPr="002665EF">
              <w:t>.</w:t>
            </w:r>
            <w:r w:rsidR="00CB2DB3">
              <w:tab/>
            </w:r>
            <w:r w:rsidR="00CB2DB3" w:rsidRPr="00443203">
              <w:rPr>
                <w:b/>
              </w:rPr>
              <w:t xml:space="preserve">Residual </w:t>
            </w:r>
            <w:r>
              <w:rPr>
                <w:b/>
              </w:rPr>
              <w:t xml:space="preserve">(or salvage) </w:t>
            </w:r>
            <w:r w:rsidR="00CB2DB3" w:rsidRPr="00443203">
              <w:rPr>
                <w:b/>
              </w:rPr>
              <w:t>value</w:t>
            </w:r>
            <w:r w:rsidR="003C535B">
              <w:rPr>
                <w:szCs w:val="22"/>
              </w:rPr>
              <w:t>–</w:t>
            </w:r>
            <w:r w:rsidR="00CB2DB3">
              <w:t xml:space="preserve">–An </w:t>
            </w:r>
            <w:r w:rsidR="00CB2DB3" w:rsidRPr="002665EF">
              <w:t xml:space="preserve">estimate of the amount </w:t>
            </w:r>
            <w:r>
              <w:t xml:space="preserve">to be recovered at the end of the company’s estimated useful life of an asset. </w:t>
            </w:r>
          </w:p>
        </w:tc>
        <w:tc>
          <w:tcPr>
            <w:tcW w:w="2862" w:type="dxa"/>
            <w:tcBorders>
              <w:left w:val="single" w:sz="4" w:space="0" w:color="auto"/>
            </w:tcBorders>
          </w:tcPr>
          <w:p w14:paraId="324B0318" w14:textId="77777777" w:rsidR="00CB2DB3" w:rsidRDefault="00CB2DB3" w:rsidP="00122122">
            <w:pPr>
              <w:pStyle w:val="TableBody"/>
            </w:pPr>
          </w:p>
        </w:tc>
      </w:tr>
    </w:tbl>
    <w:p w14:paraId="7C4F22AE" w14:textId="77777777" w:rsidR="00A712A2" w:rsidRPr="00BC2B2D" w:rsidRDefault="00A712A2" w:rsidP="00A712A2">
      <w:pPr>
        <w:rPr>
          <w:sz w:val="4"/>
          <w:szCs w:val="4"/>
        </w:rPr>
      </w:pPr>
      <w:r>
        <w:br w:type="page"/>
      </w:r>
    </w:p>
    <w:tbl>
      <w:tblPr>
        <w:tblW w:w="0" w:type="auto"/>
        <w:tblLayout w:type="fixed"/>
        <w:tblLook w:val="01E0" w:firstRow="1" w:lastRow="1" w:firstColumn="1" w:lastColumn="1" w:noHBand="0" w:noVBand="0"/>
      </w:tblPr>
      <w:tblGrid>
        <w:gridCol w:w="6498"/>
        <w:gridCol w:w="2862"/>
      </w:tblGrid>
      <w:tr w:rsidR="00A712A2" w:rsidRPr="00CD480D" w14:paraId="6EC11C25" w14:textId="77777777" w:rsidTr="001822E4">
        <w:tc>
          <w:tcPr>
            <w:tcW w:w="6498" w:type="dxa"/>
            <w:tcBorders>
              <w:right w:val="single" w:sz="4" w:space="0" w:color="auto"/>
            </w:tcBorders>
          </w:tcPr>
          <w:p w14:paraId="02F25584" w14:textId="77777777" w:rsidR="00A712A2" w:rsidRPr="00507ED2" w:rsidRDefault="00A712A2" w:rsidP="001822E4">
            <w:pPr>
              <w:pStyle w:val="Heading1"/>
              <w:rPr>
                <w:bCs/>
              </w:rPr>
            </w:pPr>
            <w:r>
              <w:rPr>
                <w:rFonts w:ascii="Times New Roman" w:hAnsi="Times New Roman"/>
                <w:b w:val="0"/>
                <w:kern w:val="0"/>
                <w:sz w:val="22"/>
                <w:u w:val="none"/>
              </w:rPr>
              <w:lastRenderedPageBreak/>
              <w:br w:type="page"/>
            </w:r>
            <w:r>
              <w:rPr>
                <w:rFonts w:ascii="Times New Roman" w:hAnsi="Times New Roman"/>
                <w:b w:val="0"/>
                <w:kern w:val="0"/>
                <w:sz w:val="22"/>
                <w:u w:val="none"/>
              </w:rPr>
              <w:br w:type="page"/>
            </w:r>
            <w:r>
              <w:t>Chapter Outline</w:t>
            </w:r>
          </w:p>
        </w:tc>
        <w:tc>
          <w:tcPr>
            <w:tcW w:w="2862" w:type="dxa"/>
            <w:tcBorders>
              <w:left w:val="single" w:sz="4" w:space="0" w:color="auto"/>
            </w:tcBorders>
          </w:tcPr>
          <w:p w14:paraId="25C76D84" w14:textId="77777777" w:rsidR="00A712A2" w:rsidRPr="00CD480D" w:rsidRDefault="00A712A2" w:rsidP="001822E4">
            <w:pPr>
              <w:pStyle w:val="Heading1"/>
            </w:pPr>
            <w:r w:rsidRPr="00CD480D">
              <w:t>Teaching Notes</w:t>
            </w:r>
          </w:p>
        </w:tc>
      </w:tr>
      <w:tr w:rsidR="00CB2DB3" w14:paraId="68B7D311" w14:textId="77777777">
        <w:tc>
          <w:tcPr>
            <w:tcW w:w="6498" w:type="dxa"/>
            <w:tcBorders>
              <w:right w:val="single" w:sz="4" w:space="0" w:color="auto"/>
            </w:tcBorders>
          </w:tcPr>
          <w:p w14:paraId="0161BB52" w14:textId="514CD79A" w:rsidR="00CB2DB3" w:rsidRPr="002665EF" w:rsidRDefault="00C67789" w:rsidP="003C535B">
            <w:pPr>
              <w:pStyle w:val="TableBody"/>
              <w:ind w:left="1440" w:hanging="288"/>
            </w:pPr>
            <w:r>
              <w:t>d</w:t>
            </w:r>
            <w:r w:rsidR="00CB2DB3">
              <w:t>.</w:t>
            </w:r>
            <w:r w:rsidR="00CB2DB3">
              <w:tab/>
            </w:r>
            <w:r w:rsidR="00CB2DB3" w:rsidRPr="00CF7B4B">
              <w:rPr>
                <w:b/>
              </w:rPr>
              <w:t>Depreciable cost</w:t>
            </w:r>
            <w:r w:rsidR="00B41C31">
              <w:t>–</w:t>
            </w:r>
            <w:r w:rsidR="003C535B">
              <w:rPr>
                <w:szCs w:val="22"/>
              </w:rPr>
              <w:t>–</w:t>
            </w:r>
            <w:r w:rsidR="00B41C31">
              <w:t xml:space="preserve">The </w:t>
            </w:r>
            <w:r w:rsidR="00CB2DB3" w:rsidRPr="00CF7B4B">
              <w:t>portion</w:t>
            </w:r>
            <w:r w:rsidR="00CB2DB3">
              <w:t xml:space="preserve"> </w:t>
            </w:r>
            <w:r w:rsidR="00CB2DB3" w:rsidRPr="00CF7B4B">
              <w:t>of the asset’s cost that will be</w:t>
            </w:r>
            <w:r w:rsidR="00CB2DB3">
              <w:t xml:space="preserve"> </w:t>
            </w:r>
            <w:r w:rsidR="00CB2DB3" w:rsidRPr="00CF7B4B">
              <w:t>used in generating revenue</w:t>
            </w:r>
            <w:r w:rsidR="00B41C31">
              <w:t xml:space="preserve">; </w:t>
            </w:r>
            <w:r w:rsidR="00CB2DB3" w:rsidRPr="00CF7B4B">
              <w:t>calculated as asset cost</w:t>
            </w:r>
            <w:r w:rsidR="00CB2DB3">
              <w:t xml:space="preserve"> </w:t>
            </w:r>
            <w:r w:rsidR="00CB2DB3" w:rsidRPr="00CF7B4B">
              <w:t>minus residual value</w:t>
            </w:r>
            <w:r w:rsidR="00B41C31">
              <w:t>.</w:t>
            </w:r>
          </w:p>
        </w:tc>
        <w:tc>
          <w:tcPr>
            <w:tcW w:w="2862" w:type="dxa"/>
            <w:tcBorders>
              <w:left w:val="single" w:sz="4" w:space="0" w:color="auto"/>
            </w:tcBorders>
          </w:tcPr>
          <w:p w14:paraId="1D5BE047" w14:textId="77777777" w:rsidR="00CB2DB3" w:rsidRDefault="00CB2DB3" w:rsidP="00122122">
            <w:pPr>
              <w:pStyle w:val="TableBody"/>
            </w:pPr>
          </w:p>
        </w:tc>
      </w:tr>
      <w:tr w:rsidR="00CB2DB3" w14:paraId="19A2E154" w14:textId="77777777">
        <w:tc>
          <w:tcPr>
            <w:tcW w:w="6498" w:type="dxa"/>
            <w:tcBorders>
              <w:right w:val="single" w:sz="4" w:space="0" w:color="auto"/>
            </w:tcBorders>
          </w:tcPr>
          <w:p w14:paraId="6F291F42" w14:textId="0BF821F7" w:rsidR="00CB2DB3" w:rsidRDefault="00C67789" w:rsidP="00563A51">
            <w:pPr>
              <w:pStyle w:val="TableBody"/>
              <w:ind w:left="1440" w:hanging="288"/>
            </w:pPr>
            <w:r>
              <w:t>e</w:t>
            </w:r>
            <w:r w:rsidR="00B41C31" w:rsidRPr="00B41C31">
              <w:t>.</w:t>
            </w:r>
            <w:r w:rsidR="00B41C31" w:rsidRPr="00B41C31">
              <w:tab/>
              <w:t>Companies own different assets and use them differently, so</w:t>
            </w:r>
            <w:r w:rsidR="00B41C31">
              <w:t xml:space="preserve"> </w:t>
            </w:r>
            <w:r w:rsidR="00B41C31" w:rsidRPr="00B41C31">
              <w:t xml:space="preserve">they are allowed to choose from several alternative depreciation methods. </w:t>
            </w:r>
          </w:p>
        </w:tc>
        <w:tc>
          <w:tcPr>
            <w:tcW w:w="2862" w:type="dxa"/>
            <w:tcBorders>
              <w:left w:val="single" w:sz="4" w:space="0" w:color="auto"/>
            </w:tcBorders>
          </w:tcPr>
          <w:p w14:paraId="17A114AD" w14:textId="77777777" w:rsidR="00CB2DB3" w:rsidRDefault="00CB2DB3" w:rsidP="00122122">
            <w:pPr>
              <w:pStyle w:val="TableBody"/>
            </w:pPr>
          </w:p>
        </w:tc>
      </w:tr>
      <w:tr w:rsidR="00563A51" w14:paraId="2939011D" w14:textId="77777777">
        <w:tc>
          <w:tcPr>
            <w:tcW w:w="6498" w:type="dxa"/>
            <w:tcBorders>
              <w:right w:val="single" w:sz="4" w:space="0" w:color="auto"/>
            </w:tcBorders>
          </w:tcPr>
          <w:p w14:paraId="18AB1B00" w14:textId="77777777" w:rsidR="00563A51" w:rsidRPr="00B41C31" w:rsidRDefault="00563A51" w:rsidP="00563A51">
            <w:pPr>
              <w:pStyle w:val="TableBody"/>
              <w:ind w:left="1728" w:hanging="288"/>
            </w:pPr>
            <w:r>
              <w:t>i.</w:t>
            </w:r>
            <w:r>
              <w:tab/>
            </w:r>
            <w:r w:rsidRPr="00B41C31">
              <w:t>These alternative</w:t>
            </w:r>
            <w:r>
              <w:t xml:space="preserve"> </w:t>
            </w:r>
            <w:r w:rsidRPr="00B41C31">
              <w:t xml:space="preserve">methods produce different depreciation amounts recorded each year. </w:t>
            </w:r>
          </w:p>
        </w:tc>
        <w:tc>
          <w:tcPr>
            <w:tcW w:w="2862" w:type="dxa"/>
            <w:tcBorders>
              <w:left w:val="single" w:sz="4" w:space="0" w:color="auto"/>
            </w:tcBorders>
          </w:tcPr>
          <w:p w14:paraId="77378D6A" w14:textId="77777777" w:rsidR="00563A51" w:rsidRDefault="00563A51" w:rsidP="00122122">
            <w:pPr>
              <w:pStyle w:val="TableBody"/>
            </w:pPr>
          </w:p>
        </w:tc>
      </w:tr>
      <w:tr w:rsidR="00563A51" w14:paraId="0E1FBE2D" w14:textId="77777777">
        <w:tc>
          <w:tcPr>
            <w:tcW w:w="6498" w:type="dxa"/>
            <w:tcBorders>
              <w:right w:val="single" w:sz="4" w:space="0" w:color="auto"/>
            </w:tcBorders>
          </w:tcPr>
          <w:p w14:paraId="0AEC74B4" w14:textId="77777777" w:rsidR="00563A51" w:rsidRPr="00B41C31" w:rsidRDefault="00563A51" w:rsidP="00563A51">
            <w:pPr>
              <w:pStyle w:val="TableBody"/>
              <w:ind w:left="1728" w:hanging="288"/>
            </w:pPr>
            <w:r>
              <w:t>ii.</w:t>
            </w:r>
            <w:r>
              <w:tab/>
            </w:r>
            <w:r w:rsidRPr="00B41C31">
              <w:t>The depreciation method chosen for each</w:t>
            </w:r>
            <w:r>
              <w:t xml:space="preserve"> asset </w:t>
            </w:r>
            <w:r w:rsidRPr="00B41C31">
              <w:t>should reflect the pattern in which those asset</w:t>
            </w:r>
            <w:r>
              <w:t>’</w:t>
            </w:r>
            <w:r w:rsidRPr="00B41C31">
              <w:t>s</w:t>
            </w:r>
            <w:r>
              <w:t xml:space="preserve"> </w:t>
            </w:r>
            <w:r w:rsidRPr="00B41C31">
              <w:t>economic benefits are used up.</w:t>
            </w:r>
          </w:p>
        </w:tc>
        <w:tc>
          <w:tcPr>
            <w:tcW w:w="2862" w:type="dxa"/>
            <w:tcBorders>
              <w:left w:val="single" w:sz="4" w:space="0" w:color="auto"/>
            </w:tcBorders>
          </w:tcPr>
          <w:p w14:paraId="2C45D597" w14:textId="77777777" w:rsidR="00563A51" w:rsidRDefault="00563A51" w:rsidP="00122122">
            <w:pPr>
              <w:pStyle w:val="TableBody"/>
            </w:pPr>
          </w:p>
        </w:tc>
      </w:tr>
      <w:tr w:rsidR="00CF7B4B" w14:paraId="58B22643" w14:textId="77777777">
        <w:tc>
          <w:tcPr>
            <w:tcW w:w="6498" w:type="dxa"/>
            <w:tcBorders>
              <w:right w:val="single" w:sz="4" w:space="0" w:color="auto"/>
            </w:tcBorders>
          </w:tcPr>
          <w:p w14:paraId="72CF804A" w14:textId="77777777" w:rsidR="00CF7B4B" w:rsidRDefault="00B41C31" w:rsidP="00B41C31">
            <w:pPr>
              <w:pStyle w:val="TableBody"/>
              <w:ind w:left="1152" w:hanging="288"/>
            </w:pPr>
            <w:r>
              <w:t>3.</w:t>
            </w:r>
            <w:r>
              <w:tab/>
            </w:r>
            <w:r w:rsidR="009A16E4">
              <w:t>Straight</w:t>
            </w:r>
            <w:r>
              <w:t>-Line Method</w:t>
            </w:r>
          </w:p>
        </w:tc>
        <w:tc>
          <w:tcPr>
            <w:tcW w:w="2862" w:type="dxa"/>
            <w:tcBorders>
              <w:left w:val="single" w:sz="4" w:space="0" w:color="auto"/>
            </w:tcBorders>
          </w:tcPr>
          <w:p w14:paraId="1D797CB6" w14:textId="77777777" w:rsidR="00CF7B4B" w:rsidRDefault="00CF7B4B" w:rsidP="00122122">
            <w:pPr>
              <w:pStyle w:val="TableBody"/>
            </w:pPr>
          </w:p>
        </w:tc>
      </w:tr>
      <w:tr w:rsidR="009A16E4" w14:paraId="0046AFFB" w14:textId="77777777">
        <w:tc>
          <w:tcPr>
            <w:tcW w:w="6498" w:type="dxa"/>
            <w:tcBorders>
              <w:right w:val="single" w:sz="4" w:space="0" w:color="auto"/>
            </w:tcBorders>
          </w:tcPr>
          <w:p w14:paraId="4572B181" w14:textId="56B6B3A8" w:rsidR="009A16E4" w:rsidRPr="009A16E4" w:rsidRDefault="00B41C31" w:rsidP="00D35CA2">
            <w:pPr>
              <w:pStyle w:val="TableBody"/>
              <w:ind w:left="1440" w:hanging="288"/>
              <w:rPr>
                <w:szCs w:val="22"/>
              </w:rPr>
            </w:pPr>
            <w:r>
              <w:rPr>
                <w:szCs w:val="22"/>
              </w:rPr>
              <w:t>a</w:t>
            </w:r>
            <w:r w:rsidR="009A16E4" w:rsidRPr="009A16E4">
              <w:rPr>
                <w:szCs w:val="22"/>
              </w:rPr>
              <w:t>.</w:t>
            </w:r>
            <w:r w:rsidR="009A16E4" w:rsidRPr="009A16E4">
              <w:rPr>
                <w:szCs w:val="22"/>
              </w:rPr>
              <w:tab/>
            </w:r>
            <w:r w:rsidR="00D35CA2" w:rsidRPr="009A16E4">
              <w:rPr>
                <w:b/>
                <w:bCs/>
                <w:szCs w:val="22"/>
              </w:rPr>
              <w:t>Straight</w:t>
            </w:r>
            <w:r w:rsidR="00D35CA2">
              <w:rPr>
                <w:b/>
                <w:bCs/>
                <w:szCs w:val="22"/>
              </w:rPr>
              <w:t>-</w:t>
            </w:r>
            <w:r w:rsidR="009A16E4" w:rsidRPr="009A16E4">
              <w:rPr>
                <w:b/>
                <w:bCs/>
                <w:szCs w:val="22"/>
              </w:rPr>
              <w:t>line</w:t>
            </w:r>
            <w:r w:rsidR="00F343B1">
              <w:rPr>
                <w:b/>
                <w:bCs/>
                <w:szCs w:val="22"/>
              </w:rPr>
              <w:t xml:space="preserve"> depreciation method</w:t>
            </w:r>
            <w:r w:rsidR="00A131B6">
              <w:t>–</w:t>
            </w:r>
            <w:r w:rsidR="00A131B6" w:rsidRPr="00FE2A3F">
              <w:t>–</w:t>
            </w:r>
            <w:r>
              <w:rPr>
                <w:szCs w:val="22"/>
              </w:rPr>
              <w:t>M</w:t>
            </w:r>
            <w:r w:rsidR="009A16E4" w:rsidRPr="009A16E4">
              <w:rPr>
                <w:szCs w:val="22"/>
              </w:rPr>
              <w:t xml:space="preserve">ethod that allocates the cost of an asset in equal periodic amounts over its useful life. </w:t>
            </w:r>
          </w:p>
        </w:tc>
        <w:tc>
          <w:tcPr>
            <w:tcW w:w="2862" w:type="dxa"/>
            <w:tcBorders>
              <w:left w:val="single" w:sz="4" w:space="0" w:color="auto"/>
            </w:tcBorders>
          </w:tcPr>
          <w:p w14:paraId="5C10818C" w14:textId="77777777" w:rsidR="009A16E4" w:rsidRDefault="009A16E4" w:rsidP="00122122">
            <w:pPr>
              <w:pStyle w:val="TableBody"/>
            </w:pPr>
          </w:p>
        </w:tc>
      </w:tr>
      <w:tr w:rsidR="009A16E4" w14:paraId="211065D2" w14:textId="77777777">
        <w:tc>
          <w:tcPr>
            <w:tcW w:w="6498" w:type="dxa"/>
            <w:tcBorders>
              <w:right w:val="single" w:sz="4" w:space="0" w:color="auto"/>
            </w:tcBorders>
          </w:tcPr>
          <w:p w14:paraId="32D9D4AD" w14:textId="3A1705C7" w:rsidR="009A16E4" w:rsidRPr="009A16E4" w:rsidRDefault="00B41C31" w:rsidP="00B41C31">
            <w:pPr>
              <w:pStyle w:val="TableBody"/>
              <w:ind w:left="1440" w:hanging="288"/>
              <w:rPr>
                <w:szCs w:val="22"/>
              </w:rPr>
            </w:pPr>
            <w:r>
              <w:rPr>
                <w:szCs w:val="22"/>
              </w:rPr>
              <w:t>b</w:t>
            </w:r>
            <w:r w:rsidR="009A16E4" w:rsidRPr="009A16E4">
              <w:rPr>
                <w:szCs w:val="22"/>
              </w:rPr>
              <w:t>.</w:t>
            </w:r>
            <w:r w:rsidR="009A16E4" w:rsidRPr="009A16E4">
              <w:rPr>
                <w:szCs w:val="22"/>
              </w:rPr>
              <w:tab/>
            </w:r>
            <w:r>
              <w:rPr>
                <w:szCs w:val="22"/>
              </w:rPr>
              <w:t xml:space="preserve">Formula: </w:t>
            </w:r>
            <w:r w:rsidR="009A16E4" w:rsidRPr="009A16E4">
              <w:rPr>
                <w:szCs w:val="22"/>
              </w:rPr>
              <w:t xml:space="preserve">(Cost – Residual Value) </w:t>
            </w:r>
            <w:r w:rsidR="00C67789" w:rsidRPr="00A878FE">
              <w:rPr>
                <w:szCs w:val="22"/>
              </w:rPr>
              <w:t>×</w:t>
            </w:r>
            <w:r w:rsidR="009A16E4" w:rsidRPr="009A16E4">
              <w:rPr>
                <w:szCs w:val="22"/>
              </w:rPr>
              <w:t xml:space="preserve"> (1 divided by the Useful Life).</w:t>
            </w:r>
          </w:p>
        </w:tc>
        <w:tc>
          <w:tcPr>
            <w:tcW w:w="2862" w:type="dxa"/>
            <w:tcBorders>
              <w:left w:val="single" w:sz="4" w:space="0" w:color="auto"/>
            </w:tcBorders>
          </w:tcPr>
          <w:p w14:paraId="69C0B5EE" w14:textId="77777777" w:rsidR="009A16E4" w:rsidRDefault="009A16E4" w:rsidP="00122122">
            <w:pPr>
              <w:pStyle w:val="TableBody"/>
            </w:pPr>
          </w:p>
        </w:tc>
      </w:tr>
      <w:tr w:rsidR="009A16E4" w14:paraId="5109D66D" w14:textId="77777777">
        <w:tc>
          <w:tcPr>
            <w:tcW w:w="6498" w:type="dxa"/>
            <w:tcBorders>
              <w:right w:val="single" w:sz="4" w:space="0" w:color="auto"/>
            </w:tcBorders>
          </w:tcPr>
          <w:p w14:paraId="0D1EF485" w14:textId="77777777" w:rsidR="009A16E4" w:rsidRDefault="00B41C31" w:rsidP="00B41C31">
            <w:pPr>
              <w:pStyle w:val="TableBody"/>
              <w:ind w:left="1728" w:hanging="288"/>
            </w:pPr>
            <w:r>
              <w:t>i.</w:t>
            </w:r>
            <w:r>
              <w:tab/>
            </w:r>
            <w:r w:rsidR="009A16E4" w:rsidRPr="009A16E4">
              <w:t>(Cost – Residual Value)</w:t>
            </w:r>
            <w:r w:rsidR="00082CE6">
              <w:t>, also known as depreciable cost,</w:t>
            </w:r>
            <w:r w:rsidR="009A16E4" w:rsidRPr="009A16E4">
              <w:t xml:space="preserve"> is the total amount to be depreciated (the depreciable cost). </w:t>
            </w:r>
          </w:p>
          <w:p w14:paraId="779753E0" w14:textId="77777777" w:rsidR="009A16E4" w:rsidRPr="009A16E4" w:rsidRDefault="00B41C31" w:rsidP="00B41C31">
            <w:pPr>
              <w:pStyle w:val="TableBody"/>
              <w:ind w:left="1728" w:hanging="288"/>
            </w:pPr>
            <w:r>
              <w:t>ii.</w:t>
            </w:r>
            <w:r>
              <w:tab/>
            </w:r>
            <w:r w:rsidR="009A16E4" w:rsidRPr="009A16E4">
              <w:t>The straight-line depreciation rate equals (1 divided by the Useful Life).</w:t>
            </w:r>
          </w:p>
        </w:tc>
        <w:tc>
          <w:tcPr>
            <w:tcW w:w="2862" w:type="dxa"/>
            <w:tcBorders>
              <w:left w:val="single" w:sz="4" w:space="0" w:color="auto"/>
            </w:tcBorders>
          </w:tcPr>
          <w:p w14:paraId="0379B61C" w14:textId="77777777" w:rsidR="00B2557A" w:rsidRDefault="00B2557A" w:rsidP="00B2557A">
            <w:pPr>
              <w:pStyle w:val="TableBody"/>
            </w:pPr>
            <w:r>
              <w:t>Information for examples in text listed in Exhibit 9.3</w:t>
            </w:r>
          </w:p>
          <w:p w14:paraId="6F4BFBDA" w14:textId="77777777" w:rsidR="009A16E4" w:rsidRDefault="009A16E4" w:rsidP="00122122">
            <w:pPr>
              <w:pStyle w:val="TableBody"/>
            </w:pPr>
          </w:p>
        </w:tc>
      </w:tr>
      <w:tr w:rsidR="009A16E4" w14:paraId="15D068A2" w14:textId="77777777">
        <w:tc>
          <w:tcPr>
            <w:tcW w:w="6498" w:type="dxa"/>
            <w:tcBorders>
              <w:right w:val="single" w:sz="4" w:space="0" w:color="auto"/>
            </w:tcBorders>
          </w:tcPr>
          <w:p w14:paraId="0173F3BC" w14:textId="77777777" w:rsidR="009A16E4" w:rsidRDefault="00B41C31" w:rsidP="00B41C31">
            <w:pPr>
              <w:pStyle w:val="TableBody"/>
              <w:ind w:left="1440" w:hanging="288"/>
              <w:rPr>
                <w:szCs w:val="22"/>
              </w:rPr>
            </w:pPr>
            <w:r>
              <w:rPr>
                <w:szCs w:val="22"/>
              </w:rPr>
              <w:t>c.</w:t>
            </w:r>
            <w:r w:rsidR="009A16E4">
              <w:rPr>
                <w:szCs w:val="22"/>
              </w:rPr>
              <w:tab/>
              <w:t>As</w:t>
            </w:r>
            <w:r w:rsidR="009A16E4" w:rsidRPr="009A16E4">
              <w:rPr>
                <w:szCs w:val="22"/>
              </w:rPr>
              <w:t xml:space="preserve"> the name straight-line suggests</w:t>
            </w:r>
            <w:r w:rsidR="00FF58FB">
              <w:rPr>
                <w:szCs w:val="22"/>
              </w:rPr>
              <w:t>:</w:t>
            </w:r>
          </w:p>
        </w:tc>
        <w:tc>
          <w:tcPr>
            <w:tcW w:w="2862" w:type="dxa"/>
            <w:tcBorders>
              <w:left w:val="single" w:sz="4" w:space="0" w:color="auto"/>
            </w:tcBorders>
          </w:tcPr>
          <w:p w14:paraId="585A287F" w14:textId="77777777" w:rsidR="009A16E4" w:rsidRDefault="009A16E4" w:rsidP="00122122">
            <w:pPr>
              <w:pStyle w:val="TableBody"/>
            </w:pPr>
          </w:p>
        </w:tc>
      </w:tr>
      <w:tr w:rsidR="009A16E4" w14:paraId="7DFDAC96" w14:textId="77777777">
        <w:tc>
          <w:tcPr>
            <w:tcW w:w="6498" w:type="dxa"/>
            <w:tcBorders>
              <w:right w:val="single" w:sz="4" w:space="0" w:color="auto"/>
            </w:tcBorders>
          </w:tcPr>
          <w:p w14:paraId="774ABB48" w14:textId="77777777" w:rsidR="009A16E4" w:rsidRPr="009A16E4" w:rsidRDefault="00B41C31" w:rsidP="00B41C31">
            <w:pPr>
              <w:pStyle w:val="TableBody"/>
              <w:ind w:left="1728" w:hanging="288"/>
            </w:pPr>
            <w:r>
              <w:t>i.</w:t>
            </w:r>
            <w:r>
              <w:tab/>
            </w:r>
            <w:r w:rsidR="009A16E4" w:rsidRPr="009A16E4">
              <w:t>Depreciation expense is a constant amount each year.</w:t>
            </w:r>
          </w:p>
          <w:p w14:paraId="08FFAE59" w14:textId="77777777" w:rsidR="009A16E4" w:rsidRPr="009A16E4" w:rsidRDefault="00B41C31" w:rsidP="00B41C31">
            <w:pPr>
              <w:pStyle w:val="TableBody"/>
              <w:ind w:left="1728" w:hanging="288"/>
            </w:pPr>
            <w:r>
              <w:t>ii.</w:t>
            </w:r>
            <w:r>
              <w:tab/>
            </w:r>
            <w:r w:rsidR="009A16E4" w:rsidRPr="009A16E4">
              <w:t>Accumulated depreciation increases by an equal amount each year.</w:t>
            </w:r>
          </w:p>
          <w:p w14:paraId="53D0431B" w14:textId="77777777" w:rsidR="009A16E4" w:rsidRPr="009A16E4" w:rsidRDefault="00B41C31" w:rsidP="00B41C31">
            <w:pPr>
              <w:pStyle w:val="TableBody"/>
              <w:ind w:left="1728" w:hanging="288"/>
            </w:pPr>
            <w:r>
              <w:t>iii.</w:t>
            </w:r>
            <w:r>
              <w:tab/>
            </w:r>
            <w:r w:rsidR="009A16E4" w:rsidRPr="009A16E4">
              <w:t>Book value decreases by the same equal amount each year.</w:t>
            </w:r>
          </w:p>
        </w:tc>
        <w:tc>
          <w:tcPr>
            <w:tcW w:w="2862" w:type="dxa"/>
            <w:tcBorders>
              <w:left w:val="single" w:sz="4" w:space="0" w:color="auto"/>
            </w:tcBorders>
          </w:tcPr>
          <w:p w14:paraId="77AB342D" w14:textId="77777777" w:rsidR="009A16E4" w:rsidRDefault="009A16E4" w:rsidP="00122122">
            <w:pPr>
              <w:pStyle w:val="TableBody"/>
            </w:pPr>
          </w:p>
        </w:tc>
      </w:tr>
      <w:tr w:rsidR="009A16E4" w14:paraId="3191D54A" w14:textId="77777777">
        <w:tc>
          <w:tcPr>
            <w:tcW w:w="6498" w:type="dxa"/>
            <w:tcBorders>
              <w:right w:val="single" w:sz="4" w:space="0" w:color="auto"/>
            </w:tcBorders>
          </w:tcPr>
          <w:p w14:paraId="07D2FBA5" w14:textId="77777777" w:rsidR="009A16E4" w:rsidRPr="009A16E4" w:rsidRDefault="009A16E4" w:rsidP="009A16E4">
            <w:pPr>
              <w:pStyle w:val="TableBody"/>
              <w:ind w:left="1440" w:hanging="288"/>
              <w:rPr>
                <w:szCs w:val="22"/>
              </w:rPr>
            </w:pPr>
            <w:r w:rsidRPr="009A16E4">
              <w:rPr>
                <w:szCs w:val="22"/>
              </w:rPr>
              <w:t>d.</w:t>
            </w:r>
            <w:r>
              <w:rPr>
                <w:szCs w:val="22"/>
              </w:rPr>
              <w:tab/>
            </w:r>
            <w:r w:rsidRPr="009A16E4">
              <w:rPr>
                <w:szCs w:val="22"/>
              </w:rPr>
              <w:t>At the end of the asset’s life, accumulated depreciation equals</w:t>
            </w:r>
            <w:r>
              <w:rPr>
                <w:szCs w:val="22"/>
              </w:rPr>
              <w:t xml:space="preserve"> </w:t>
            </w:r>
            <w:r w:rsidRPr="009A16E4">
              <w:rPr>
                <w:szCs w:val="22"/>
              </w:rPr>
              <w:t>the asset’s depreciable cost and book value equals residual value.</w:t>
            </w:r>
          </w:p>
        </w:tc>
        <w:tc>
          <w:tcPr>
            <w:tcW w:w="2862" w:type="dxa"/>
            <w:tcBorders>
              <w:left w:val="single" w:sz="4" w:space="0" w:color="auto"/>
            </w:tcBorders>
          </w:tcPr>
          <w:p w14:paraId="440C93E0" w14:textId="77777777" w:rsidR="009A16E4" w:rsidRDefault="009A16E4" w:rsidP="00122122">
            <w:pPr>
              <w:pStyle w:val="TableBody"/>
            </w:pPr>
          </w:p>
        </w:tc>
      </w:tr>
      <w:tr w:rsidR="009A16E4" w14:paraId="18CF26FE" w14:textId="77777777">
        <w:tc>
          <w:tcPr>
            <w:tcW w:w="6498" w:type="dxa"/>
            <w:tcBorders>
              <w:right w:val="single" w:sz="4" w:space="0" w:color="auto"/>
            </w:tcBorders>
          </w:tcPr>
          <w:p w14:paraId="42B0345A" w14:textId="77777777" w:rsidR="009A16E4" w:rsidRDefault="00B41C31" w:rsidP="00B41C31">
            <w:pPr>
              <w:pStyle w:val="TableBody"/>
              <w:ind w:left="1152" w:hanging="288"/>
            </w:pPr>
            <w:r>
              <w:t>4.</w:t>
            </w:r>
            <w:r>
              <w:tab/>
            </w:r>
            <w:r w:rsidR="009A16E4">
              <w:t>Units</w:t>
            </w:r>
            <w:r>
              <w:t>-of-Production Method</w:t>
            </w:r>
          </w:p>
        </w:tc>
        <w:tc>
          <w:tcPr>
            <w:tcW w:w="2862" w:type="dxa"/>
            <w:tcBorders>
              <w:left w:val="single" w:sz="4" w:space="0" w:color="auto"/>
            </w:tcBorders>
          </w:tcPr>
          <w:p w14:paraId="7CD52A92" w14:textId="77777777" w:rsidR="009A16E4" w:rsidRDefault="009A16E4" w:rsidP="00122122">
            <w:pPr>
              <w:pStyle w:val="TableBody"/>
            </w:pPr>
          </w:p>
        </w:tc>
      </w:tr>
      <w:tr w:rsidR="009A16E4" w14:paraId="2D096FD7" w14:textId="77777777">
        <w:tc>
          <w:tcPr>
            <w:tcW w:w="6498" w:type="dxa"/>
            <w:tcBorders>
              <w:right w:val="single" w:sz="4" w:space="0" w:color="auto"/>
            </w:tcBorders>
          </w:tcPr>
          <w:p w14:paraId="5E178CCD" w14:textId="77777777" w:rsidR="009A16E4" w:rsidRPr="00D71FAC" w:rsidRDefault="00D71FAC" w:rsidP="003C535B">
            <w:pPr>
              <w:pStyle w:val="TableBody"/>
              <w:ind w:left="1440" w:hanging="288"/>
              <w:rPr>
                <w:szCs w:val="22"/>
              </w:rPr>
            </w:pPr>
            <w:r w:rsidRPr="00D71FAC">
              <w:rPr>
                <w:szCs w:val="22"/>
              </w:rPr>
              <w:t>a.</w:t>
            </w:r>
            <w:r w:rsidRPr="00D71FAC">
              <w:rPr>
                <w:szCs w:val="22"/>
              </w:rPr>
              <w:tab/>
            </w:r>
            <w:r w:rsidRPr="00D71FAC">
              <w:rPr>
                <w:b/>
                <w:szCs w:val="22"/>
              </w:rPr>
              <w:t>Units-of-production</w:t>
            </w:r>
            <w:r w:rsidR="00F343B1">
              <w:rPr>
                <w:b/>
                <w:bCs/>
                <w:szCs w:val="22"/>
              </w:rPr>
              <w:t xml:space="preserve"> depreciation method</w:t>
            </w:r>
            <w:r w:rsidR="00B41C31">
              <w:rPr>
                <w:szCs w:val="22"/>
              </w:rPr>
              <w:t>–</w:t>
            </w:r>
            <w:r w:rsidR="003C535B">
              <w:rPr>
                <w:szCs w:val="22"/>
              </w:rPr>
              <w:t>–</w:t>
            </w:r>
            <w:r w:rsidR="00B41C31">
              <w:rPr>
                <w:szCs w:val="22"/>
              </w:rPr>
              <w:t>M</w:t>
            </w:r>
            <w:r w:rsidRPr="00D71FAC">
              <w:rPr>
                <w:szCs w:val="22"/>
              </w:rPr>
              <w:t xml:space="preserve">ethod that allocates the cost of an asset over its useful life based on the relationship of its periodic output to its total estimated output. </w:t>
            </w:r>
          </w:p>
        </w:tc>
        <w:tc>
          <w:tcPr>
            <w:tcW w:w="2862" w:type="dxa"/>
            <w:tcBorders>
              <w:left w:val="single" w:sz="4" w:space="0" w:color="auto"/>
            </w:tcBorders>
          </w:tcPr>
          <w:p w14:paraId="48818CF5" w14:textId="77777777" w:rsidR="009A16E4" w:rsidRDefault="009A16E4" w:rsidP="00122122">
            <w:pPr>
              <w:pStyle w:val="TableBody"/>
            </w:pPr>
          </w:p>
        </w:tc>
      </w:tr>
      <w:tr w:rsidR="009A16E4" w14:paraId="6E59A3ED" w14:textId="77777777">
        <w:tc>
          <w:tcPr>
            <w:tcW w:w="6498" w:type="dxa"/>
            <w:tcBorders>
              <w:right w:val="single" w:sz="4" w:space="0" w:color="auto"/>
            </w:tcBorders>
          </w:tcPr>
          <w:p w14:paraId="5E1466F7" w14:textId="204583A7" w:rsidR="009A16E4" w:rsidRPr="00D71FAC" w:rsidRDefault="00B41C31" w:rsidP="00B41C31">
            <w:pPr>
              <w:pStyle w:val="TableBody"/>
              <w:numPr>
                <w:ilvl w:val="0"/>
                <w:numId w:val="7"/>
              </w:numPr>
              <w:rPr>
                <w:szCs w:val="22"/>
              </w:rPr>
            </w:pPr>
            <w:r>
              <w:rPr>
                <w:szCs w:val="22"/>
              </w:rPr>
              <w:t>F</w:t>
            </w:r>
            <w:r w:rsidR="00D71FAC" w:rsidRPr="00D71FAC">
              <w:rPr>
                <w:szCs w:val="22"/>
              </w:rPr>
              <w:t>ormula</w:t>
            </w:r>
            <w:r>
              <w:rPr>
                <w:szCs w:val="22"/>
              </w:rPr>
              <w:t>:</w:t>
            </w:r>
            <w:r w:rsidR="00D71FAC" w:rsidRPr="00D71FAC">
              <w:rPr>
                <w:szCs w:val="22"/>
              </w:rPr>
              <w:t xml:space="preserve"> (Cost </w:t>
            </w:r>
            <w:r w:rsidR="00D71FAC">
              <w:rPr>
                <w:szCs w:val="22"/>
              </w:rPr>
              <w:t xml:space="preserve">– </w:t>
            </w:r>
            <w:r w:rsidR="00D71FAC" w:rsidRPr="00D71FAC">
              <w:rPr>
                <w:szCs w:val="22"/>
              </w:rPr>
              <w:t xml:space="preserve">Residual Value) </w:t>
            </w:r>
            <w:r w:rsidR="0047381B" w:rsidRPr="00A878FE">
              <w:rPr>
                <w:szCs w:val="22"/>
              </w:rPr>
              <w:t>×</w:t>
            </w:r>
            <w:r w:rsidR="00D71FAC">
              <w:rPr>
                <w:szCs w:val="22"/>
              </w:rPr>
              <w:t xml:space="preserve"> (A</w:t>
            </w:r>
            <w:r w:rsidR="00D71FAC" w:rsidRPr="00D71FAC">
              <w:rPr>
                <w:szCs w:val="22"/>
              </w:rPr>
              <w:t xml:space="preserve">ctual Production this Period </w:t>
            </w:r>
            <w:r w:rsidR="00D71FAC">
              <w:rPr>
                <w:szCs w:val="22"/>
              </w:rPr>
              <w:t xml:space="preserve">divided by </w:t>
            </w:r>
            <w:r w:rsidR="00D71FAC" w:rsidRPr="00D71FAC">
              <w:rPr>
                <w:szCs w:val="22"/>
              </w:rPr>
              <w:t>Estimated Total Production</w:t>
            </w:r>
            <w:r w:rsidR="00D71FAC">
              <w:rPr>
                <w:szCs w:val="22"/>
              </w:rPr>
              <w:t>).</w:t>
            </w:r>
          </w:p>
        </w:tc>
        <w:tc>
          <w:tcPr>
            <w:tcW w:w="2862" w:type="dxa"/>
            <w:tcBorders>
              <w:left w:val="single" w:sz="4" w:space="0" w:color="auto"/>
            </w:tcBorders>
          </w:tcPr>
          <w:p w14:paraId="4FBF0618" w14:textId="77777777" w:rsidR="009A16E4" w:rsidRDefault="009A16E4" w:rsidP="00122122">
            <w:pPr>
              <w:pStyle w:val="TableBody"/>
            </w:pPr>
          </w:p>
        </w:tc>
      </w:tr>
      <w:tr w:rsidR="00D71FAC" w14:paraId="21A70F77" w14:textId="77777777">
        <w:tc>
          <w:tcPr>
            <w:tcW w:w="6498" w:type="dxa"/>
            <w:tcBorders>
              <w:right w:val="single" w:sz="4" w:space="0" w:color="auto"/>
            </w:tcBorders>
          </w:tcPr>
          <w:p w14:paraId="7FF2B9CC" w14:textId="77777777" w:rsidR="00D71FAC" w:rsidRPr="00D71FAC" w:rsidRDefault="00B41C31" w:rsidP="00B41C31">
            <w:pPr>
              <w:pStyle w:val="TableBody"/>
              <w:numPr>
                <w:ilvl w:val="0"/>
                <w:numId w:val="7"/>
              </w:numPr>
              <w:rPr>
                <w:szCs w:val="22"/>
              </w:rPr>
            </w:pPr>
            <w:r>
              <w:rPr>
                <w:szCs w:val="22"/>
              </w:rPr>
              <w:t>De</w:t>
            </w:r>
            <w:r w:rsidR="00D71FAC" w:rsidRPr="00D71FAC">
              <w:rPr>
                <w:szCs w:val="22"/>
              </w:rPr>
              <w:t>preciation expense, accumulated depreciation, and book value vary from period to period, depending on the number of units produced.</w:t>
            </w:r>
          </w:p>
        </w:tc>
        <w:tc>
          <w:tcPr>
            <w:tcW w:w="2862" w:type="dxa"/>
            <w:tcBorders>
              <w:left w:val="single" w:sz="4" w:space="0" w:color="auto"/>
            </w:tcBorders>
          </w:tcPr>
          <w:p w14:paraId="1DCECD4F" w14:textId="77777777" w:rsidR="00D71FAC" w:rsidRDefault="00D71FAC" w:rsidP="00122122">
            <w:pPr>
              <w:pStyle w:val="TableBody"/>
            </w:pPr>
          </w:p>
        </w:tc>
      </w:tr>
    </w:tbl>
    <w:p w14:paraId="210911D0" w14:textId="77777777" w:rsidR="00A712A2" w:rsidRPr="00BC2B2D" w:rsidRDefault="00A712A2" w:rsidP="00A712A2">
      <w:pPr>
        <w:rPr>
          <w:sz w:val="4"/>
          <w:szCs w:val="4"/>
        </w:rPr>
      </w:pPr>
      <w:r>
        <w:br w:type="page"/>
      </w:r>
    </w:p>
    <w:tbl>
      <w:tblPr>
        <w:tblW w:w="0" w:type="auto"/>
        <w:tblLayout w:type="fixed"/>
        <w:tblLook w:val="01E0" w:firstRow="1" w:lastRow="1" w:firstColumn="1" w:lastColumn="1" w:noHBand="0" w:noVBand="0"/>
      </w:tblPr>
      <w:tblGrid>
        <w:gridCol w:w="6498"/>
        <w:gridCol w:w="2862"/>
      </w:tblGrid>
      <w:tr w:rsidR="00A712A2" w:rsidRPr="00CD480D" w14:paraId="3F1EF9F4" w14:textId="77777777" w:rsidTr="001822E4">
        <w:tc>
          <w:tcPr>
            <w:tcW w:w="6498" w:type="dxa"/>
            <w:tcBorders>
              <w:right w:val="single" w:sz="4" w:space="0" w:color="auto"/>
            </w:tcBorders>
          </w:tcPr>
          <w:p w14:paraId="73FD1A46" w14:textId="77777777" w:rsidR="00A712A2" w:rsidRPr="00507ED2" w:rsidRDefault="00A712A2" w:rsidP="001822E4">
            <w:pPr>
              <w:pStyle w:val="Heading1"/>
              <w:rPr>
                <w:bCs/>
              </w:rPr>
            </w:pPr>
            <w:r>
              <w:rPr>
                <w:rFonts w:ascii="Times New Roman" w:hAnsi="Times New Roman"/>
                <w:b w:val="0"/>
                <w:kern w:val="0"/>
                <w:sz w:val="22"/>
                <w:u w:val="none"/>
              </w:rPr>
              <w:lastRenderedPageBreak/>
              <w:br w:type="page"/>
            </w:r>
            <w:r>
              <w:rPr>
                <w:rFonts w:ascii="Times New Roman" w:hAnsi="Times New Roman"/>
                <w:b w:val="0"/>
                <w:kern w:val="0"/>
                <w:sz w:val="22"/>
                <w:u w:val="none"/>
              </w:rPr>
              <w:br w:type="page"/>
            </w:r>
            <w:r>
              <w:t>Chapter Outline</w:t>
            </w:r>
          </w:p>
        </w:tc>
        <w:tc>
          <w:tcPr>
            <w:tcW w:w="2862" w:type="dxa"/>
            <w:tcBorders>
              <w:left w:val="single" w:sz="4" w:space="0" w:color="auto"/>
            </w:tcBorders>
          </w:tcPr>
          <w:p w14:paraId="4FE5D4BB" w14:textId="77777777" w:rsidR="00A712A2" w:rsidRPr="00CD480D" w:rsidRDefault="00A712A2" w:rsidP="001822E4">
            <w:pPr>
              <w:pStyle w:val="Heading1"/>
            </w:pPr>
            <w:r w:rsidRPr="00CD480D">
              <w:t>Teaching Notes</w:t>
            </w:r>
          </w:p>
        </w:tc>
      </w:tr>
      <w:tr w:rsidR="009A16E4" w14:paraId="08291A7D" w14:textId="77777777">
        <w:tc>
          <w:tcPr>
            <w:tcW w:w="6498" w:type="dxa"/>
            <w:tcBorders>
              <w:right w:val="single" w:sz="4" w:space="0" w:color="auto"/>
            </w:tcBorders>
          </w:tcPr>
          <w:p w14:paraId="2267CE53" w14:textId="77777777" w:rsidR="009A16E4" w:rsidRDefault="00B2557A" w:rsidP="00B2557A">
            <w:pPr>
              <w:pStyle w:val="TableBody"/>
              <w:ind w:left="1152" w:hanging="288"/>
            </w:pPr>
            <w:r>
              <w:t>5</w:t>
            </w:r>
            <w:r w:rsidR="00B41C31">
              <w:t>.</w:t>
            </w:r>
            <w:r w:rsidR="00B41C31">
              <w:tab/>
            </w:r>
            <w:r w:rsidR="009A16E4">
              <w:t xml:space="preserve">Declining </w:t>
            </w:r>
            <w:r w:rsidR="00B41C31">
              <w:t>Balance Method</w:t>
            </w:r>
          </w:p>
        </w:tc>
        <w:tc>
          <w:tcPr>
            <w:tcW w:w="2862" w:type="dxa"/>
            <w:tcBorders>
              <w:left w:val="single" w:sz="4" w:space="0" w:color="auto"/>
            </w:tcBorders>
          </w:tcPr>
          <w:p w14:paraId="036300FA" w14:textId="77777777" w:rsidR="009A16E4" w:rsidRDefault="009A16E4" w:rsidP="00122122">
            <w:pPr>
              <w:pStyle w:val="TableBody"/>
            </w:pPr>
          </w:p>
        </w:tc>
      </w:tr>
      <w:tr w:rsidR="00F20819" w14:paraId="5CC4544D" w14:textId="77777777">
        <w:tc>
          <w:tcPr>
            <w:tcW w:w="6498" w:type="dxa"/>
            <w:tcBorders>
              <w:right w:val="single" w:sz="4" w:space="0" w:color="auto"/>
            </w:tcBorders>
          </w:tcPr>
          <w:p w14:paraId="2BE9F292" w14:textId="7A11E30E" w:rsidR="00F20819" w:rsidRPr="00F20819" w:rsidRDefault="00F20819" w:rsidP="00A131B6">
            <w:pPr>
              <w:pStyle w:val="TableBody"/>
              <w:ind w:left="1440" w:hanging="288"/>
              <w:rPr>
                <w:szCs w:val="22"/>
              </w:rPr>
            </w:pPr>
            <w:r w:rsidRPr="00F20819">
              <w:rPr>
                <w:szCs w:val="22"/>
              </w:rPr>
              <w:t>a.</w:t>
            </w:r>
            <w:r w:rsidRPr="00F20819">
              <w:rPr>
                <w:szCs w:val="22"/>
              </w:rPr>
              <w:tab/>
            </w:r>
            <w:r w:rsidRPr="00F20819">
              <w:rPr>
                <w:b/>
                <w:szCs w:val="22"/>
              </w:rPr>
              <w:t>Declining-balance</w:t>
            </w:r>
            <w:r w:rsidR="00F343B1">
              <w:rPr>
                <w:b/>
                <w:bCs/>
                <w:szCs w:val="22"/>
              </w:rPr>
              <w:t xml:space="preserve"> depreciation method</w:t>
            </w:r>
            <w:r w:rsidR="00A131B6">
              <w:t>–</w:t>
            </w:r>
            <w:r w:rsidR="00A131B6" w:rsidRPr="00FE2A3F">
              <w:t>–</w:t>
            </w:r>
            <w:r w:rsidR="00B41C31">
              <w:rPr>
                <w:szCs w:val="22"/>
              </w:rPr>
              <w:t>M</w:t>
            </w:r>
            <w:r w:rsidRPr="00F20819">
              <w:rPr>
                <w:szCs w:val="22"/>
              </w:rPr>
              <w:t xml:space="preserve">ethod that assigns more depreciation to early years of an asset’s life and less depreciation to later years. </w:t>
            </w:r>
          </w:p>
        </w:tc>
        <w:tc>
          <w:tcPr>
            <w:tcW w:w="2862" w:type="dxa"/>
            <w:tcBorders>
              <w:left w:val="single" w:sz="4" w:space="0" w:color="auto"/>
            </w:tcBorders>
          </w:tcPr>
          <w:p w14:paraId="490B979E" w14:textId="77777777" w:rsidR="00F20819" w:rsidRDefault="00F20819" w:rsidP="00122122">
            <w:pPr>
              <w:pStyle w:val="TableBody"/>
            </w:pPr>
          </w:p>
        </w:tc>
      </w:tr>
      <w:tr w:rsidR="00F20819" w14:paraId="01978928" w14:textId="77777777">
        <w:tc>
          <w:tcPr>
            <w:tcW w:w="6498" w:type="dxa"/>
            <w:tcBorders>
              <w:right w:val="single" w:sz="4" w:space="0" w:color="auto"/>
            </w:tcBorders>
          </w:tcPr>
          <w:p w14:paraId="72E2E7E2" w14:textId="77777777" w:rsidR="00F20819" w:rsidRPr="005E5552" w:rsidRDefault="005E5552" w:rsidP="00B41C31">
            <w:pPr>
              <w:pStyle w:val="TableBody"/>
              <w:ind w:left="1440" w:hanging="288"/>
              <w:rPr>
                <w:szCs w:val="22"/>
              </w:rPr>
            </w:pPr>
            <w:r>
              <w:rPr>
                <w:szCs w:val="22"/>
              </w:rPr>
              <w:t>b.</w:t>
            </w:r>
            <w:r>
              <w:rPr>
                <w:szCs w:val="22"/>
              </w:rPr>
              <w:tab/>
            </w:r>
            <w:r w:rsidR="00B41C31">
              <w:rPr>
                <w:szCs w:val="22"/>
              </w:rPr>
              <w:t xml:space="preserve">Based on </w:t>
            </w:r>
            <w:r w:rsidRPr="005E5552">
              <w:rPr>
                <w:szCs w:val="22"/>
              </w:rPr>
              <w:t xml:space="preserve">applying a depreciation rate to the book value of the asset at the beginning of the period. </w:t>
            </w:r>
          </w:p>
        </w:tc>
        <w:tc>
          <w:tcPr>
            <w:tcW w:w="2862" w:type="dxa"/>
            <w:tcBorders>
              <w:left w:val="single" w:sz="4" w:space="0" w:color="auto"/>
            </w:tcBorders>
          </w:tcPr>
          <w:p w14:paraId="05E6C81C" w14:textId="77777777" w:rsidR="00F20819" w:rsidRDefault="00F20819" w:rsidP="00122122">
            <w:pPr>
              <w:pStyle w:val="TableBody"/>
            </w:pPr>
          </w:p>
        </w:tc>
      </w:tr>
      <w:tr w:rsidR="00F20819" w14:paraId="06BBEF2F" w14:textId="77777777">
        <w:tc>
          <w:tcPr>
            <w:tcW w:w="6498" w:type="dxa"/>
            <w:tcBorders>
              <w:right w:val="single" w:sz="4" w:space="0" w:color="auto"/>
            </w:tcBorders>
          </w:tcPr>
          <w:p w14:paraId="2D7572BD" w14:textId="77777777" w:rsidR="00F20819" w:rsidRPr="005E5552" w:rsidRDefault="005E5552" w:rsidP="00B41C31">
            <w:pPr>
              <w:pStyle w:val="TableBody"/>
              <w:ind w:left="1440" w:hanging="288"/>
              <w:rPr>
                <w:szCs w:val="22"/>
              </w:rPr>
            </w:pPr>
            <w:r w:rsidRPr="005E5552">
              <w:rPr>
                <w:szCs w:val="22"/>
              </w:rPr>
              <w:t>c.</w:t>
            </w:r>
            <w:r w:rsidRPr="005E5552">
              <w:rPr>
                <w:szCs w:val="22"/>
              </w:rPr>
              <w:tab/>
            </w:r>
            <w:r w:rsidR="00B41C31">
              <w:rPr>
                <w:szCs w:val="22"/>
              </w:rPr>
              <w:t xml:space="preserve">Rate </w:t>
            </w:r>
            <w:r w:rsidRPr="005E5552">
              <w:rPr>
                <w:szCs w:val="22"/>
              </w:rPr>
              <w:t xml:space="preserve">used in the formula is double the straight-line rate and, therefore, this particular version of declining-balance depreciation is called the </w:t>
            </w:r>
            <w:r w:rsidR="00A25EC2">
              <w:rPr>
                <w:szCs w:val="22"/>
              </w:rPr>
              <w:t>double-declining-balance method.</w:t>
            </w:r>
          </w:p>
        </w:tc>
        <w:tc>
          <w:tcPr>
            <w:tcW w:w="2862" w:type="dxa"/>
            <w:tcBorders>
              <w:left w:val="single" w:sz="4" w:space="0" w:color="auto"/>
            </w:tcBorders>
          </w:tcPr>
          <w:p w14:paraId="0DBF80C6" w14:textId="77777777" w:rsidR="00F20819" w:rsidRDefault="00F20819" w:rsidP="00122122">
            <w:pPr>
              <w:pStyle w:val="TableBody"/>
            </w:pPr>
          </w:p>
        </w:tc>
      </w:tr>
      <w:tr w:rsidR="005E5552" w14:paraId="3759CB5A" w14:textId="77777777" w:rsidTr="00B2557A">
        <w:trPr>
          <w:trHeight w:val="522"/>
        </w:trPr>
        <w:tc>
          <w:tcPr>
            <w:tcW w:w="6498" w:type="dxa"/>
            <w:tcBorders>
              <w:right w:val="single" w:sz="4" w:space="0" w:color="auto"/>
            </w:tcBorders>
          </w:tcPr>
          <w:p w14:paraId="72D37F3A" w14:textId="1B407EE8" w:rsidR="005E5552" w:rsidRPr="005E5552" w:rsidRDefault="005E5552" w:rsidP="00B41C31">
            <w:pPr>
              <w:pStyle w:val="TableBody"/>
              <w:ind w:left="1440" w:hanging="288"/>
              <w:rPr>
                <w:szCs w:val="22"/>
              </w:rPr>
            </w:pPr>
            <w:r>
              <w:rPr>
                <w:szCs w:val="22"/>
              </w:rPr>
              <w:t>d.</w:t>
            </w:r>
            <w:r>
              <w:rPr>
                <w:szCs w:val="22"/>
              </w:rPr>
              <w:tab/>
            </w:r>
            <w:r w:rsidR="00B41C31">
              <w:rPr>
                <w:szCs w:val="22"/>
              </w:rPr>
              <w:t xml:space="preserve">Formula: </w:t>
            </w:r>
            <w:r>
              <w:rPr>
                <w:szCs w:val="22"/>
              </w:rPr>
              <w:t>(</w:t>
            </w:r>
            <w:r w:rsidRPr="005E5552">
              <w:rPr>
                <w:szCs w:val="22"/>
              </w:rPr>
              <w:t xml:space="preserve">Cost </w:t>
            </w:r>
            <w:r>
              <w:rPr>
                <w:szCs w:val="22"/>
              </w:rPr>
              <w:t xml:space="preserve">– </w:t>
            </w:r>
            <w:r w:rsidRPr="005E5552">
              <w:rPr>
                <w:szCs w:val="22"/>
              </w:rPr>
              <w:t xml:space="preserve">Accumulated Depreciation) </w:t>
            </w:r>
            <w:r w:rsidR="0047381B" w:rsidRPr="00A878FE">
              <w:rPr>
                <w:szCs w:val="22"/>
              </w:rPr>
              <w:t>×</w:t>
            </w:r>
            <w:r>
              <w:rPr>
                <w:szCs w:val="22"/>
              </w:rPr>
              <w:t xml:space="preserve"> (</w:t>
            </w:r>
            <w:r w:rsidRPr="005E5552">
              <w:rPr>
                <w:szCs w:val="22"/>
              </w:rPr>
              <w:t xml:space="preserve">2 </w:t>
            </w:r>
            <w:r>
              <w:rPr>
                <w:szCs w:val="22"/>
              </w:rPr>
              <w:t xml:space="preserve">divided by </w:t>
            </w:r>
            <w:r w:rsidR="00FF58FB">
              <w:rPr>
                <w:szCs w:val="22"/>
              </w:rPr>
              <w:t xml:space="preserve">the </w:t>
            </w:r>
            <w:r w:rsidRPr="005E5552">
              <w:rPr>
                <w:szCs w:val="22"/>
              </w:rPr>
              <w:t>Useful Life</w:t>
            </w:r>
            <w:r>
              <w:rPr>
                <w:szCs w:val="22"/>
              </w:rPr>
              <w:t>).</w:t>
            </w:r>
          </w:p>
        </w:tc>
        <w:tc>
          <w:tcPr>
            <w:tcW w:w="2862" w:type="dxa"/>
            <w:tcBorders>
              <w:left w:val="single" w:sz="4" w:space="0" w:color="auto"/>
            </w:tcBorders>
          </w:tcPr>
          <w:p w14:paraId="36C4CF84" w14:textId="77777777" w:rsidR="005E5552" w:rsidRDefault="005E5552" w:rsidP="002579F9">
            <w:pPr>
              <w:pStyle w:val="TableBody"/>
            </w:pPr>
          </w:p>
        </w:tc>
      </w:tr>
      <w:tr w:rsidR="00B41C31" w14:paraId="1E701ABB" w14:textId="77777777">
        <w:tc>
          <w:tcPr>
            <w:tcW w:w="6498" w:type="dxa"/>
            <w:tcBorders>
              <w:right w:val="single" w:sz="4" w:space="0" w:color="auto"/>
            </w:tcBorders>
          </w:tcPr>
          <w:p w14:paraId="0ADB11B7" w14:textId="77777777" w:rsidR="00B41C31" w:rsidRPr="005E5552" w:rsidRDefault="00B2557A" w:rsidP="00B2557A">
            <w:pPr>
              <w:pStyle w:val="TableBody"/>
              <w:ind w:left="1728" w:hanging="288"/>
            </w:pPr>
            <w:r>
              <w:t>i.</w:t>
            </w:r>
            <w:r>
              <w:tab/>
              <w:t>F</w:t>
            </w:r>
            <w:r w:rsidR="00B41C31" w:rsidRPr="005E5552">
              <w:t xml:space="preserve">ormula uses the accumulated depreciation balance at the beginning of each year. </w:t>
            </w:r>
          </w:p>
          <w:p w14:paraId="1143610A" w14:textId="77777777" w:rsidR="00B41C31" w:rsidRDefault="00B2557A" w:rsidP="00B2557A">
            <w:pPr>
              <w:pStyle w:val="TableBody"/>
              <w:ind w:left="1728" w:hanging="288"/>
            </w:pPr>
            <w:r>
              <w:t>ii.</w:t>
            </w:r>
            <w:r>
              <w:tab/>
            </w:r>
            <w:r w:rsidR="00B41C31" w:rsidRPr="005E5552">
              <w:t>In the first year of an asset’s life, the beginning balance in</w:t>
            </w:r>
            <w:r w:rsidR="00B41C31">
              <w:t xml:space="preserve"> </w:t>
            </w:r>
            <w:r w:rsidR="00B41C31" w:rsidRPr="005E5552">
              <w:t xml:space="preserve">accumulated depreciation will be zero. </w:t>
            </w:r>
          </w:p>
          <w:p w14:paraId="60EE8204" w14:textId="77777777" w:rsidR="00B41C31" w:rsidRPr="005E5552" w:rsidRDefault="00B2557A" w:rsidP="00B2557A">
            <w:pPr>
              <w:pStyle w:val="TableBody"/>
              <w:ind w:left="1728" w:hanging="288"/>
            </w:pPr>
            <w:r>
              <w:t>iii.</w:t>
            </w:r>
            <w:r>
              <w:tab/>
              <w:t>As</w:t>
            </w:r>
            <w:r w:rsidR="00B41C31" w:rsidRPr="005E5552">
              <w:t xml:space="preserve"> depreciation is recorded each year, the accumulated depreciation balance will increase, which causes the amount of depreciation to decline over time.</w:t>
            </w:r>
          </w:p>
        </w:tc>
        <w:tc>
          <w:tcPr>
            <w:tcW w:w="2862" w:type="dxa"/>
            <w:tcBorders>
              <w:left w:val="single" w:sz="4" w:space="0" w:color="auto"/>
            </w:tcBorders>
          </w:tcPr>
          <w:p w14:paraId="38FEB4F0" w14:textId="77777777" w:rsidR="00B41C31" w:rsidRPr="00B41C31" w:rsidRDefault="00B41C31" w:rsidP="001822E4">
            <w:pPr>
              <w:pStyle w:val="TableBody"/>
              <w:rPr>
                <w:i/>
              </w:rPr>
            </w:pPr>
            <w:r w:rsidRPr="00B41C31">
              <w:rPr>
                <w:i/>
                <w:szCs w:val="22"/>
              </w:rPr>
              <w:t>Stress that book value (cost − accumulated depreciation) is used rather than depreciable cost (cost – residual value).</w:t>
            </w:r>
          </w:p>
        </w:tc>
      </w:tr>
      <w:tr w:rsidR="00B41C31" w14:paraId="1AEEC592" w14:textId="77777777">
        <w:tc>
          <w:tcPr>
            <w:tcW w:w="6498" w:type="dxa"/>
            <w:tcBorders>
              <w:right w:val="single" w:sz="4" w:space="0" w:color="auto"/>
            </w:tcBorders>
          </w:tcPr>
          <w:p w14:paraId="4DBE2C9C" w14:textId="77777777" w:rsidR="00B41C31" w:rsidRPr="005E5552" w:rsidRDefault="00B41C31" w:rsidP="00F343B1">
            <w:pPr>
              <w:pStyle w:val="TableBody"/>
              <w:ind w:left="1440" w:hanging="288"/>
              <w:rPr>
                <w:szCs w:val="22"/>
              </w:rPr>
            </w:pPr>
            <w:r w:rsidRPr="005E5552">
              <w:rPr>
                <w:szCs w:val="22"/>
              </w:rPr>
              <w:t>e.</w:t>
            </w:r>
            <w:r w:rsidRPr="005E5552">
              <w:rPr>
                <w:szCs w:val="22"/>
              </w:rPr>
              <w:tab/>
            </w:r>
            <w:r>
              <w:rPr>
                <w:szCs w:val="22"/>
              </w:rPr>
              <w:t>R</w:t>
            </w:r>
            <w:r w:rsidRPr="005E5552">
              <w:rPr>
                <w:szCs w:val="22"/>
              </w:rPr>
              <w:t>esidual value is not included in the formula for computing depreciation expense under the declining-balance method</w:t>
            </w:r>
            <w:r w:rsidR="00F343B1">
              <w:rPr>
                <w:szCs w:val="22"/>
              </w:rPr>
              <w:t>; h</w:t>
            </w:r>
            <w:r w:rsidR="00B16AE8">
              <w:rPr>
                <w:szCs w:val="22"/>
              </w:rPr>
              <w:t>owever</w:t>
            </w:r>
            <w:r w:rsidR="00F343B1">
              <w:rPr>
                <w:szCs w:val="22"/>
              </w:rPr>
              <w:t>:</w:t>
            </w:r>
          </w:p>
        </w:tc>
        <w:tc>
          <w:tcPr>
            <w:tcW w:w="2862" w:type="dxa"/>
            <w:tcBorders>
              <w:left w:val="single" w:sz="4" w:space="0" w:color="auto"/>
            </w:tcBorders>
          </w:tcPr>
          <w:p w14:paraId="13C22AC0" w14:textId="77777777" w:rsidR="00B41C31" w:rsidRDefault="00B41C31" w:rsidP="002579F9">
            <w:pPr>
              <w:pStyle w:val="TableBody"/>
              <w:rPr>
                <w:szCs w:val="22"/>
              </w:rPr>
            </w:pPr>
          </w:p>
        </w:tc>
      </w:tr>
      <w:tr w:rsidR="00B41C31" w14:paraId="3183981F" w14:textId="77777777">
        <w:tc>
          <w:tcPr>
            <w:tcW w:w="6498" w:type="dxa"/>
            <w:tcBorders>
              <w:right w:val="single" w:sz="4" w:space="0" w:color="auto"/>
            </w:tcBorders>
          </w:tcPr>
          <w:p w14:paraId="551E1FE5" w14:textId="77777777" w:rsidR="00B41C31" w:rsidRPr="005E5552" w:rsidRDefault="00B2557A" w:rsidP="00B2557A">
            <w:pPr>
              <w:pStyle w:val="TableBody"/>
              <w:ind w:left="1728" w:hanging="288"/>
            </w:pPr>
            <w:r>
              <w:t>i.</w:t>
            </w:r>
            <w:r>
              <w:tab/>
              <w:t xml:space="preserve">The </w:t>
            </w:r>
            <w:r w:rsidR="00B41C31" w:rsidRPr="005E5552">
              <w:t xml:space="preserve">asset’s book value </w:t>
            </w:r>
            <w:r>
              <w:t xml:space="preserve">cannot be </w:t>
            </w:r>
            <w:r w:rsidR="00B41C31" w:rsidRPr="005E5552">
              <w:t>depreciated below its residual value.</w:t>
            </w:r>
          </w:p>
          <w:p w14:paraId="7FBA7452" w14:textId="77777777" w:rsidR="00B41C31" w:rsidRPr="005E5552" w:rsidRDefault="00B2557A" w:rsidP="00B2557A">
            <w:pPr>
              <w:pStyle w:val="TableBody"/>
              <w:ind w:left="1728" w:hanging="288"/>
            </w:pPr>
            <w:r>
              <w:t>ii.</w:t>
            </w:r>
            <w:r>
              <w:tab/>
            </w:r>
            <w:r w:rsidR="00B41C31" w:rsidRPr="005E5552">
              <w:t>If the normal depreciation calculated for the year reduces book value below residual value, a lower amount of depreciation must be recorded, so that book value equals residual value.</w:t>
            </w:r>
          </w:p>
        </w:tc>
        <w:tc>
          <w:tcPr>
            <w:tcW w:w="2862" w:type="dxa"/>
            <w:tcBorders>
              <w:left w:val="single" w:sz="4" w:space="0" w:color="auto"/>
            </w:tcBorders>
          </w:tcPr>
          <w:p w14:paraId="2F0D6FB7" w14:textId="77777777" w:rsidR="00B41C31" w:rsidRDefault="00B41C31" w:rsidP="002579F9">
            <w:pPr>
              <w:pStyle w:val="TableBody"/>
              <w:rPr>
                <w:szCs w:val="22"/>
              </w:rPr>
            </w:pPr>
          </w:p>
        </w:tc>
      </w:tr>
      <w:tr w:rsidR="00B41C31" w14:paraId="1F5846F6" w14:textId="77777777">
        <w:tc>
          <w:tcPr>
            <w:tcW w:w="6498" w:type="dxa"/>
            <w:tcBorders>
              <w:right w:val="single" w:sz="4" w:space="0" w:color="auto"/>
            </w:tcBorders>
          </w:tcPr>
          <w:p w14:paraId="206FB288" w14:textId="77777777" w:rsidR="00B41C31" w:rsidRPr="005E5552" w:rsidRDefault="00B2557A" w:rsidP="00B2557A">
            <w:pPr>
              <w:pStyle w:val="TableBody"/>
              <w:ind w:left="864"/>
            </w:pPr>
            <w:r>
              <w:t>6</w:t>
            </w:r>
            <w:r w:rsidR="00B41C31">
              <w:t>.</w:t>
            </w:r>
            <w:r w:rsidR="00B41C31">
              <w:tab/>
              <w:t>Summary</w:t>
            </w:r>
            <w:r>
              <w:t xml:space="preserve"> of Depreciation Methods</w:t>
            </w:r>
          </w:p>
        </w:tc>
        <w:tc>
          <w:tcPr>
            <w:tcW w:w="2862" w:type="dxa"/>
            <w:tcBorders>
              <w:left w:val="single" w:sz="4" w:space="0" w:color="auto"/>
            </w:tcBorders>
          </w:tcPr>
          <w:p w14:paraId="7820DA01" w14:textId="77777777" w:rsidR="00B41C31" w:rsidRDefault="00B41C31" w:rsidP="002579F9">
            <w:pPr>
              <w:pStyle w:val="TableBody"/>
              <w:rPr>
                <w:szCs w:val="22"/>
              </w:rPr>
            </w:pPr>
          </w:p>
        </w:tc>
      </w:tr>
      <w:tr w:rsidR="00B41C31" w14:paraId="3C8D9EC8" w14:textId="77777777">
        <w:tc>
          <w:tcPr>
            <w:tcW w:w="6498" w:type="dxa"/>
            <w:tcBorders>
              <w:right w:val="single" w:sz="4" w:space="0" w:color="auto"/>
            </w:tcBorders>
          </w:tcPr>
          <w:p w14:paraId="18A702BE" w14:textId="77777777" w:rsidR="00B41C31" w:rsidRPr="005E5552" w:rsidRDefault="00B41C31" w:rsidP="002579F9">
            <w:pPr>
              <w:pStyle w:val="TableBody"/>
              <w:ind w:left="1440" w:hanging="288"/>
              <w:rPr>
                <w:szCs w:val="22"/>
              </w:rPr>
            </w:pPr>
            <w:r w:rsidRPr="005E5552">
              <w:rPr>
                <w:szCs w:val="22"/>
              </w:rPr>
              <w:t>a.</w:t>
            </w:r>
            <w:r w:rsidRPr="005E5552">
              <w:rPr>
                <w:szCs w:val="22"/>
              </w:rPr>
              <w:tab/>
              <w:t>The amount of depreciation expense in each year of an asset’s life depends on the method used, which also means that the amount of net income reported can vary depending on the depreciation method used.</w:t>
            </w:r>
          </w:p>
        </w:tc>
        <w:tc>
          <w:tcPr>
            <w:tcW w:w="2862" w:type="dxa"/>
            <w:tcBorders>
              <w:left w:val="single" w:sz="4" w:space="0" w:color="auto"/>
            </w:tcBorders>
          </w:tcPr>
          <w:p w14:paraId="5A20EF6A" w14:textId="77777777" w:rsidR="00B41C31" w:rsidRDefault="00B16AE8" w:rsidP="00B16AE8">
            <w:pPr>
              <w:pStyle w:val="TableBody"/>
              <w:rPr>
                <w:szCs w:val="22"/>
              </w:rPr>
            </w:pPr>
            <w:r>
              <w:rPr>
                <w:szCs w:val="22"/>
              </w:rPr>
              <w:t xml:space="preserve">Differences summarized in </w:t>
            </w:r>
            <w:r w:rsidR="00B41C31" w:rsidRPr="005E5552">
              <w:rPr>
                <w:szCs w:val="22"/>
              </w:rPr>
              <w:t>Exhibit 9.4</w:t>
            </w:r>
          </w:p>
        </w:tc>
      </w:tr>
      <w:tr w:rsidR="00B16AE8" w14:paraId="16B21A1C" w14:textId="77777777">
        <w:tc>
          <w:tcPr>
            <w:tcW w:w="6498" w:type="dxa"/>
            <w:tcBorders>
              <w:right w:val="single" w:sz="4" w:space="0" w:color="auto"/>
            </w:tcBorders>
          </w:tcPr>
          <w:p w14:paraId="2011405D" w14:textId="77777777" w:rsidR="00B16AE8" w:rsidRDefault="00B16AE8" w:rsidP="00B16AE8">
            <w:pPr>
              <w:pStyle w:val="TableBody"/>
              <w:ind w:left="1440" w:hanging="288"/>
              <w:rPr>
                <w:szCs w:val="22"/>
              </w:rPr>
            </w:pPr>
            <w:r>
              <w:rPr>
                <w:szCs w:val="22"/>
              </w:rPr>
              <w:t>b.</w:t>
            </w:r>
            <w:r>
              <w:rPr>
                <w:szCs w:val="22"/>
              </w:rPr>
              <w:tab/>
            </w:r>
            <w:r w:rsidRPr="00B16AE8">
              <w:rPr>
                <w:szCs w:val="22"/>
              </w:rPr>
              <w:t>Different depreciation methods can be used for different classes of assets provided</w:t>
            </w:r>
            <w:r>
              <w:rPr>
                <w:szCs w:val="22"/>
              </w:rPr>
              <w:t xml:space="preserve"> </w:t>
            </w:r>
            <w:r w:rsidRPr="00B16AE8">
              <w:rPr>
                <w:szCs w:val="22"/>
              </w:rPr>
              <w:t>they are used consistently over time so that financial statement users can compare</w:t>
            </w:r>
            <w:r>
              <w:rPr>
                <w:szCs w:val="22"/>
              </w:rPr>
              <w:t xml:space="preserve"> </w:t>
            </w:r>
            <w:r w:rsidRPr="00B16AE8">
              <w:rPr>
                <w:szCs w:val="22"/>
              </w:rPr>
              <w:t>results across periods</w:t>
            </w:r>
            <w:r>
              <w:rPr>
                <w:szCs w:val="22"/>
              </w:rPr>
              <w:t>.</w:t>
            </w:r>
          </w:p>
        </w:tc>
        <w:tc>
          <w:tcPr>
            <w:tcW w:w="2862" w:type="dxa"/>
            <w:tcBorders>
              <w:left w:val="single" w:sz="4" w:space="0" w:color="auto"/>
            </w:tcBorders>
          </w:tcPr>
          <w:p w14:paraId="50DF043B" w14:textId="77777777" w:rsidR="00B16AE8" w:rsidRDefault="00B16AE8" w:rsidP="002579F9">
            <w:pPr>
              <w:pStyle w:val="TableBody"/>
              <w:rPr>
                <w:szCs w:val="22"/>
              </w:rPr>
            </w:pPr>
          </w:p>
        </w:tc>
      </w:tr>
      <w:tr w:rsidR="00B41C31" w14:paraId="0A0DF7C2" w14:textId="77777777">
        <w:tc>
          <w:tcPr>
            <w:tcW w:w="6498" w:type="dxa"/>
            <w:tcBorders>
              <w:right w:val="single" w:sz="4" w:space="0" w:color="auto"/>
            </w:tcBorders>
          </w:tcPr>
          <w:p w14:paraId="49A0735F" w14:textId="77777777" w:rsidR="00B41C31" w:rsidRPr="005E5552" w:rsidRDefault="00A712A2" w:rsidP="00A712A2">
            <w:pPr>
              <w:pStyle w:val="TableBody"/>
              <w:ind w:left="1440" w:hanging="288"/>
              <w:rPr>
                <w:szCs w:val="22"/>
              </w:rPr>
            </w:pPr>
            <w:r>
              <w:rPr>
                <w:szCs w:val="22"/>
              </w:rPr>
              <w:t>c</w:t>
            </w:r>
            <w:r w:rsidR="00B41C31">
              <w:rPr>
                <w:szCs w:val="22"/>
              </w:rPr>
              <w:t>.</w:t>
            </w:r>
            <w:r w:rsidR="00B41C31">
              <w:rPr>
                <w:szCs w:val="22"/>
              </w:rPr>
              <w:tab/>
            </w:r>
            <w:r w:rsidR="00B41C31" w:rsidRPr="005E5552">
              <w:rPr>
                <w:szCs w:val="22"/>
              </w:rPr>
              <w:t>At the end of an asset’s life, after it has</w:t>
            </w:r>
            <w:r w:rsidR="00B41C31">
              <w:rPr>
                <w:szCs w:val="22"/>
              </w:rPr>
              <w:t xml:space="preserve"> </w:t>
            </w:r>
            <w:r w:rsidR="00B41C31" w:rsidRPr="005E5552">
              <w:rPr>
                <w:szCs w:val="22"/>
              </w:rPr>
              <w:t>been fully depreciated, the total amount of depreciation will equal the asset’s depreciable</w:t>
            </w:r>
            <w:r w:rsidR="00B41C31">
              <w:rPr>
                <w:szCs w:val="22"/>
              </w:rPr>
              <w:t xml:space="preserve"> </w:t>
            </w:r>
            <w:r w:rsidR="00B41C31" w:rsidRPr="005E5552">
              <w:rPr>
                <w:szCs w:val="22"/>
              </w:rPr>
              <w:t>cost, regardless of the depreciation method used</w:t>
            </w:r>
            <w:r w:rsidR="009D0D1A">
              <w:rPr>
                <w:szCs w:val="22"/>
              </w:rPr>
              <w:t>.</w:t>
            </w:r>
          </w:p>
        </w:tc>
        <w:tc>
          <w:tcPr>
            <w:tcW w:w="2862" w:type="dxa"/>
            <w:tcBorders>
              <w:left w:val="single" w:sz="4" w:space="0" w:color="auto"/>
            </w:tcBorders>
          </w:tcPr>
          <w:p w14:paraId="2B76DD21" w14:textId="77777777" w:rsidR="00B41C31" w:rsidRDefault="00B41C31" w:rsidP="002579F9">
            <w:pPr>
              <w:pStyle w:val="TableBody"/>
              <w:rPr>
                <w:szCs w:val="22"/>
              </w:rPr>
            </w:pPr>
          </w:p>
        </w:tc>
      </w:tr>
    </w:tbl>
    <w:p w14:paraId="54E68CDD" w14:textId="77777777" w:rsidR="007B1877" w:rsidRPr="00BC2B2D" w:rsidRDefault="00A712A2" w:rsidP="007B1877">
      <w:pPr>
        <w:rPr>
          <w:sz w:val="4"/>
          <w:szCs w:val="4"/>
        </w:rPr>
      </w:pPr>
      <w:r>
        <w:br w:type="page"/>
      </w:r>
    </w:p>
    <w:tbl>
      <w:tblPr>
        <w:tblW w:w="0" w:type="auto"/>
        <w:tblLayout w:type="fixed"/>
        <w:tblLook w:val="01E0" w:firstRow="1" w:lastRow="1" w:firstColumn="1" w:lastColumn="1" w:noHBand="0" w:noVBand="0"/>
      </w:tblPr>
      <w:tblGrid>
        <w:gridCol w:w="6498"/>
        <w:gridCol w:w="2862"/>
      </w:tblGrid>
      <w:tr w:rsidR="007B1877" w:rsidRPr="00CD480D" w14:paraId="58EE309B" w14:textId="77777777" w:rsidTr="001822E4">
        <w:tc>
          <w:tcPr>
            <w:tcW w:w="6498" w:type="dxa"/>
            <w:tcBorders>
              <w:right w:val="single" w:sz="4" w:space="0" w:color="auto"/>
            </w:tcBorders>
          </w:tcPr>
          <w:p w14:paraId="2BB6EDC0" w14:textId="77777777" w:rsidR="007B1877" w:rsidRPr="00507ED2" w:rsidRDefault="007B1877" w:rsidP="001822E4">
            <w:pPr>
              <w:pStyle w:val="Heading1"/>
              <w:rPr>
                <w:bCs/>
              </w:rPr>
            </w:pPr>
            <w:r>
              <w:rPr>
                <w:rFonts w:ascii="Times New Roman" w:hAnsi="Times New Roman"/>
                <w:b w:val="0"/>
                <w:kern w:val="0"/>
                <w:sz w:val="22"/>
                <w:u w:val="none"/>
              </w:rPr>
              <w:lastRenderedPageBreak/>
              <w:br w:type="page"/>
            </w:r>
            <w:r>
              <w:rPr>
                <w:rFonts w:ascii="Times New Roman" w:hAnsi="Times New Roman"/>
                <w:b w:val="0"/>
                <w:kern w:val="0"/>
                <w:sz w:val="22"/>
                <w:u w:val="none"/>
              </w:rPr>
              <w:br w:type="page"/>
            </w:r>
            <w:r>
              <w:t>Chapter Outline</w:t>
            </w:r>
          </w:p>
        </w:tc>
        <w:tc>
          <w:tcPr>
            <w:tcW w:w="2862" w:type="dxa"/>
            <w:tcBorders>
              <w:left w:val="single" w:sz="4" w:space="0" w:color="auto"/>
            </w:tcBorders>
          </w:tcPr>
          <w:p w14:paraId="23CBB512" w14:textId="77777777" w:rsidR="007B1877" w:rsidRPr="00CD480D" w:rsidRDefault="007B1877" w:rsidP="001822E4">
            <w:pPr>
              <w:pStyle w:val="Heading1"/>
            </w:pPr>
            <w:r w:rsidRPr="00CD480D">
              <w:t>Teaching Notes</w:t>
            </w:r>
          </w:p>
        </w:tc>
      </w:tr>
      <w:tr w:rsidR="00A712A2" w14:paraId="1FC338A2" w14:textId="77777777">
        <w:tc>
          <w:tcPr>
            <w:tcW w:w="6498" w:type="dxa"/>
            <w:tcBorders>
              <w:right w:val="single" w:sz="4" w:space="0" w:color="auto"/>
            </w:tcBorders>
          </w:tcPr>
          <w:p w14:paraId="44CB8592" w14:textId="77777777" w:rsidR="00A712A2" w:rsidRDefault="00A712A2" w:rsidP="007B1877">
            <w:pPr>
              <w:pStyle w:val="TableBody"/>
              <w:ind w:left="1152" w:hanging="288"/>
              <w:rPr>
                <w:szCs w:val="22"/>
              </w:rPr>
            </w:pPr>
            <w:r>
              <w:rPr>
                <w:szCs w:val="22"/>
              </w:rPr>
              <w:t>7.</w:t>
            </w:r>
            <w:r>
              <w:rPr>
                <w:szCs w:val="22"/>
              </w:rPr>
              <w:tab/>
              <w:t>Partial-Year Depreciation Calculations</w:t>
            </w:r>
          </w:p>
        </w:tc>
        <w:tc>
          <w:tcPr>
            <w:tcW w:w="2862" w:type="dxa"/>
            <w:tcBorders>
              <w:left w:val="single" w:sz="4" w:space="0" w:color="auto"/>
            </w:tcBorders>
          </w:tcPr>
          <w:p w14:paraId="4ED01505" w14:textId="77777777" w:rsidR="00A712A2" w:rsidRDefault="00A712A2" w:rsidP="002579F9">
            <w:pPr>
              <w:pStyle w:val="TableBody"/>
              <w:rPr>
                <w:szCs w:val="22"/>
              </w:rPr>
            </w:pPr>
          </w:p>
        </w:tc>
      </w:tr>
      <w:tr w:rsidR="00A712A2" w14:paraId="5A3C2B68" w14:textId="77777777">
        <w:tc>
          <w:tcPr>
            <w:tcW w:w="6498" w:type="dxa"/>
            <w:tcBorders>
              <w:right w:val="single" w:sz="4" w:space="0" w:color="auto"/>
            </w:tcBorders>
          </w:tcPr>
          <w:p w14:paraId="1F607432" w14:textId="77777777" w:rsidR="00A712A2" w:rsidRDefault="00A712A2" w:rsidP="007B1877">
            <w:pPr>
              <w:pStyle w:val="TableBody"/>
              <w:ind w:left="1440" w:hanging="288"/>
              <w:rPr>
                <w:szCs w:val="22"/>
              </w:rPr>
            </w:pPr>
            <w:r>
              <w:rPr>
                <w:szCs w:val="22"/>
              </w:rPr>
              <w:t>a.</w:t>
            </w:r>
            <w:r>
              <w:rPr>
                <w:szCs w:val="22"/>
              </w:rPr>
              <w:tab/>
            </w:r>
            <w:r w:rsidRPr="00A712A2">
              <w:rPr>
                <w:szCs w:val="22"/>
              </w:rPr>
              <w:t>Purchases of long-lived assets seldom</w:t>
            </w:r>
            <w:r>
              <w:rPr>
                <w:szCs w:val="22"/>
              </w:rPr>
              <w:t xml:space="preserve"> </w:t>
            </w:r>
            <w:r w:rsidRPr="00A712A2">
              <w:rPr>
                <w:szCs w:val="22"/>
              </w:rPr>
              <w:t>occur on the first or last day of the period</w:t>
            </w:r>
            <w:r>
              <w:rPr>
                <w:szCs w:val="22"/>
              </w:rPr>
              <w:t xml:space="preserve">; depreciation must </w:t>
            </w:r>
            <w:r w:rsidR="009D0D1A">
              <w:rPr>
                <w:szCs w:val="22"/>
              </w:rPr>
              <w:t xml:space="preserve">sometimes </w:t>
            </w:r>
            <w:r>
              <w:rPr>
                <w:szCs w:val="22"/>
              </w:rPr>
              <w:t>be calculated</w:t>
            </w:r>
            <w:r w:rsidRPr="00A712A2">
              <w:rPr>
                <w:szCs w:val="22"/>
              </w:rPr>
              <w:t xml:space="preserve"> for periods shorter than a year.</w:t>
            </w:r>
          </w:p>
        </w:tc>
        <w:tc>
          <w:tcPr>
            <w:tcW w:w="2862" w:type="dxa"/>
            <w:tcBorders>
              <w:left w:val="single" w:sz="4" w:space="0" w:color="auto"/>
            </w:tcBorders>
          </w:tcPr>
          <w:p w14:paraId="525677BB" w14:textId="77777777" w:rsidR="00A712A2" w:rsidRDefault="00A712A2" w:rsidP="002579F9">
            <w:pPr>
              <w:pStyle w:val="TableBody"/>
              <w:rPr>
                <w:szCs w:val="22"/>
              </w:rPr>
            </w:pPr>
          </w:p>
        </w:tc>
      </w:tr>
      <w:tr w:rsidR="00A712A2" w14:paraId="43A3FE7B" w14:textId="77777777">
        <w:tc>
          <w:tcPr>
            <w:tcW w:w="6498" w:type="dxa"/>
            <w:tcBorders>
              <w:right w:val="single" w:sz="4" w:space="0" w:color="auto"/>
            </w:tcBorders>
          </w:tcPr>
          <w:p w14:paraId="515A12E4" w14:textId="77777777" w:rsidR="00A712A2" w:rsidRDefault="00A712A2" w:rsidP="007B1877">
            <w:pPr>
              <w:pStyle w:val="TableBody"/>
              <w:ind w:left="1440" w:hanging="288"/>
              <w:rPr>
                <w:szCs w:val="22"/>
              </w:rPr>
            </w:pPr>
            <w:r>
              <w:rPr>
                <w:szCs w:val="22"/>
              </w:rPr>
              <w:t>b.</w:t>
            </w:r>
            <w:r>
              <w:rPr>
                <w:szCs w:val="22"/>
              </w:rPr>
              <w:tab/>
            </w:r>
            <w:r w:rsidRPr="00A712A2">
              <w:rPr>
                <w:szCs w:val="22"/>
              </w:rPr>
              <w:t>Under the straight-line and</w:t>
            </w:r>
            <w:r>
              <w:rPr>
                <w:szCs w:val="22"/>
              </w:rPr>
              <w:t xml:space="preserve"> </w:t>
            </w:r>
            <w:r w:rsidRPr="00A712A2">
              <w:rPr>
                <w:szCs w:val="22"/>
              </w:rPr>
              <w:t>declining-balance methods, the annual depreciation is multiplied by the fraction of</w:t>
            </w:r>
            <w:r>
              <w:rPr>
                <w:szCs w:val="22"/>
              </w:rPr>
              <w:t xml:space="preserve"> </w:t>
            </w:r>
            <w:r w:rsidRPr="00A712A2">
              <w:rPr>
                <w:szCs w:val="22"/>
              </w:rPr>
              <w:t>the year for which depreciation is being calculated.</w:t>
            </w:r>
          </w:p>
        </w:tc>
        <w:tc>
          <w:tcPr>
            <w:tcW w:w="2862" w:type="dxa"/>
            <w:tcBorders>
              <w:left w:val="single" w:sz="4" w:space="0" w:color="auto"/>
            </w:tcBorders>
          </w:tcPr>
          <w:p w14:paraId="07939411" w14:textId="77777777" w:rsidR="00A712A2" w:rsidRDefault="00A712A2" w:rsidP="002579F9">
            <w:pPr>
              <w:pStyle w:val="TableBody"/>
              <w:rPr>
                <w:szCs w:val="22"/>
              </w:rPr>
            </w:pPr>
          </w:p>
        </w:tc>
      </w:tr>
      <w:tr w:rsidR="00611414" w14:paraId="3E4F27DF" w14:textId="77777777">
        <w:tc>
          <w:tcPr>
            <w:tcW w:w="6498" w:type="dxa"/>
            <w:tcBorders>
              <w:right w:val="single" w:sz="4" w:space="0" w:color="auto"/>
            </w:tcBorders>
          </w:tcPr>
          <w:p w14:paraId="05669844" w14:textId="77777777" w:rsidR="00611414" w:rsidRDefault="00611414" w:rsidP="00CC5EC6">
            <w:pPr>
              <w:pStyle w:val="TableBody"/>
              <w:ind w:left="1440" w:hanging="288"/>
              <w:rPr>
                <w:szCs w:val="22"/>
              </w:rPr>
            </w:pPr>
            <w:r>
              <w:rPr>
                <w:szCs w:val="22"/>
              </w:rPr>
              <w:t>c.</w:t>
            </w:r>
            <w:r>
              <w:rPr>
                <w:szCs w:val="22"/>
              </w:rPr>
              <w:tab/>
            </w:r>
            <w:r w:rsidRPr="00611414">
              <w:rPr>
                <w:szCs w:val="22"/>
              </w:rPr>
              <w:t>These partial-year modifications are not required in the units-of-production method</w:t>
            </w:r>
            <w:r w:rsidR="00CC5EC6">
              <w:rPr>
                <w:szCs w:val="22"/>
              </w:rPr>
              <w:t>.</w:t>
            </w:r>
          </w:p>
        </w:tc>
        <w:tc>
          <w:tcPr>
            <w:tcW w:w="2862" w:type="dxa"/>
            <w:tcBorders>
              <w:left w:val="single" w:sz="4" w:space="0" w:color="auto"/>
            </w:tcBorders>
          </w:tcPr>
          <w:p w14:paraId="4BEC2B8A" w14:textId="77777777" w:rsidR="00611414" w:rsidRDefault="00611414" w:rsidP="002579F9">
            <w:pPr>
              <w:pStyle w:val="TableBody"/>
              <w:rPr>
                <w:szCs w:val="22"/>
              </w:rPr>
            </w:pPr>
          </w:p>
        </w:tc>
      </w:tr>
      <w:tr w:rsidR="007B1877" w14:paraId="56FA48F8" w14:textId="77777777">
        <w:tc>
          <w:tcPr>
            <w:tcW w:w="6498" w:type="dxa"/>
            <w:tcBorders>
              <w:right w:val="single" w:sz="4" w:space="0" w:color="auto"/>
            </w:tcBorders>
          </w:tcPr>
          <w:p w14:paraId="7DB96E93" w14:textId="77777777" w:rsidR="007B1877" w:rsidRDefault="007B1877" w:rsidP="007B1877">
            <w:pPr>
              <w:pStyle w:val="TableBody"/>
              <w:ind w:left="1152" w:hanging="288"/>
              <w:rPr>
                <w:szCs w:val="22"/>
              </w:rPr>
            </w:pPr>
            <w:r>
              <w:rPr>
                <w:szCs w:val="22"/>
              </w:rPr>
              <w:t>8.</w:t>
            </w:r>
            <w:r>
              <w:rPr>
                <w:szCs w:val="22"/>
              </w:rPr>
              <w:tab/>
              <w:t>Tax Depreciation</w:t>
            </w:r>
          </w:p>
        </w:tc>
        <w:tc>
          <w:tcPr>
            <w:tcW w:w="2862" w:type="dxa"/>
            <w:tcBorders>
              <w:left w:val="single" w:sz="4" w:space="0" w:color="auto"/>
            </w:tcBorders>
          </w:tcPr>
          <w:p w14:paraId="4DD3F211" w14:textId="77777777" w:rsidR="007B1877" w:rsidRDefault="007B1877" w:rsidP="00122122">
            <w:pPr>
              <w:pStyle w:val="TableBody"/>
            </w:pPr>
          </w:p>
        </w:tc>
      </w:tr>
      <w:tr w:rsidR="000266C6" w14:paraId="04DA789F" w14:textId="77777777">
        <w:tc>
          <w:tcPr>
            <w:tcW w:w="6498" w:type="dxa"/>
            <w:tcBorders>
              <w:right w:val="single" w:sz="4" w:space="0" w:color="auto"/>
            </w:tcBorders>
          </w:tcPr>
          <w:p w14:paraId="5ACE4748" w14:textId="77777777" w:rsidR="000266C6" w:rsidRPr="000266C6" w:rsidRDefault="007B1877" w:rsidP="007B1877">
            <w:pPr>
              <w:pStyle w:val="TableBody"/>
              <w:ind w:left="1440" w:hanging="288"/>
              <w:rPr>
                <w:szCs w:val="22"/>
              </w:rPr>
            </w:pPr>
            <w:r>
              <w:rPr>
                <w:szCs w:val="22"/>
              </w:rPr>
              <w:t>a</w:t>
            </w:r>
            <w:r w:rsidR="000266C6" w:rsidRPr="000266C6">
              <w:rPr>
                <w:szCs w:val="22"/>
              </w:rPr>
              <w:t>.</w:t>
            </w:r>
            <w:r w:rsidR="000266C6" w:rsidRPr="000266C6">
              <w:rPr>
                <w:szCs w:val="22"/>
              </w:rPr>
              <w:tab/>
              <w:t>Most public companies use one method of depreciation for reporting to stockholders</w:t>
            </w:r>
            <w:r w:rsidR="000266C6">
              <w:rPr>
                <w:szCs w:val="22"/>
              </w:rPr>
              <w:t xml:space="preserve"> </w:t>
            </w:r>
            <w:r w:rsidR="000266C6" w:rsidRPr="000266C6">
              <w:rPr>
                <w:szCs w:val="22"/>
              </w:rPr>
              <w:t>and a different method for determining income taxes.</w:t>
            </w:r>
          </w:p>
        </w:tc>
        <w:tc>
          <w:tcPr>
            <w:tcW w:w="2862" w:type="dxa"/>
            <w:tcBorders>
              <w:left w:val="single" w:sz="4" w:space="0" w:color="auto"/>
            </w:tcBorders>
          </w:tcPr>
          <w:p w14:paraId="3691724B" w14:textId="77777777" w:rsidR="000266C6" w:rsidRDefault="000266C6" w:rsidP="00122122">
            <w:pPr>
              <w:pStyle w:val="TableBody"/>
            </w:pPr>
          </w:p>
        </w:tc>
      </w:tr>
      <w:tr w:rsidR="00A712A2" w14:paraId="1BBD8A1F" w14:textId="77777777">
        <w:tc>
          <w:tcPr>
            <w:tcW w:w="6498" w:type="dxa"/>
            <w:tcBorders>
              <w:right w:val="single" w:sz="4" w:space="0" w:color="auto"/>
            </w:tcBorders>
          </w:tcPr>
          <w:p w14:paraId="4C522947" w14:textId="77777777" w:rsidR="00A712A2" w:rsidRPr="00A712A2" w:rsidRDefault="007B1877" w:rsidP="00CC5EC6">
            <w:pPr>
              <w:pStyle w:val="TableBody"/>
              <w:ind w:left="1728" w:hanging="288"/>
              <w:rPr>
                <w:szCs w:val="22"/>
              </w:rPr>
            </w:pPr>
            <w:r>
              <w:rPr>
                <w:szCs w:val="22"/>
              </w:rPr>
              <w:t>i</w:t>
            </w:r>
            <w:r w:rsidR="00A712A2" w:rsidRPr="00A712A2">
              <w:rPr>
                <w:szCs w:val="22"/>
              </w:rPr>
              <w:t>.</w:t>
            </w:r>
            <w:r w:rsidR="00A712A2" w:rsidRPr="00A712A2">
              <w:rPr>
                <w:szCs w:val="22"/>
              </w:rPr>
              <w:tab/>
              <w:t>The IRS allows companies to deduct larger amounts of tax depreciation allowed by GAAP</w:t>
            </w:r>
            <w:r w:rsidR="00CC5EC6">
              <w:rPr>
                <w:szCs w:val="22"/>
              </w:rPr>
              <w:t xml:space="preserve">; the </w:t>
            </w:r>
            <w:r w:rsidR="00A712A2" w:rsidRPr="00A712A2">
              <w:rPr>
                <w:szCs w:val="22"/>
              </w:rPr>
              <w:t>deduction reduces the company’s income taxes significantly in the years immediately following the purchase of a long-lived asset.</w:t>
            </w:r>
          </w:p>
        </w:tc>
        <w:tc>
          <w:tcPr>
            <w:tcW w:w="2862" w:type="dxa"/>
            <w:tcBorders>
              <w:left w:val="single" w:sz="4" w:space="0" w:color="auto"/>
            </w:tcBorders>
          </w:tcPr>
          <w:p w14:paraId="07066782" w14:textId="77777777" w:rsidR="00A712A2" w:rsidRDefault="00A712A2" w:rsidP="00122122">
            <w:pPr>
              <w:pStyle w:val="TableBody"/>
            </w:pPr>
          </w:p>
        </w:tc>
      </w:tr>
      <w:tr w:rsidR="00A712A2" w14:paraId="7250B1F0" w14:textId="77777777">
        <w:tc>
          <w:tcPr>
            <w:tcW w:w="6498" w:type="dxa"/>
            <w:tcBorders>
              <w:right w:val="single" w:sz="4" w:space="0" w:color="auto"/>
            </w:tcBorders>
          </w:tcPr>
          <w:p w14:paraId="51687AF6" w14:textId="77777777" w:rsidR="00A712A2" w:rsidRPr="00A712A2" w:rsidRDefault="007B1877" w:rsidP="00CC5EC6">
            <w:pPr>
              <w:pStyle w:val="TableBody"/>
              <w:ind w:left="1728" w:hanging="288"/>
              <w:rPr>
                <w:szCs w:val="22"/>
              </w:rPr>
            </w:pPr>
            <w:r>
              <w:rPr>
                <w:szCs w:val="22"/>
              </w:rPr>
              <w:t>ii</w:t>
            </w:r>
            <w:r w:rsidR="00A712A2" w:rsidRPr="00A712A2">
              <w:rPr>
                <w:szCs w:val="22"/>
              </w:rPr>
              <w:t>.</w:t>
            </w:r>
            <w:r w:rsidR="00A712A2" w:rsidRPr="00A712A2">
              <w:rPr>
                <w:szCs w:val="22"/>
              </w:rPr>
              <w:tab/>
            </w:r>
            <w:r w:rsidR="00CC5EC6">
              <w:rPr>
                <w:szCs w:val="22"/>
              </w:rPr>
              <w:t xml:space="preserve">The </w:t>
            </w:r>
            <w:r w:rsidR="00A712A2" w:rsidRPr="00A712A2">
              <w:rPr>
                <w:szCs w:val="22"/>
              </w:rPr>
              <w:t>IRS doesn’t allow a company to depreciate more than an asset’s depreciable cost over its life</w:t>
            </w:r>
            <w:r w:rsidR="00CC5EC6">
              <w:rPr>
                <w:szCs w:val="22"/>
              </w:rPr>
              <w:t>; s</w:t>
            </w:r>
            <w:r w:rsidR="00A712A2" w:rsidRPr="00A712A2">
              <w:rPr>
                <w:szCs w:val="22"/>
              </w:rPr>
              <w:t>o, the tax savings enjoyed in the early years of an asset’s life will eventually be paid back in later years of the asset’s life.</w:t>
            </w:r>
          </w:p>
        </w:tc>
        <w:tc>
          <w:tcPr>
            <w:tcW w:w="2862" w:type="dxa"/>
            <w:tcBorders>
              <w:left w:val="single" w:sz="4" w:space="0" w:color="auto"/>
            </w:tcBorders>
          </w:tcPr>
          <w:p w14:paraId="304215F2" w14:textId="77777777" w:rsidR="00A712A2" w:rsidRDefault="00A712A2" w:rsidP="00122122">
            <w:pPr>
              <w:pStyle w:val="TableBody"/>
            </w:pPr>
          </w:p>
        </w:tc>
      </w:tr>
      <w:tr w:rsidR="00A712A2" w14:paraId="37E40A91" w14:textId="77777777">
        <w:tc>
          <w:tcPr>
            <w:tcW w:w="6498" w:type="dxa"/>
            <w:tcBorders>
              <w:right w:val="single" w:sz="4" w:space="0" w:color="auto"/>
            </w:tcBorders>
          </w:tcPr>
          <w:p w14:paraId="1CC739E7" w14:textId="77777777" w:rsidR="00A712A2" w:rsidRPr="00A712A2" w:rsidRDefault="007B1877" w:rsidP="00CC5EC6">
            <w:pPr>
              <w:pStyle w:val="TableBody"/>
              <w:ind w:left="1728" w:hanging="288"/>
              <w:rPr>
                <w:szCs w:val="22"/>
              </w:rPr>
            </w:pPr>
            <w:r>
              <w:rPr>
                <w:szCs w:val="22"/>
              </w:rPr>
              <w:t>iii</w:t>
            </w:r>
            <w:r w:rsidR="00A712A2" w:rsidRPr="00A712A2">
              <w:rPr>
                <w:szCs w:val="22"/>
              </w:rPr>
              <w:t>.</w:t>
            </w:r>
            <w:r w:rsidR="00A712A2" w:rsidRPr="00A712A2">
              <w:rPr>
                <w:szCs w:val="22"/>
              </w:rPr>
              <w:tab/>
              <w:t xml:space="preserve">The amount of tax put off (deferred) as a result of taking large tax depreciation deductions is reported as a long-term liability called </w:t>
            </w:r>
            <w:r w:rsidR="00CC5EC6" w:rsidRPr="00A712A2">
              <w:rPr>
                <w:szCs w:val="22"/>
              </w:rPr>
              <w:t>Deferred Income Tax.</w:t>
            </w:r>
          </w:p>
        </w:tc>
        <w:tc>
          <w:tcPr>
            <w:tcW w:w="2862" w:type="dxa"/>
            <w:tcBorders>
              <w:left w:val="single" w:sz="4" w:space="0" w:color="auto"/>
            </w:tcBorders>
          </w:tcPr>
          <w:p w14:paraId="2205142F" w14:textId="77777777" w:rsidR="00A712A2" w:rsidRDefault="00A712A2" w:rsidP="00122122">
            <w:pPr>
              <w:pStyle w:val="TableBody"/>
            </w:pPr>
          </w:p>
        </w:tc>
      </w:tr>
      <w:tr w:rsidR="000266C6" w:rsidRPr="00F343B1" w14:paraId="26BBF60D" w14:textId="77777777">
        <w:tc>
          <w:tcPr>
            <w:tcW w:w="6498" w:type="dxa"/>
            <w:tcBorders>
              <w:right w:val="single" w:sz="4" w:space="0" w:color="auto"/>
            </w:tcBorders>
          </w:tcPr>
          <w:p w14:paraId="42763F0F" w14:textId="77777777" w:rsidR="000266C6" w:rsidRPr="00F343B1" w:rsidRDefault="00CC5EC6" w:rsidP="00CC5EC6">
            <w:pPr>
              <w:pStyle w:val="TableBody"/>
              <w:ind w:left="1440" w:hanging="288"/>
              <w:rPr>
                <w:szCs w:val="22"/>
              </w:rPr>
            </w:pPr>
            <w:r w:rsidRPr="00F343B1">
              <w:rPr>
                <w:szCs w:val="22"/>
              </w:rPr>
              <w:t>b</w:t>
            </w:r>
            <w:r w:rsidR="00A712A2" w:rsidRPr="00F343B1">
              <w:rPr>
                <w:szCs w:val="22"/>
              </w:rPr>
              <w:t>.</w:t>
            </w:r>
            <w:r w:rsidR="00A712A2" w:rsidRPr="00F343B1">
              <w:rPr>
                <w:szCs w:val="22"/>
              </w:rPr>
              <w:tab/>
            </w:r>
            <w:r w:rsidR="004B02B1">
              <w:rPr>
                <w:szCs w:val="22"/>
              </w:rPr>
              <w:t>Least and latest rule––</w:t>
            </w:r>
            <w:r w:rsidR="000266C6" w:rsidRPr="00F343B1">
              <w:rPr>
                <w:szCs w:val="22"/>
              </w:rPr>
              <w:t>All taxpayers want to pay the least tax that is legally permitted and at the latest possible date.</w:t>
            </w:r>
          </w:p>
        </w:tc>
        <w:tc>
          <w:tcPr>
            <w:tcW w:w="2862" w:type="dxa"/>
            <w:tcBorders>
              <w:left w:val="single" w:sz="4" w:space="0" w:color="auto"/>
            </w:tcBorders>
          </w:tcPr>
          <w:p w14:paraId="4D5DE8E2" w14:textId="77777777" w:rsidR="000266C6" w:rsidRPr="00F343B1" w:rsidRDefault="000266C6" w:rsidP="00122122">
            <w:pPr>
              <w:pStyle w:val="TableBody"/>
            </w:pPr>
          </w:p>
        </w:tc>
      </w:tr>
      <w:tr w:rsidR="007B1877" w:rsidRPr="005C4337" w14:paraId="58E5D487" w14:textId="77777777" w:rsidTr="001822E4">
        <w:tc>
          <w:tcPr>
            <w:tcW w:w="9360" w:type="dxa"/>
            <w:gridSpan w:val="2"/>
            <w:tcBorders>
              <w:top w:val="single" w:sz="4" w:space="0" w:color="auto"/>
              <w:left w:val="single" w:sz="4" w:space="0" w:color="auto"/>
              <w:bottom w:val="single" w:sz="4" w:space="0" w:color="auto"/>
              <w:right w:val="single" w:sz="4" w:space="0" w:color="auto"/>
            </w:tcBorders>
          </w:tcPr>
          <w:p w14:paraId="13DB234C" w14:textId="145156A3" w:rsidR="007B1877" w:rsidRPr="005C4337" w:rsidRDefault="007B1877" w:rsidP="00852C29">
            <w:pPr>
              <w:pStyle w:val="TableBody"/>
              <w:spacing w:before="60" w:after="60"/>
              <w:rPr>
                <w:b/>
                <w:i/>
              </w:rPr>
            </w:pPr>
            <w:r w:rsidRPr="005C4337">
              <w:rPr>
                <w:b/>
                <w:i/>
              </w:rPr>
              <w:t xml:space="preserve">LO </w:t>
            </w:r>
            <w:r w:rsidR="00C45729" w:rsidRPr="00C45729">
              <w:rPr>
                <w:b/>
                <w:bCs/>
                <w:i/>
              </w:rPr>
              <w:t>9-</w:t>
            </w:r>
            <w:r w:rsidRPr="005C4337">
              <w:rPr>
                <w:b/>
                <w:i/>
              </w:rPr>
              <w:t>4 Explain the effect of asset impairment on the financial statements.</w:t>
            </w:r>
          </w:p>
        </w:tc>
      </w:tr>
      <w:tr w:rsidR="00323D60" w14:paraId="1B706378" w14:textId="77777777" w:rsidTr="007B1877">
        <w:tc>
          <w:tcPr>
            <w:tcW w:w="6498" w:type="dxa"/>
            <w:tcBorders>
              <w:right w:val="single" w:sz="4" w:space="0" w:color="auto"/>
            </w:tcBorders>
          </w:tcPr>
          <w:p w14:paraId="0417288C" w14:textId="0F756237" w:rsidR="00323D60" w:rsidRPr="00323D60" w:rsidRDefault="00CC5EC6" w:rsidP="00896D1A">
            <w:pPr>
              <w:autoSpaceDE w:val="0"/>
              <w:autoSpaceDN w:val="0"/>
              <w:adjustRightInd w:val="0"/>
              <w:ind w:left="864" w:hanging="288"/>
              <w:rPr>
                <w:rFonts w:ascii="Interstate-Regular" w:hAnsi="Interstate-Regular" w:cs="Interstate-Regular"/>
                <w:color w:val="000000"/>
                <w:sz w:val="20"/>
              </w:rPr>
            </w:pPr>
            <w:r>
              <w:rPr>
                <w:iCs/>
              </w:rPr>
              <w:t>C</w:t>
            </w:r>
            <w:r w:rsidR="00323D60">
              <w:rPr>
                <w:iCs/>
              </w:rPr>
              <w:t>.</w:t>
            </w:r>
            <w:r w:rsidR="00323D60">
              <w:rPr>
                <w:iCs/>
              </w:rPr>
              <w:tab/>
              <w:t>A</w:t>
            </w:r>
            <w:r w:rsidR="00323D60">
              <w:t>sset Impairment Losses</w:t>
            </w:r>
            <w:r w:rsidR="005330BC">
              <w:rPr>
                <w:szCs w:val="22"/>
              </w:rPr>
              <w:t>––</w:t>
            </w:r>
            <w:r w:rsidR="00896D1A">
              <w:rPr>
                <w:szCs w:val="22"/>
              </w:rPr>
              <w:t xml:space="preserve">An </w:t>
            </w:r>
            <w:r w:rsidR="00896D1A" w:rsidRPr="00CC5EC6">
              <w:rPr>
                <w:szCs w:val="22"/>
              </w:rPr>
              <w:t>asset’s</w:t>
            </w:r>
            <w:r w:rsidR="00896D1A">
              <w:rPr>
                <w:szCs w:val="22"/>
              </w:rPr>
              <w:t xml:space="preserve"> </w:t>
            </w:r>
            <w:r w:rsidR="00896D1A" w:rsidRPr="00CC5EC6">
              <w:rPr>
                <w:szCs w:val="22"/>
              </w:rPr>
              <w:t>book value could exceed its current value</w:t>
            </w:r>
          </w:p>
        </w:tc>
        <w:tc>
          <w:tcPr>
            <w:tcW w:w="2862" w:type="dxa"/>
            <w:tcBorders>
              <w:left w:val="single" w:sz="4" w:space="0" w:color="auto"/>
            </w:tcBorders>
          </w:tcPr>
          <w:p w14:paraId="077B2CC0" w14:textId="77777777" w:rsidR="00323D60" w:rsidRDefault="00323D60" w:rsidP="00896D1A">
            <w:pPr>
              <w:pStyle w:val="TableBody"/>
              <w:ind w:hanging="288"/>
            </w:pPr>
          </w:p>
        </w:tc>
      </w:tr>
      <w:tr w:rsidR="00282678" w14:paraId="041C95AE" w14:textId="77777777">
        <w:tc>
          <w:tcPr>
            <w:tcW w:w="6498" w:type="dxa"/>
            <w:tcBorders>
              <w:right w:val="single" w:sz="4" w:space="0" w:color="auto"/>
            </w:tcBorders>
          </w:tcPr>
          <w:p w14:paraId="41A4C265" w14:textId="77777777" w:rsidR="00282678" w:rsidRDefault="00896D1A" w:rsidP="00896D1A">
            <w:pPr>
              <w:pStyle w:val="TableBody"/>
              <w:ind w:left="1152" w:hanging="288"/>
              <w:rPr>
                <w:szCs w:val="22"/>
              </w:rPr>
            </w:pPr>
            <w:r>
              <w:rPr>
                <w:szCs w:val="22"/>
              </w:rPr>
              <w:t>1</w:t>
            </w:r>
            <w:r w:rsidR="00282678">
              <w:rPr>
                <w:szCs w:val="22"/>
              </w:rPr>
              <w:t>.</w:t>
            </w:r>
            <w:r w:rsidR="00282678">
              <w:rPr>
                <w:szCs w:val="22"/>
              </w:rPr>
              <w:tab/>
            </w:r>
            <w:r w:rsidR="00282678" w:rsidRPr="00082CE6">
              <w:rPr>
                <w:b/>
                <w:szCs w:val="22"/>
              </w:rPr>
              <w:t>Impairment</w:t>
            </w:r>
            <w:r w:rsidR="00CC5EC6">
              <w:rPr>
                <w:szCs w:val="22"/>
              </w:rPr>
              <w:t>–</w:t>
            </w:r>
            <w:r w:rsidR="00082CE6">
              <w:rPr>
                <w:szCs w:val="22"/>
              </w:rPr>
              <w:t>–</w:t>
            </w:r>
            <w:r w:rsidR="00CC5EC6">
              <w:rPr>
                <w:szCs w:val="22"/>
              </w:rPr>
              <w:t>O</w:t>
            </w:r>
            <w:r w:rsidR="00282678" w:rsidRPr="00282678">
              <w:rPr>
                <w:szCs w:val="22"/>
              </w:rPr>
              <w:t xml:space="preserve">ccurs </w:t>
            </w:r>
            <w:r w:rsidR="00082CE6" w:rsidRPr="00082CE6">
              <w:rPr>
                <w:szCs w:val="22"/>
              </w:rPr>
              <w:t>when the</w:t>
            </w:r>
            <w:r w:rsidR="00082CE6">
              <w:rPr>
                <w:szCs w:val="22"/>
              </w:rPr>
              <w:t xml:space="preserve"> </w:t>
            </w:r>
            <w:r w:rsidR="00082CE6" w:rsidRPr="00082CE6">
              <w:rPr>
                <w:szCs w:val="22"/>
              </w:rPr>
              <w:t>cash to be generated by an</w:t>
            </w:r>
            <w:r w:rsidR="00082CE6">
              <w:rPr>
                <w:szCs w:val="22"/>
              </w:rPr>
              <w:t xml:space="preserve"> </w:t>
            </w:r>
            <w:r w:rsidR="00082CE6" w:rsidRPr="00082CE6">
              <w:rPr>
                <w:szCs w:val="22"/>
              </w:rPr>
              <w:t>asset is estimated to be less</w:t>
            </w:r>
            <w:r w:rsidR="00082CE6">
              <w:rPr>
                <w:szCs w:val="22"/>
              </w:rPr>
              <w:t xml:space="preserve"> </w:t>
            </w:r>
            <w:r w:rsidR="00082CE6" w:rsidRPr="00082CE6">
              <w:rPr>
                <w:szCs w:val="22"/>
              </w:rPr>
              <w:t>than the carrying value of that</w:t>
            </w:r>
            <w:r w:rsidR="00082CE6">
              <w:rPr>
                <w:szCs w:val="22"/>
              </w:rPr>
              <w:t xml:space="preserve"> </w:t>
            </w:r>
            <w:r w:rsidR="00082CE6" w:rsidRPr="00082CE6">
              <w:rPr>
                <w:szCs w:val="22"/>
              </w:rPr>
              <w:t>asset.</w:t>
            </w:r>
          </w:p>
        </w:tc>
        <w:tc>
          <w:tcPr>
            <w:tcW w:w="2862" w:type="dxa"/>
            <w:tcBorders>
              <w:left w:val="single" w:sz="4" w:space="0" w:color="auto"/>
            </w:tcBorders>
          </w:tcPr>
          <w:p w14:paraId="68C26153" w14:textId="77777777" w:rsidR="00282678" w:rsidRDefault="00282678" w:rsidP="00122122">
            <w:pPr>
              <w:pStyle w:val="TableBody"/>
            </w:pPr>
          </w:p>
        </w:tc>
      </w:tr>
      <w:tr w:rsidR="00323D60" w14:paraId="65F9B64D" w14:textId="77777777">
        <w:tc>
          <w:tcPr>
            <w:tcW w:w="6498" w:type="dxa"/>
            <w:tcBorders>
              <w:right w:val="single" w:sz="4" w:space="0" w:color="auto"/>
            </w:tcBorders>
          </w:tcPr>
          <w:p w14:paraId="57A6F699" w14:textId="77777777" w:rsidR="00323D60" w:rsidRPr="00282678" w:rsidRDefault="00896D1A" w:rsidP="00896D1A">
            <w:pPr>
              <w:pStyle w:val="TableBody"/>
              <w:ind w:left="1152" w:hanging="288"/>
              <w:rPr>
                <w:szCs w:val="22"/>
              </w:rPr>
            </w:pPr>
            <w:r>
              <w:rPr>
                <w:szCs w:val="22"/>
              </w:rPr>
              <w:t>2</w:t>
            </w:r>
            <w:r w:rsidR="00282678">
              <w:rPr>
                <w:szCs w:val="22"/>
              </w:rPr>
              <w:t>.</w:t>
            </w:r>
            <w:r w:rsidR="00282678">
              <w:rPr>
                <w:szCs w:val="22"/>
              </w:rPr>
              <w:tab/>
            </w:r>
            <w:r w:rsidR="00082CE6">
              <w:rPr>
                <w:szCs w:val="22"/>
              </w:rPr>
              <w:t xml:space="preserve">Events or changed circumstances can interfere with a company’s ability to recover the value of an asset through future operations. </w:t>
            </w:r>
          </w:p>
        </w:tc>
        <w:tc>
          <w:tcPr>
            <w:tcW w:w="2862" w:type="dxa"/>
            <w:tcBorders>
              <w:left w:val="single" w:sz="4" w:space="0" w:color="auto"/>
            </w:tcBorders>
          </w:tcPr>
          <w:p w14:paraId="3B4F22E0" w14:textId="77777777" w:rsidR="00323D60" w:rsidRDefault="00323D60" w:rsidP="00122122">
            <w:pPr>
              <w:pStyle w:val="TableBody"/>
            </w:pPr>
          </w:p>
        </w:tc>
      </w:tr>
      <w:tr w:rsidR="00082CE6" w14:paraId="0623B554" w14:textId="77777777">
        <w:tc>
          <w:tcPr>
            <w:tcW w:w="6498" w:type="dxa"/>
            <w:tcBorders>
              <w:right w:val="single" w:sz="4" w:space="0" w:color="auto"/>
            </w:tcBorders>
          </w:tcPr>
          <w:p w14:paraId="37D39A64" w14:textId="77777777" w:rsidR="00082CE6" w:rsidRDefault="00896D1A" w:rsidP="00896D1A">
            <w:pPr>
              <w:pStyle w:val="TableBody"/>
              <w:ind w:left="1152" w:hanging="288"/>
              <w:rPr>
                <w:szCs w:val="22"/>
              </w:rPr>
            </w:pPr>
            <w:r>
              <w:rPr>
                <w:szCs w:val="22"/>
              </w:rPr>
              <w:t>3</w:t>
            </w:r>
            <w:r w:rsidR="00082CE6">
              <w:rPr>
                <w:szCs w:val="22"/>
              </w:rPr>
              <w:t>.</w:t>
            </w:r>
            <w:r w:rsidR="00082CE6">
              <w:rPr>
                <w:szCs w:val="22"/>
              </w:rPr>
              <w:tab/>
              <w:t xml:space="preserve">If </w:t>
            </w:r>
            <w:r w:rsidR="009429EA">
              <w:rPr>
                <w:szCs w:val="22"/>
              </w:rPr>
              <w:t>this occurs</w:t>
            </w:r>
            <w:r w:rsidR="00082CE6" w:rsidRPr="00282678">
              <w:rPr>
                <w:szCs w:val="22"/>
              </w:rPr>
              <w:t>,</w:t>
            </w:r>
            <w:r w:rsidR="00082CE6">
              <w:rPr>
                <w:szCs w:val="22"/>
              </w:rPr>
              <w:t xml:space="preserve"> </w:t>
            </w:r>
            <w:r w:rsidR="00082CE6" w:rsidRPr="00282678">
              <w:rPr>
                <w:szCs w:val="22"/>
              </w:rPr>
              <w:t xml:space="preserve">the book value should be written down to what </w:t>
            </w:r>
            <w:r w:rsidR="009429EA">
              <w:rPr>
                <w:szCs w:val="22"/>
              </w:rPr>
              <w:t xml:space="preserve">the asset is </w:t>
            </w:r>
            <w:r w:rsidR="00082CE6" w:rsidRPr="00282678">
              <w:rPr>
                <w:szCs w:val="22"/>
              </w:rPr>
              <w:t>worth (called fair value)</w:t>
            </w:r>
            <w:r w:rsidR="00082CE6">
              <w:rPr>
                <w:szCs w:val="22"/>
              </w:rPr>
              <w:t xml:space="preserve">; the </w:t>
            </w:r>
            <w:r w:rsidR="00082CE6" w:rsidRPr="00282678">
              <w:rPr>
                <w:szCs w:val="22"/>
              </w:rPr>
              <w:t xml:space="preserve">amount of the write-down </w:t>
            </w:r>
            <w:r w:rsidR="00082CE6">
              <w:rPr>
                <w:szCs w:val="22"/>
              </w:rPr>
              <w:t xml:space="preserve">is </w:t>
            </w:r>
            <w:r w:rsidR="00082CE6" w:rsidRPr="00282678">
              <w:rPr>
                <w:szCs w:val="22"/>
              </w:rPr>
              <w:t>reported as an impairment loss.</w:t>
            </w:r>
          </w:p>
        </w:tc>
        <w:tc>
          <w:tcPr>
            <w:tcW w:w="2862" w:type="dxa"/>
            <w:tcBorders>
              <w:left w:val="single" w:sz="4" w:space="0" w:color="auto"/>
            </w:tcBorders>
          </w:tcPr>
          <w:p w14:paraId="4BD6AFD1" w14:textId="77777777" w:rsidR="00082CE6" w:rsidRDefault="00082CE6" w:rsidP="00122122">
            <w:pPr>
              <w:pStyle w:val="TableBody"/>
            </w:pPr>
          </w:p>
        </w:tc>
      </w:tr>
      <w:tr w:rsidR="00282678" w14:paraId="2DE59BE2" w14:textId="77777777">
        <w:tc>
          <w:tcPr>
            <w:tcW w:w="6498" w:type="dxa"/>
            <w:tcBorders>
              <w:right w:val="single" w:sz="4" w:space="0" w:color="auto"/>
            </w:tcBorders>
          </w:tcPr>
          <w:p w14:paraId="22F0072C" w14:textId="77777777" w:rsidR="00282678" w:rsidRPr="00282678" w:rsidRDefault="00896D1A" w:rsidP="00896D1A">
            <w:pPr>
              <w:pStyle w:val="TableBody"/>
              <w:ind w:left="1152" w:hanging="288"/>
              <w:rPr>
                <w:szCs w:val="22"/>
              </w:rPr>
            </w:pPr>
            <w:r>
              <w:rPr>
                <w:szCs w:val="22"/>
              </w:rPr>
              <w:t>4</w:t>
            </w:r>
            <w:r w:rsidR="00282678">
              <w:rPr>
                <w:szCs w:val="22"/>
              </w:rPr>
              <w:t>.</w:t>
            </w:r>
            <w:r w:rsidR="00282678">
              <w:rPr>
                <w:szCs w:val="22"/>
              </w:rPr>
              <w:tab/>
            </w:r>
            <w:r w:rsidR="00CC5EC6" w:rsidRPr="00CC5EC6">
              <w:rPr>
                <w:szCs w:val="22"/>
              </w:rPr>
              <w:t>Impairment losses are classified as an operating expense on the income statement and reported above the Income from Operations subtotal.</w:t>
            </w:r>
          </w:p>
        </w:tc>
        <w:tc>
          <w:tcPr>
            <w:tcW w:w="2862" w:type="dxa"/>
            <w:tcBorders>
              <w:left w:val="single" w:sz="4" w:space="0" w:color="auto"/>
            </w:tcBorders>
          </w:tcPr>
          <w:p w14:paraId="6D4FEA8A" w14:textId="77777777" w:rsidR="00282678" w:rsidRDefault="00282678" w:rsidP="00122122">
            <w:pPr>
              <w:pStyle w:val="TableBody"/>
            </w:pPr>
          </w:p>
        </w:tc>
      </w:tr>
    </w:tbl>
    <w:p w14:paraId="5C99E85E" w14:textId="77777777" w:rsidR="00533480" w:rsidRPr="00BC2B2D" w:rsidRDefault="00533480">
      <w:pPr>
        <w:rPr>
          <w:sz w:val="4"/>
          <w:szCs w:val="4"/>
        </w:rPr>
      </w:pPr>
      <w:r>
        <w:br w:type="page"/>
      </w:r>
    </w:p>
    <w:tbl>
      <w:tblPr>
        <w:tblW w:w="0" w:type="auto"/>
        <w:tblLayout w:type="fixed"/>
        <w:tblLook w:val="01E0" w:firstRow="1" w:lastRow="1" w:firstColumn="1" w:lastColumn="1" w:noHBand="0" w:noVBand="0"/>
      </w:tblPr>
      <w:tblGrid>
        <w:gridCol w:w="6498"/>
        <w:gridCol w:w="2862"/>
      </w:tblGrid>
      <w:tr w:rsidR="00533480" w:rsidRPr="00CD480D" w14:paraId="3D9ED394" w14:textId="77777777">
        <w:tc>
          <w:tcPr>
            <w:tcW w:w="6498" w:type="dxa"/>
            <w:tcBorders>
              <w:right w:val="single" w:sz="4" w:space="0" w:color="auto"/>
            </w:tcBorders>
          </w:tcPr>
          <w:p w14:paraId="177451FE" w14:textId="77777777" w:rsidR="00533480" w:rsidRPr="00507ED2" w:rsidRDefault="00533480" w:rsidP="00533480">
            <w:pPr>
              <w:pStyle w:val="Heading1"/>
              <w:rPr>
                <w:bCs/>
              </w:rPr>
            </w:pPr>
            <w:r>
              <w:rPr>
                <w:rFonts w:ascii="Times New Roman" w:hAnsi="Times New Roman"/>
                <w:b w:val="0"/>
                <w:kern w:val="0"/>
                <w:sz w:val="22"/>
                <w:u w:val="none"/>
              </w:rPr>
              <w:lastRenderedPageBreak/>
              <w:br w:type="page"/>
            </w:r>
            <w:r>
              <w:rPr>
                <w:rFonts w:ascii="Times New Roman" w:hAnsi="Times New Roman"/>
                <w:b w:val="0"/>
                <w:kern w:val="0"/>
                <w:sz w:val="22"/>
                <w:u w:val="none"/>
              </w:rPr>
              <w:br w:type="page"/>
            </w:r>
            <w:r>
              <w:t>Chapter Outline</w:t>
            </w:r>
          </w:p>
        </w:tc>
        <w:tc>
          <w:tcPr>
            <w:tcW w:w="2862" w:type="dxa"/>
            <w:tcBorders>
              <w:left w:val="single" w:sz="4" w:space="0" w:color="auto"/>
            </w:tcBorders>
          </w:tcPr>
          <w:p w14:paraId="647A29B4" w14:textId="77777777" w:rsidR="00533480" w:rsidRPr="00CD480D" w:rsidRDefault="00533480" w:rsidP="00533480">
            <w:pPr>
              <w:pStyle w:val="Heading1"/>
            </w:pPr>
            <w:r w:rsidRPr="00CD480D">
              <w:t>Teaching Notes</w:t>
            </w:r>
          </w:p>
        </w:tc>
      </w:tr>
      <w:tr w:rsidR="00CC5EC6" w:rsidRPr="005C4337" w14:paraId="3AE0BC4A" w14:textId="77777777" w:rsidTr="001822E4">
        <w:tc>
          <w:tcPr>
            <w:tcW w:w="9360" w:type="dxa"/>
            <w:gridSpan w:val="2"/>
            <w:tcBorders>
              <w:top w:val="single" w:sz="4" w:space="0" w:color="auto"/>
              <w:left w:val="single" w:sz="4" w:space="0" w:color="auto"/>
              <w:bottom w:val="single" w:sz="4" w:space="0" w:color="auto"/>
              <w:right w:val="single" w:sz="4" w:space="0" w:color="auto"/>
            </w:tcBorders>
          </w:tcPr>
          <w:p w14:paraId="1127B1E8" w14:textId="254597E5" w:rsidR="00CC5EC6" w:rsidRPr="005C4337" w:rsidRDefault="00CC5EC6" w:rsidP="00852C29">
            <w:pPr>
              <w:pStyle w:val="TableBody"/>
              <w:spacing w:before="60" w:after="60"/>
              <w:rPr>
                <w:b/>
                <w:i/>
              </w:rPr>
            </w:pPr>
            <w:r w:rsidRPr="005C4337">
              <w:rPr>
                <w:b/>
                <w:i/>
              </w:rPr>
              <w:t xml:space="preserve">LO </w:t>
            </w:r>
            <w:r w:rsidR="00C45729" w:rsidRPr="00C45729">
              <w:rPr>
                <w:b/>
                <w:bCs/>
                <w:i/>
              </w:rPr>
              <w:t>9-</w:t>
            </w:r>
            <w:r w:rsidRPr="005C4337">
              <w:rPr>
                <w:b/>
                <w:i/>
              </w:rPr>
              <w:t>5 Analyze the disposal of long-lived tangible assets.</w:t>
            </w:r>
          </w:p>
        </w:tc>
      </w:tr>
      <w:tr w:rsidR="004D5488" w14:paraId="657F3C7A" w14:textId="77777777" w:rsidTr="00CC5EC6">
        <w:tc>
          <w:tcPr>
            <w:tcW w:w="6498" w:type="dxa"/>
            <w:tcBorders>
              <w:right w:val="single" w:sz="4" w:space="0" w:color="auto"/>
            </w:tcBorders>
          </w:tcPr>
          <w:p w14:paraId="5AA446C3" w14:textId="77777777" w:rsidR="004D5488" w:rsidRPr="00533480" w:rsidRDefault="00CC5EC6" w:rsidP="00CC5EC6">
            <w:pPr>
              <w:autoSpaceDE w:val="0"/>
              <w:autoSpaceDN w:val="0"/>
              <w:adjustRightInd w:val="0"/>
              <w:ind w:left="576"/>
              <w:rPr>
                <w:iCs/>
              </w:rPr>
            </w:pPr>
            <w:r>
              <w:rPr>
                <w:iCs/>
              </w:rPr>
              <w:t>D</w:t>
            </w:r>
            <w:r w:rsidR="00C60A4F" w:rsidRPr="00C60A4F">
              <w:rPr>
                <w:iCs/>
              </w:rPr>
              <w:t>.</w:t>
            </w:r>
            <w:r w:rsidR="00533480">
              <w:rPr>
                <w:iCs/>
              </w:rPr>
              <w:tab/>
            </w:r>
            <w:r w:rsidR="00533480" w:rsidRPr="00533480">
              <w:rPr>
                <w:iCs/>
              </w:rPr>
              <w:t>Disposal of Tangible Assets</w:t>
            </w:r>
          </w:p>
        </w:tc>
        <w:tc>
          <w:tcPr>
            <w:tcW w:w="2862" w:type="dxa"/>
            <w:tcBorders>
              <w:left w:val="single" w:sz="4" w:space="0" w:color="auto"/>
            </w:tcBorders>
          </w:tcPr>
          <w:p w14:paraId="6B3B858C" w14:textId="77777777" w:rsidR="004D5488" w:rsidRDefault="004D5488" w:rsidP="00122122">
            <w:pPr>
              <w:pStyle w:val="TableBody"/>
            </w:pPr>
          </w:p>
        </w:tc>
      </w:tr>
      <w:tr w:rsidR="005320A5" w14:paraId="768B77A0" w14:textId="77777777" w:rsidTr="00CC5EC6">
        <w:tc>
          <w:tcPr>
            <w:tcW w:w="6498" w:type="dxa"/>
            <w:tcBorders>
              <w:right w:val="single" w:sz="4" w:space="0" w:color="auto"/>
            </w:tcBorders>
          </w:tcPr>
          <w:p w14:paraId="5D3FEE75" w14:textId="77777777" w:rsidR="005320A5" w:rsidRPr="00533480" w:rsidRDefault="00533480" w:rsidP="00533480">
            <w:pPr>
              <w:pStyle w:val="TableBody"/>
              <w:ind w:left="1152" w:hanging="288"/>
              <w:rPr>
                <w:szCs w:val="22"/>
              </w:rPr>
            </w:pPr>
            <w:r>
              <w:rPr>
                <w:szCs w:val="22"/>
              </w:rPr>
              <w:t>1.</w:t>
            </w:r>
            <w:r>
              <w:rPr>
                <w:szCs w:val="22"/>
              </w:rPr>
              <w:tab/>
            </w:r>
            <w:r w:rsidRPr="00533480">
              <w:rPr>
                <w:szCs w:val="22"/>
              </w:rPr>
              <w:t>In some cases, a business may voluntarily decide not to hold a long-term asset for its entire life.</w:t>
            </w:r>
          </w:p>
        </w:tc>
        <w:tc>
          <w:tcPr>
            <w:tcW w:w="2862" w:type="dxa"/>
            <w:tcBorders>
              <w:left w:val="single" w:sz="4" w:space="0" w:color="auto"/>
            </w:tcBorders>
          </w:tcPr>
          <w:p w14:paraId="78ABEC0C" w14:textId="77777777" w:rsidR="005320A5" w:rsidRDefault="005320A5" w:rsidP="00122122">
            <w:pPr>
              <w:pStyle w:val="TableBody"/>
            </w:pPr>
          </w:p>
        </w:tc>
      </w:tr>
      <w:tr w:rsidR="00533480" w14:paraId="7D31E258" w14:textId="77777777">
        <w:tc>
          <w:tcPr>
            <w:tcW w:w="6498" w:type="dxa"/>
            <w:tcBorders>
              <w:right w:val="single" w:sz="4" w:space="0" w:color="auto"/>
            </w:tcBorders>
          </w:tcPr>
          <w:p w14:paraId="5F792B49" w14:textId="77777777" w:rsidR="00533480" w:rsidRDefault="00533480" w:rsidP="00533480">
            <w:pPr>
              <w:pStyle w:val="TableBody"/>
              <w:ind w:left="1152" w:hanging="288"/>
              <w:rPr>
                <w:szCs w:val="22"/>
              </w:rPr>
            </w:pPr>
            <w:r>
              <w:rPr>
                <w:szCs w:val="22"/>
              </w:rPr>
              <w:t>2.</w:t>
            </w:r>
            <w:r>
              <w:rPr>
                <w:szCs w:val="22"/>
              </w:rPr>
              <w:tab/>
            </w:r>
            <w:r w:rsidRPr="00533480">
              <w:rPr>
                <w:szCs w:val="22"/>
              </w:rPr>
              <w:t>The disposal of a depreciable asset usually requires two accounting adjustments</w:t>
            </w:r>
            <w:r>
              <w:rPr>
                <w:szCs w:val="22"/>
              </w:rPr>
              <w:t>:</w:t>
            </w:r>
          </w:p>
        </w:tc>
        <w:tc>
          <w:tcPr>
            <w:tcW w:w="2862" w:type="dxa"/>
            <w:tcBorders>
              <w:left w:val="single" w:sz="4" w:space="0" w:color="auto"/>
            </w:tcBorders>
          </w:tcPr>
          <w:p w14:paraId="467E7A98" w14:textId="77777777" w:rsidR="00533480" w:rsidRDefault="00533480" w:rsidP="00122122">
            <w:pPr>
              <w:pStyle w:val="TableBody"/>
            </w:pPr>
          </w:p>
        </w:tc>
      </w:tr>
      <w:tr w:rsidR="00533480" w14:paraId="77F0B59E" w14:textId="77777777">
        <w:tc>
          <w:tcPr>
            <w:tcW w:w="6498" w:type="dxa"/>
            <w:tcBorders>
              <w:right w:val="single" w:sz="4" w:space="0" w:color="auto"/>
            </w:tcBorders>
          </w:tcPr>
          <w:p w14:paraId="7DC554F5" w14:textId="77777777" w:rsidR="00533480" w:rsidRPr="00533480" w:rsidRDefault="00533480" w:rsidP="001E7984">
            <w:pPr>
              <w:pStyle w:val="TableBody"/>
              <w:ind w:left="1440" w:hanging="288"/>
              <w:rPr>
                <w:szCs w:val="22"/>
              </w:rPr>
            </w:pPr>
            <w:r>
              <w:rPr>
                <w:szCs w:val="22"/>
              </w:rPr>
              <w:t>a</w:t>
            </w:r>
            <w:r w:rsidR="00CC5EC6">
              <w:rPr>
                <w:szCs w:val="22"/>
              </w:rPr>
              <w:t>.</w:t>
            </w:r>
            <w:r w:rsidR="00CC5EC6">
              <w:rPr>
                <w:szCs w:val="22"/>
              </w:rPr>
              <w:tab/>
            </w:r>
            <w:r w:rsidRPr="00533480">
              <w:rPr>
                <w:szCs w:val="22"/>
              </w:rPr>
              <w:t xml:space="preserve">Update the </w:t>
            </w:r>
            <w:r w:rsidR="009D0D1A">
              <w:rPr>
                <w:szCs w:val="22"/>
              </w:rPr>
              <w:t>D</w:t>
            </w:r>
            <w:r w:rsidRPr="00533480">
              <w:rPr>
                <w:szCs w:val="22"/>
              </w:rPr>
              <w:t xml:space="preserve">epreciation </w:t>
            </w:r>
            <w:r w:rsidR="009D0D1A">
              <w:rPr>
                <w:szCs w:val="22"/>
              </w:rPr>
              <w:t>E</w:t>
            </w:r>
            <w:r w:rsidRPr="00533480">
              <w:rPr>
                <w:szCs w:val="22"/>
              </w:rPr>
              <w:t xml:space="preserve">xpense and </w:t>
            </w:r>
            <w:r w:rsidR="009D0D1A">
              <w:rPr>
                <w:szCs w:val="22"/>
              </w:rPr>
              <w:t>A</w:t>
            </w:r>
            <w:r w:rsidRPr="00533480">
              <w:rPr>
                <w:szCs w:val="22"/>
              </w:rPr>
              <w:t xml:space="preserve">ccumulated </w:t>
            </w:r>
            <w:r w:rsidR="009D0D1A">
              <w:rPr>
                <w:szCs w:val="22"/>
              </w:rPr>
              <w:t>D</w:t>
            </w:r>
            <w:r w:rsidRPr="00533480">
              <w:rPr>
                <w:szCs w:val="22"/>
              </w:rPr>
              <w:t>epreciation accounts</w:t>
            </w:r>
            <w:r w:rsidR="00CC5EC6">
              <w:rPr>
                <w:szCs w:val="22"/>
              </w:rPr>
              <w:t xml:space="preserve">; if </w:t>
            </w:r>
            <w:r w:rsidRPr="00533480">
              <w:rPr>
                <w:szCs w:val="22"/>
              </w:rPr>
              <w:t xml:space="preserve">asset is disposed of </w:t>
            </w:r>
            <w:r w:rsidR="001E7984">
              <w:rPr>
                <w:szCs w:val="22"/>
              </w:rPr>
              <w:t xml:space="preserve">during </w:t>
            </w:r>
            <w:r w:rsidRPr="00533480">
              <w:rPr>
                <w:szCs w:val="22"/>
              </w:rPr>
              <w:t xml:space="preserve">the year, </w:t>
            </w:r>
            <w:r w:rsidR="001E7984">
              <w:rPr>
                <w:szCs w:val="22"/>
              </w:rPr>
              <w:t xml:space="preserve">must first </w:t>
            </w:r>
            <w:r w:rsidRPr="00533480">
              <w:rPr>
                <w:szCs w:val="22"/>
              </w:rPr>
              <w:t>record depreciation</w:t>
            </w:r>
            <w:r w:rsidR="001E7984">
              <w:rPr>
                <w:szCs w:val="22"/>
              </w:rPr>
              <w:t xml:space="preserve"> through the date of disposal</w:t>
            </w:r>
            <w:r w:rsidRPr="00533480">
              <w:rPr>
                <w:szCs w:val="22"/>
              </w:rPr>
              <w:t>.</w:t>
            </w:r>
          </w:p>
        </w:tc>
        <w:tc>
          <w:tcPr>
            <w:tcW w:w="2862" w:type="dxa"/>
            <w:tcBorders>
              <w:left w:val="single" w:sz="4" w:space="0" w:color="auto"/>
            </w:tcBorders>
          </w:tcPr>
          <w:p w14:paraId="1659391C" w14:textId="77777777" w:rsidR="00533480" w:rsidRDefault="00533480" w:rsidP="00122122">
            <w:pPr>
              <w:pStyle w:val="TableBody"/>
            </w:pPr>
          </w:p>
        </w:tc>
      </w:tr>
      <w:tr w:rsidR="00533480" w14:paraId="08DA7995" w14:textId="77777777">
        <w:tc>
          <w:tcPr>
            <w:tcW w:w="6498" w:type="dxa"/>
            <w:tcBorders>
              <w:right w:val="single" w:sz="4" w:space="0" w:color="auto"/>
            </w:tcBorders>
          </w:tcPr>
          <w:p w14:paraId="6874756B" w14:textId="77777777" w:rsidR="00533480" w:rsidRDefault="00CC5EC6" w:rsidP="001E7984">
            <w:pPr>
              <w:pStyle w:val="TableBody"/>
              <w:ind w:left="1440" w:hanging="288"/>
              <w:rPr>
                <w:szCs w:val="22"/>
              </w:rPr>
            </w:pPr>
            <w:r>
              <w:rPr>
                <w:szCs w:val="22"/>
              </w:rPr>
              <w:t>b.</w:t>
            </w:r>
            <w:r>
              <w:rPr>
                <w:szCs w:val="22"/>
              </w:rPr>
              <w:tab/>
            </w:r>
            <w:r w:rsidR="00533480">
              <w:rPr>
                <w:szCs w:val="22"/>
              </w:rPr>
              <w:t>Record the disposal</w:t>
            </w:r>
            <w:r w:rsidR="00533480" w:rsidRPr="00533480">
              <w:rPr>
                <w:szCs w:val="22"/>
              </w:rPr>
              <w:t xml:space="preserve">. </w:t>
            </w:r>
          </w:p>
        </w:tc>
        <w:tc>
          <w:tcPr>
            <w:tcW w:w="2862" w:type="dxa"/>
            <w:tcBorders>
              <w:left w:val="single" w:sz="4" w:space="0" w:color="auto"/>
            </w:tcBorders>
          </w:tcPr>
          <w:p w14:paraId="56C96FFF" w14:textId="77777777" w:rsidR="00533480" w:rsidRPr="00533480" w:rsidRDefault="00533480" w:rsidP="00122122">
            <w:pPr>
              <w:pStyle w:val="TableBody"/>
              <w:rPr>
                <w:szCs w:val="22"/>
              </w:rPr>
            </w:pPr>
          </w:p>
        </w:tc>
      </w:tr>
      <w:tr w:rsidR="00CC5EC6" w14:paraId="22A6E8CD" w14:textId="77777777">
        <w:tc>
          <w:tcPr>
            <w:tcW w:w="6498" w:type="dxa"/>
            <w:tcBorders>
              <w:right w:val="single" w:sz="4" w:space="0" w:color="auto"/>
            </w:tcBorders>
          </w:tcPr>
          <w:p w14:paraId="40770AD7" w14:textId="77777777" w:rsidR="00CC5EC6" w:rsidRDefault="00F645CC" w:rsidP="002B6F4D">
            <w:pPr>
              <w:pStyle w:val="TableBody"/>
              <w:ind w:left="1728" w:hanging="288"/>
              <w:rPr>
                <w:szCs w:val="22"/>
              </w:rPr>
            </w:pPr>
            <w:r w:rsidRPr="00F645CC">
              <w:rPr>
                <w:szCs w:val="22"/>
              </w:rPr>
              <w:t>i.</w:t>
            </w:r>
            <w:r w:rsidRPr="00F645CC">
              <w:rPr>
                <w:szCs w:val="22"/>
              </w:rPr>
              <w:tab/>
              <w:t>All disposals of long-lived assets require account</w:t>
            </w:r>
            <w:r w:rsidR="002B6F4D">
              <w:rPr>
                <w:szCs w:val="22"/>
              </w:rPr>
              <w:t>ing</w:t>
            </w:r>
            <w:r w:rsidRPr="00F645CC">
              <w:rPr>
                <w:szCs w:val="22"/>
              </w:rPr>
              <w:t xml:space="preserve"> for (1) the book value of the items given up, (2) the value of the items received, and (3) any difference between the two amounts, which reflects a gain or loss on the disposal.</w:t>
            </w:r>
          </w:p>
        </w:tc>
        <w:tc>
          <w:tcPr>
            <w:tcW w:w="2862" w:type="dxa"/>
            <w:tcBorders>
              <w:left w:val="single" w:sz="4" w:space="0" w:color="auto"/>
            </w:tcBorders>
          </w:tcPr>
          <w:p w14:paraId="31E7BF69" w14:textId="77777777" w:rsidR="00CC5EC6" w:rsidRPr="00CC5EC6" w:rsidRDefault="00CC5EC6" w:rsidP="00FF58FB">
            <w:pPr>
              <w:pStyle w:val="TableBody"/>
              <w:rPr>
                <w:i/>
                <w:szCs w:val="22"/>
              </w:rPr>
            </w:pPr>
          </w:p>
        </w:tc>
      </w:tr>
      <w:tr w:rsidR="00CC5EC6" w14:paraId="35454CCD" w14:textId="77777777">
        <w:tc>
          <w:tcPr>
            <w:tcW w:w="6498" w:type="dxa"/>
            <w:tcBorders>
              <w:right w:val="single" w:sz="4" w:space="0" w:color="auto"/>
            </w:tcBorders>
          </w:tcPr>
          <w:p w14:paraId="783DC926" w14:textId="77777777" w:rsidR="00CC5EC6" w:rsidRDefault="00F645CC" w:rsidP="00F645CC">
            <w:pPr>
              <w:pStyle w:val="TableBody"/>
              <w:ind w:left="1728" w:hanging="288"/>
              <w:rPr>
                <w:szCs w:val="22"/>
              </w:rPr>
            </w:pPr>
            <w:r>
              <w:rPr>
                <w:szCs w:val="22"/>
              </w:rPr>
              <w:t>ii.</w:t>
            </w:r>
            <w:r>
              <w:rPr>
                <w:szCs w:val="22"/>
              </w:rPr>
              <w:tab/>
            </w:r>
            <w:r w:rsidRPr="00F645CC">
              <w:rPr>
                <w:szCs w:val="22"/>
              </w:rPr>
              <w:t>Any gain or loss on disposal is included on the income statement when calculating Income from Operations.</w:t>
            </w:r>
          </w:p>
        </w:tc>
        <w:tc>
          <w:tcPr>
            <w:tcW w:w="2862" w:type="dxa"/>
            <w:tcBorders>
              <w:left w:val="single" w:sz="4" w:space="0" w:color="auto"/>
            </w:tcBorders>
          </w:tcPr>
          <w:p w14:paraId="755ABE59" w14:textId="77777777" w:rsidR="00CC5EC6" w:rsidRPr="00CC5EC6" w:rsidRDefault="00CC5EC6" w:rsidP="00FF58FB">
            <w:pPr>
              <w:pStyle w:val="TableBody"/>
              <w:rPr>
                <w:i/>
                <w:szCs w:val="22"/>
              </w:rPr>
            </w:pPr>
          </w:p>
        </w:tc>
      </w:tr>
      <w:tr w:rsidR="00F645CC" w14:paraId="7B6AB195" w14:textId="77777777">
        <w:tc>
          <w:tcPr>
            <w:tcW w:w="6498" w:type="dxa"/>
            <w:tcBorders>
              <w:right w:val="single" w:sz="4" w:space="0" w:color="auto"/>
            </w:tcBorders>
          </w:tcPr>
          <w:p w14:paraId="3EA020AD" w14:textId="77777777" w:rsidR="00F645CC" w:rsidRPr="00F645CC" w:rsidRDefault="00F645CC" w:rsidP="00243402">
            <w:pPr>
              <w:pStyle w:val="TableBody"/>
              <w:ind w:left="1152" w:hanging="288"/>
              <w:rPr>
                <w:szCs w:val="22"/>
              </w:rPr>
            </w:pPr>
            <w:r w:rsidRPr="00F645CC">
              <w:rPr>
                <w:szCs w:val="22"/>
              </w:rPr>
              <w:t>3.</w:t>
            </w:r>
            <w:r w:rsidRPr="00F645CC">
              <w:rPr>
                <w:szCs w:val="22"/>
              </w:rPr>
              <w:tab/>
            </w:r>
            <w:r>
              <w:rPr>
                <w:szCs w:val="22"/>
              </w:rPr>
              <w:t>A</w:t>
            </w:r>
            <w:r w:rsidRPr="00F645CC">
              <w:rPr>
                <w:szCs w:val="22"/>
              </w:rPr>
              <w:t xml:space="preserve">t the end of </w:t>
            </w:r>
            <w:r w:rsidR="001E7984">
              <w:rPr>
                <w:szCs w:val="22"/>
              </w:rPr>
              <w:t>the year</w:t>
            </w:r>
            <w:r w:rsidRPr="00F645CC">
              <w:rPr>
                <w:szCs w:val="22"/>
              </w:rPr>
              <w:t xml:space="preserve">, </w:t>
            </w:r>
            <w:r w:rsidR="001E7984">
              <w:rPr>
                <w:szCs w:val="22"/>
              </w:rPr>
              <w:t>t</w:t>
            </w:r>
            <w:r w:rsidR="00F343B1">
              <w:rPr>
                <w:szCs w:val="22"/>
              </w:rPr>
              <w:t>he company</w:t>
            </w:r>
            <w:r w:rsidR="00AE50D3">
              <w:rPr>
                <w:szCs w:val="22"/>
              </w:rPr>
              <w:t xml:space="preserve"> sold equipment for $50,000</w:t>
            </w:r>
            <w:r>
              <w:rPr>
                <w:szCs w:val="22"/>
              </w:rPr>
              <w:t xml:space="preserve"> cash. The </w:t>
            </w:r>
            <w:r w:rsidRPr="00F645CC">
              <w:rPr>
                <w:szCs w:val="22"/>
              </w:rPr>
              <w:t xml:space="preserve">original </w:t>
            </w:r>
            <w:r>
              <w:rPr>
                <w:szCs w:val="22"/>
              </w:rPr>
              <w:t xml:space="preserve">cost was </w:t>
            </w:r>
            <w:r w:rsidRPr="00F645CC">
              <w:rPr>
                <w:szCs w:val="22"/>
              </w:rPr>
              <w:t>$</w:t>
            </w:r>
            <w:r w:rsidR="00AE50D3">
              <w:rPr>
                <w:szCs w:val="22"/>
              </w:rPr>
              <w:t xml:space="preserve">100,000 </w:t>
            </w:r>
            <w:r>
              <w:rPr>
                <w:szCs w:val="22"/>
              </w:rPr>
              <w:t xml:space="preserve">and </w:t>
            </w:r>
            <w:r w:rsidR="00243402">
              <w:rPr>
                <w:szCs w:val="22"/>
              </w:rPr>
              <w:t>the</w:t>
            </w:r>
            <w:r>
              <w:rPr>
                <w:szCs w:val="22"/>
              </w:rPr>
              <w:t xml:space="preserve"> </w:t>
            </w:r>
            <w:r w:rsidR="00243402">
              <w:rPr>
                <w:szCs w:val="22"/>
              </w:rPr>
              <w:t xml:space="preserve">related </w:t>
            </w:r>
            <w:r>
              <w:rPr>
                <w:szCs w:val="22"/>
              </w:rPr>
              <w:t>accumulated depreciation is $</w:t>
            </w:r>
            <w:r w:rsidR="00AE50D3">
              <w:rPr>
                <w:szCs w:val="22"/>
              </w:rPr>
              <w:t>60,000</w:t>
            </w:r>
            <w:r w:rsidR="00243402">
              <w:rPr>
                <w:szCs w:val="22"/>
              </w:rPr>
              <w:t>.</w:t>
            </w:r>
          </w:p>
        </w:tc>
        <w:tc>
          <w:tcPr>
            <w:tcW w:w="2862" w:type="dxa"/>
            <w:tcBorders>
              <w:left w:val="single" w:sz="4" w:space="0" w:color="auto"/>
            </w:tcBorders>
          </w:tcPr>
          <w:p w14:paraId="20125C46" w14:textId="77777777" w:rsidR="00F645CC" w:rsidRPr="00CC5EC6" w:rsidRDefault="00F645CC" w:rsidP="00FF58FB">
            <w:pPr>
              <w:pStyle w:val="TableBody"/>
              <w:rPr>
                <w:i/>
                <w:szCs w:val="22"/>
              </w:rPr>
            </w:pPr>
          </w:p>
        </w:tc>
      </w:tr>
      <w:tr w:rsidR="0013655F" w14:paraId="4B5BC3D6" w14:textId="77777777" w:rsidTr="001822E4">
        <w:tc>
          <w:tcPr>
            <w:tcW w:w="6498" w:type="dxa"/>
            <w:tcBorders>
              <w:right w:val="single" w:sz="4" w:space="0" w:color="auto"/>
            </w:tcBorders>
            <w:vAlign w:val="center"/>
          </w:tcPr>
          <w:p w14:paraId="472B9E42" w14:textId="77777777" w:rsidR="0013655F" w:rsidRPr="003656D8" w:rsidRDefault="0013655F" w:rsidP="00AE50D3">
            <w:pPr>
              <w:pStyle w:val="TableBody"/>
              <w:ind w:left="1440" w:hanging="288"/>
            </w:pPr>
            <w:r>
              <w:t>a.</w:t>
            </w:r>
            <w:r>
              <w:tab/>
              <w:t xml:space="preserve">Analyze </w:t>
            </w:r>
            <w:r w:rsidRPr="00F645CC">
              <w:rPr>
                <w:i/>
              </w:rPr>
              <w:t xml:space="preserve">(rounded to nearest </w:t>
            </w:r>
            <w:r w:rsidR="00AE50D3">
              <w:rPr>
                <w:i/>
              </w:rPr>
              <w:t>thousand</w:t>
            </w:r>
            <w:r w:rsidRPr="00F645CC">
              <w:rPr>
                <w:i/>
              </w:rPr>
              <w:t>):</w:t>
            </w:r>
            <w:r>
              <w:t xml:space="preserve"> </w:t>
            </w:r>
            <w:r>
              <w:tab/>
            </w:r>
            <w:r>
              <w:br/>
              <w:t>Assets = Liabilities + Stock</w:t>
            </w:r>
            <w:r w:rsidR="00AE50D3">
              <w:t>holders’ Equity</w:t>
            </w:r>
            <w:r w:rsidR="00AE50D3">
              <w:br/>
              <w:t>Equipment (</w:t>
            </w:r>
            <w:r w:rsidR="00243402">
              <w:t>–</w:t>
            </w:r>
            <w:r w:rsidR="00AE50D3">
              <w:t>A) –10</w:t>
            </w:r>
            <w:r>
              <w:t xml:space="preserve">0; Accumulated Depreciation </w:t>
            </w:r>
            <w:r w:rsidR="00243402">
              <w:br/>
            </w:r>
            <w:r>
              <w:t>(–xA) +</w:t>
            </w:r>
            <w:r w:rsidR="00AE50D3">
              <w:t>60</w:t>
            </w:r>
            <w:r>
              <w:t>; Cash (A) +</w:t>
            </w:r>
            <w:r w:rsidR="00AE50D3">
              <w:t>50</w:t>
            </w:r>
            <w:r>
              <w:t xml:space="preserve">; </w:t>
            </w:r>
            <w:r w:rsidR="00AE50D3">
              <w:t xml:space="preserve">Gain </w:t>
            </w:r>
            <w:r>
              <w:t>on Disposal (+</w:t>
            </w:r>
            <w:r w:rsidR="00AE50D3">
              <w:t>R</w:t>
            </w:r>
            <w:r>
              <w:t xml:space="preserve">) </w:t>
            </w:r>
            <w:r w:rsidR="00AE50D3">
              <w:t>+</w:t>
            </w:r>
            <w:r>
              <w:t>1</w:t>
            </w:r>
            <w:r w:rsidR="00AE50D3">
              <w:t>0</w:t>
            </w:r>
          </w:p>
        </w:tc>
        <w:tc>
          <w:tcPr>
            <w:tcW w:w="2862" w:type="dxa"/>
            <w:tcBorders>
              <w:left w:val="single" w:sz="4" w:space="0" w:color="auto"/>
            </w:tcBorders>
          </w:tcPr>
          <w:p w14:paraId="6F633100" w14:textId="77777777" w:rsidR="0013655F" w:rsidRPr="00CC5EC6" w:rsidRDefault="0013655F" w:rsidP="00FF58FB">
            <w:pPr>
              <w:pStyle w:val="TableBody"/>
              <w:rPr>
                <w:i/>
                <w:szCs w:val="22"/>
              </w:rPr>
            </w:pPr>
          </w:p>
        </w:tc>
      </w:tr>
      <w:tr w:rsidR="00F645CC" w14:paraId="596E880D" w14:textId="77777777">
        <w:tc>
          <w:tcPr>
            <w:tcW w:w="6498" w:type="dxa"/>
            <w:tcBorders>
              <w:right w:val="single" w:sz="4" w:space="0" w:color="auto"/>
            </w:tcBorders>
          </w:tcPr>
          <w:p w14:paraId="1A74C5E1" w14:textId="77777777" w:rsidR="00F645CC" w:rsidRDefault="00F645CC" w:rsidP="00F645CC">
            <w:pPr>
              <w:pStyle w:val="TableBody"/>
              <w:ind w:left="1440" w:hanging="288"/>
            </w:pPr>
            <w:r>
              <w:t>b.</w:t>
            </w:r>
            <w:r>
              <w:tab/>
              <w:t>Record:</w:t>
            </w:r>
          </w:p>
        </w:tc>
        <w:tc>
          <w:tcPr>
            <w:tcW w:w="2862" w:type="dxa"/>
            <w:tcBorders>
              <w:left w:val="single" w:sz="4" w:space="0" w:color="auto"/>
            </w:tcBorders>
          </w:tcPr>
          <w:p w14:paraId="0CD81A1D" w14:textId="77777777" w:rsidR="00F645CC" w:rsidRPr="00CC5EC6" w:rsidRDefault="00F645CC" w:rsidP="00FF58FB">
            <w:pPr>
              <w:pStyle w:val="TableBody"/>
              <w:rPr>
                <w:i/>
                <w:szCs w:val="22"/>
              </w:rPr>
            </w:pPr>
          </w:p>
        </w:tc>
      </w:tr>
      <w:tr w:rsidR="00F645CC" w14:paraId="045ECC8F" w14:textId="77777777">
        <w:tc>
          <w:tcPr>
            <w:tcW w:w="6498" w:type="dxa"/>
            <w:tcBorders>
              <w:right w:val="single" w:sz="4" w:space="0" w:color="auto"/>
            </w:tcBorders>
          </w:tcPr>
          <w:tbl>
            <w:tblPr>
              <w:tblW w:w="5040" w:type="dxa"/>
              <w:tblInd w:w="1440" w:type="dxa"/>
              <w:tblLayout w:type="fixed"/>
              <w:tblLook w:val="04A0" w:firstRow="1" w:lastRow="0" w:firstColumn="1" w:lastColumn="0" w:noHBand="0" w:noVBand="1"/>
            </w:tblPr>
            <w:tblGrid>
              <w:gridCol w:w="3888"/>
              <w:gridCol w:w="576"/>
              <w:gridCol w:w="576"/>
            </w:tblGrid>
            <w:tr w:rsidR="00F645CC" w14:paraId="1A4D2DFB" w14:textId="77777777" w:rsidTr="00F645CC">
              <w:tc>
                <w:tcPr>
                  <w:tcW w:w="3888" w:type="dxa"/>
                </w:tcPr>
                <w:p w14:paraId="00663970" w14:textId="77777777" w:rsidR="00F645CC" w:rsidRDefault="00F645CC" w:rsidP="00AE50D3">
                  <w:pPr>
                    <w:pStyle w:val="TableBody"/>
                  </w:pPr>
                  <w:r>
                    <w:t xml:space="preserve">Cash </w:t>
                  </w:r>
                </w:p>
              </w:tc>
              <w:tc>
                <w:tcPr>
                  <w:tcW w:w="576" w:type="dxa"/>
                </w:tcPr>
                <w:p w14:paraId="6CB62193" w14:textId="77777777" w:rsidR="00F645CC" w:rsidRDefault="00AE50D3" w:rsidP="00F645CC">
                  <w:pPr>
                    <w:pStyle w:val="TableBody"/>
                    <w:jc w:val="right"/>
                  </w:pPr>
                  <w:r>
                    <w:t>50</w:t>
                  </w:r>
                </w:p>
              </w:tc>
              <w:tc>
                <w:tcPr>
                  <w:tcW w:w="576" w:type="dxa"/>
                </w:tcPr>
                <w:p w14:paraId="223304D5" w14:textId="77777777" w:rsidR="00F645CC" w:rsidRDefault="00F645CC" w:rsidP="001822E4">
                  <w:pPr>
                    <w:pStyle w:val="TableBody"/>
                    <w:jc w:val="right"/>
                  </w:pPr>
                </w:p>
              </w:tc>
            </w:tr>
            <w:tr w:rsidR="00F645CC" w14:paraId="4C275C11" w14:textId="77777777" w:rsidTr="00F645CC">
              <w:tc>
                <w:tcPr>
                  <w:tcW w:w="3888" w:type="dxa"/>
                </w:tcPr>
                <w:p w14:paraId="1DE9BE6B" w14:textId="77777777" w:rsidR="00F645CC" w:rsidRDefault="00F645CC" w:rsidP="00AE50D3">
                  <w:pPr>
                    <w:pStyle w:val="TableBody"/>
                  </w:pPr>
                  <w:r>
                    <w:t xml:space="preserve">Accumulated Depreciation </w:t>
                  </w:r>
                </w:p>
              </w:tc>
              <w:tc>
                <w:tcPr>
                  <w:tcW w:w="576" w:type="dxa"/>
                </w:tcPr>
                <w:p w14:paraId="2B3AC63F" w14:textId="77777777" w:rsidR="00F645CC" w:rsidRDefault="00AE50D3" w:rsidP="001822E4">
                  <w:pPr>
                    <w:pStyle w:val="TableBody"/>
                    <w:jc w:val="right"/>
                  </w:pPr>
                  <w:r>
                    <w:t>60</w:t>
                  </w:r>
                </w:p>
              </w:tc>
              <w:tc>
                <w:tcPr>
                  <w:tcW w:w="576" w:type="dxa"/>
                </w:tcPr>
                <w:p w14:paraId="08D41B48" w14:textId="77777777" w:rsidR="00F645CC" w:rsidRDefault="00F645CC" w:rsidP="001822E4">
                  <w:pPr>
                    <w:pStyle w:val="TableBody"/>
                    <w:jc w:val="right"/>
                  </w:pPr>
                </w:p>
              </w:tc>
            </w:tr>
            <w:tr w:rsidR="00AE50D3" w14:paraId="06EC5AF9" w14:textId="77777777" w:rsidTr="00F645CC">
              <w:tc>
                <w:tcPr>
                  <w:tcW w:w="3888" w:type="dxa"/>
                </w:tcPr>
                <w:p w14:paraId="1D03D9E2" w14:textId="77777777" w:rsidR="00AE50D3" w:rsidRDefault="002B6F4D" w:rsidP="00CD2C4D">
                  <w:pPr>
                    <w:pStyle w:val="TableBody"/>
                  </w:pPr>
                  <w:r>
                    <w:t xml:space="preserve"> </w:t>
                  </w:r>
                  <w:r w:rsidR="00AE50D3">
                    <w:t xml:space="preserve">  Equipment</w:t>
                  </w:r>
                </w:p>
              </w:tc>
              <w:tc>
                <w:tcPr>
                  <w:tcW w:w="576" w:type="dxa"/>
                </w:tcPr>
                <w:p w14:paraId="37CA878C" w14:textId="77777777" w:rsidR="00AE50D3" w:rsidRDefault="00AE50D3" w:rsidP="00CD2C4D">
                  <w:pPr>
                    <w:pStyle w:val="TableBody"/>
                    <w:jc w:val="right"/>
                  </w:pPr>
                </w:p>
              </w:tc>
              <w:tc>
                <w:tcPr>
                  <w:tcW w:w="576" w:type="dxa"/>
                </w:tcPr>
                <w:p w14:paraId="6FBED488" w14:textId="77777777" w:rsidR="00AE50D3" w:rsidRDefault="00AE50D3" w:rsidP="00CD2C4D">
                  <w:pPr>
                    <w:pStyle w:val="TableBody"/>
                    <w:jc w:val="right"/>
                  </w:pPr>
                  <w:r>
                    <w:t>100</w:t>
                  </w:r>
                </w:p>
              </w:tc>
            </w:tr>
            <w:tr w:rsidR="00AE50D3" w14:paraId="5BC9E0F0" w14:textId="77777777" w:rsidTr="00F645CC">
              <w:tc>
                <w:tcPr>
                  <w:tcW w:w="3888" w:type="dxa"/>
                </w:tcPr>
                <w:p w14:paraId="346AB5C9" w14:textId="77777777" w:rsidR="00AE50D3" w:rsidRDefault="00AE50D3" w:rsidP="00AE50D3">
                  <w:pPr>
                    <w:pStyle w:val="TableBody"/>
                  </w:pPr>
                  <w:r>
                    <w:t xml:space="preserve"> </w:t>
                  </w:r>
                  <w:r w:rsidR="002B6F4D">
                    <w:t xml:space="preserve"> </w:t>
                  </w:r>
                  <w:r>
                    <w:t xml:space="preserve"> Gain on Disposal </w:t>
                  </w:r>
                </w:p>
              </w:tc>
              <w:tc>
                <w:tcPr>
                  <w:tcW w:w="576" w:type="dxa"/>
                </w:tcPr>
                <w:p w14:paraId="7CCCA3C0" w14:textId="77777777" w:rsidR="00AE50D3" w:rsidRDefault="00AE50D3" w:rsidP="001822E4">
                  <w:pPr>
                    <w:pStyle w:val="TableBody"/>
                    <w:jc w:val="right"/>
                  </w:pPr>
                </w:p>
              </w:tc>
              <w:tc>
                <w:tcPr>
                  <w:tcW w:w="576" w:type="dxa"/>
                </w:tcPr>
                <w:p w14:paraId="51B304BE" w14:textId="77777777" w:rsidR="00AE50D3" w:rsidRDefault="00AE50D3" w:rsidP="001822E4">
                  <w:pPr>
                    <w:pStyle w:val="TableBody"/>
                    <w:jc w:val="right"/>
                  </w:pPr>
                  <w:r>
                    <w:t>10</w:t>
                  </w:r>
                </w:p>
              </w:tc>
            </w:tr>
          </w:tbl>
          <w:p w14:paraId="6AC730F3" w14:textId="77777777" w:rsidR="00F645CC" w:rsidRDefault="00F645CC" w:rsidP="001822E4">
            <w:pPr>
              <w:pStyle w:val="TableBody"/>
              <w:ind w:left="1728" w:hanging="288"/>
            </w:pPr>
          </w:p>
        </w:tc>
        <w:tc>
          <w:tcPr>
            <w:tcW w:w="2862" w:type="dxa"/>
            <w:tcBorders>
              <w:left w:val="single" w:sz="4" w:space="0" w:color="auto"/>
            </w:tcBorders>
          </w:tcPr>
          <w:p w14:paraId="76ADCB57" w14:textId="77777777" w:rsidR="00F645CC" w:rsidRPr="00CC5EC6" w:rsidRDefault="00F645CC" w:rsidP="00FF58FB">
            <w:pPr>
              <w:pStyle w:val="TableBody"/>
              <w:rPr>
                <w:i/>
                <w:szCs w:val="22"/>
              </w:rPr>
            </w:pPr>
          </w:p>
        </w:tc>
      </w:tr>
      <w:tr w:rsidR="00F645CC" w:rsidRPr="005C4337" w14:paraId="25B598CF" w14:textId="77777777" w:rsidTr="001822E4">
        <w:tc>
          <w:tcPr>
            <w:tcW w:w="9360" w:type="dxa"/>
            <w:gridSpan w:val="2"/>
            <w:tcBorders>
              <w:top w:val="single" w:sz="4" w:space="0" w:color="auto"/>
              <w:left w:val="single" w:sz="4" w:space="0" w:color="auto"/>
              <w:bottom w:val="single" w:sz="4" w:space="0" w:color="auto"/>
              <w:right w:val="single" w:sz="4" w:space="0" w:color="auto"/>
            </w:tcBorders>
          </w:tcPr>
          <w:p w14:paraId="43DA387B" w14:textId="79E103B4" w:rsidR="00F645CC" w:rsidRPr="005C4337" w:rsidRDefault="00F645CC" w:rsidP="00400842">
            <w:pPr>
              <w:pStyle w:val="TableBody"/>
              <w:spacing w:before="60" w:after="60"/>
              <w:rPr>
                <w:b/>
                <w:i/>
              </w:rPr>
            </w:pPr>
            <w:r w:rsidRPr="005C4337">
              <w:rPr>
                <w:b/>
                <w:i/>
              </w:rPr>
              <w:t xml:space="preserve">LO </w:t>
            </w:r>
            <w:r w:rsidR="00C45729" w:rsidRPr="00C45729">
              <w:rPr>
                <w:b/>
                <w:bCs/>
                <w:i/>
              </w:rPr>
              <w:t>9-</w:t>
            </w:r>
            <w:r w:rsidRPr="005C4337">
              <w:rPr>
                <w:b/>
                <w:i/>
              </w:rPr>
              <w:t>6 Analyze the acquisition, use, and disposal of long-lived intangible assets.</w:t>
            </w:r>
          </w:p>
        </w:tc>
      </w:tr>
      <w:tr w:rsidR="00F645CC" w14:paraId="3ADFC955" w14:textId="77777777" w:rsidTr="00F645CC">
        <w:tc>
          <w:tcPr>
            <w:tcW w:w="6498" w:type="dxa"/>
            <w:tcBorders>
              <w:right w:val="single" w:sz="4" w:space="0" w:color="auto"/>
            </w:tcBorders>
          </w:tcPr>
          <w:p w14:paraId="42B3F3AC" w14:textId="48581696" w:rsidR="00F645CC" w:rsidRPr="009D3434" w:rsidRDefault="00AE06F1" w:rsidP="009D3434">
            <w:pPr>
              <w:pStyle w:val="TableBody"/>
              <w:ind w:left="576"/>
              <w:rPr>
                <w:iCs/>
              </w:rPr>
            </w:pPr>
            <w:r>
              <w:rPr>
                <w:iCs/>
              </w:rPr>
              <w:t>E</w:t>
            </w:r>
            <w:r w:rsidR="00F645CC" w:rsidRPr="009D3434">
              <w:rPr>
                <w:iCs/>
              </w:rPr>
              <w:t>.</w:t>
            </w:r>
            <w:r w:rsidR="00F645CC" w:rsidRPr="009D3434">
              <w:rPr>
                <w:iCs/>
              </w:rPr>
              <w:tab/>
            </w:r>
            <w:r w:rsidR="00F645CC">
              <w:rPr>
                <w:iCs/>
              </w:rPr>
              <w:t>Intan</w:t>
            </w:r>
            <w:r w:rsidR="00F645CC" w:rsidRPr="009D3434">
              <w:rPr>
                <w:iCs/>
              </w:rPr>
              <w:t>gible Assets</w:t>
            </w:r>
          </w:p>
        </w:tc>
        <w:tc>
          <w:tcPr>
            <w:tcW w:w="2862" w:type="dxa"/>
            <w:tcBorders>
              <w:left w:val="single" w:sz="4" w:space="0" w:color="auto"/>
            </w:tcBorders>
          </w:tcPr>
          <w:p w14:paraId="0C97E95A" w14:textId="77777777" w:rsidR="00F645CC" w:rsidRDefault="00F645CC" w:rsidP="00122122">
            <w:pPr>
              <w:pStyle w:val="TableBody"/>
            </w:pPr>
          </w:p>
        </w:tc>
      </w:tr>
      <w:tr w:rsidR="00F645CC" w14:paraId="1541456D" w14:textId="77777777" w:rsidTr="00F645CC">
        <w:tc>
          <w:tcPr>
            <w:tcW w:w="6498" w:type="dxa"/>
            <w:tcBorders>
              <w:right w:val="single" w:sz="4" w:space="0" w:color="auto"/>
            </w:tcBorders>
          </w:tcPr>
          <w:p w14:paraId="363B9F17" w14:textId="76A5C357" w:rsidR="00F645CC" w:rsidRPr="00795C67" w:rsidRDefault="00F645CC" w:rsidP="00D37559">
            <w:pPr>
              <w:pStyle w:val="TableBody"/>
              <w:ind w:left="1152" w:hanging="288"/>
              <w:rPr>
                <w:szCs w:val="22"/>
              </w:rPr>
            </w:pPr>
            <w:r w:rsidRPr="00795C67">
              <w:rPr>
                <w:szCs w:val="22"/>
              </w:rPr>
              <w:t>1.</w:t>
            </w:r>
            <w:r w:rsidRPr="00795C67">
              <w:rPr>
                <w:szCs w:val="22"/>
              </w:rPr>
              <w:tab/>
            </w:r>
            <w:r w:rsidRPr="00795C67">
              <w:rPr>
                <w:b/>
                <w:bCs/>
                <w:szCs w:val="22"/>
              </w:rPr>
              <w:t>Intangible assets</w:t>
            </w:r>
            <w:r w:rsidR="00EE029E">
              <w:t>–</w:t>
            </w:r>
            <w:r w:rsidR="00EE029E" w:rsidRPr="00FE2A3F">
              <w:t>–</w:t>
            </w:r>
            <w:r w:rsidR="00D37559">
              <w:rPr>
                <w:szCs w:val="22"/>
              </w:rPr>
              <w:t>L</w:t>
            </w:r>
            <w:r w:rsidRPr="00795C67">
              <w:rPr>
                <w:szCs w:val="22"/>
              </w:rPr>
              <w:t>ong-lived assets that lack physical substance. Examples:</w:t>
            </w:r>
          </w:p>
        </w:tc>
        <w:tc>
          <w:tcPr>
            <w:tcW w:w="2862" w:type="dxa"/>
            <w:tcBorders>
              <w:left w:val="single" w:sz="4" w:space="0" w:color="auto"/>
            </w:tcBorders>
          </w:tcPr>
          <w:p w14:paraId="28530DB3" w14:textId="77777777" w:rsidR="00F645CC" w:rsidRDefault="00F645CC" w:rsidP="00122122">
            <w:pPr>
              <w:pStyle w:val="TableBody"/>
            </w:pPr>
          </w:p>
        </w:tc>
      </w:tr>
      <w:tr w:rsidR="00F645CC" w14:paraId="21F00124" w14:textId="77777777">
        <w:tc>
          <w:tcPr>
            <w:tcW w:w="6498" w:type="dxa"/>
            <w:tcBorders>
              <w:right w:val="single" w:sz="4" w:space="0" w:color="auto"/>
            </w:tcBorders>
          </w:tcPr>
          <w:p w14:paraId="04111F53" w14:textId="77777777" w:rsidR="00F645CC" w:rsidRPr="00795C67" w:rsidRDefault="00F645CC" w:rsidP="00F645CC">
            <w:pPr>
              <w:pStyle w:val="TableBody"/>
              <w:ind w:left="1440" w:hanging="288"/>
              <w:rPr>
                <w:szCs w:val="22"/>
              </w:rPr>
            </w:pPr>
            <w:r>
              <w:rPr>
                <w:szCs w:val="22"/>
              </w:rPr>
              <w:t>a.</w:t>
            </w:r>
            <w:r>
              <w:rPr>
                <w:szCs w:val="22"/>
              </w:rPr>
              <w:tab/>
            </w:r>
            <w:r>
              <w:rPr>
                <w:b/>
                <w:bCs/>
                <w:szCs w:val="22"/>
              </w:rPr>
              <w:t>T</w:t>
            </w:r>
            <w:r w:rsidRPr="00795C67">
              <w:rPr>
                <w:b/>
                <w:bCs/>
                <w:szCs w:val="22"/>
              </w:rPr>
              <w:t>rademark</w:t>
            </w:r>
            <w:r w:rsidR="004B02B1">
              <w:rPr>
                <w:szCs w:val="22"/>
              </w:rPr>
              <w:t>––</w:t>
            </w:r>
            <w:r w:rsidR="00044975">
              <w:rPr>
                <w:szCs w:val="22"/>
              </w:rPr>
              <w:t>A s</w:t>
            </w:r>
            <w:r w:rsidRPr="00795C67">
              <w:rPr>
                <w:szCs w:val="22"/>
              </w:rPr>
              <w:t>pecial name, image, or slogan identified with a product or company.</w:t>
            </w:r>
          </w:p>
        </w:tc>
        <w:tc>
          <w:tcPr>
            <w:tcW w:w="2862" w:type="dxa"/>
            <w:tcBorders>
              <w:left w:val="single" w:sz="4" w:space="0" w:color="auto"/>
            </w:tcBorders>
          </w:tcPr>
          <w:p w14:paraId="1FEB5386" w14:textId="77777777" w:rsidR="00F645CC" w:rsidRDefault="00F645CC" w:rsidP="00122122">
            <w:pPr>
              <w:pStyle w:val="TableBody"/>
            </w:pPr>
          </w:p>
        </w:tc>
      </w:tr>
      <w:tr w:rsidR="00F645CC" w14:paraId="0837580D" w14:textId="77777777">
        <w:tc>
          <w:tcPr>
            <w:tcW w:w="6498" w:type="dxa"/>
            <w:tcBorders>
              <w:right w:val="single" w:sz="4" w:space="0" w:color="auto"/>
            </w:tcBorders>
          </w:tcPr>
          <w:p w14:paraId="0F68842B" w14:textId="77777777" w:rsidR="00F645CC" w:rsidRPr="00795C67" w:rsidRDefault="00F645CC" w:rsidP="00F645CC">
            <w:pPr>
              <w:pStyle w:val="TableBody"/>
              <w:ind w:left="1440" w:hanging="288"/>
              <w:rPr>
                <w:szCs w:val="22"/>
              </w:rPr>
            </w:pPr>
            <w:r>
              <w:rPr>
                <w:szCs w:val="22"/>
              </w:rPr>
              <w:t>b.</w:t>
            </w:r>
            <w:r>
              <w:rPr>
                <w:szCs w:val="22"/>
              </w:rPr>
              <w:tab/>
            </w:r>
            <w:r>
              <w:rPr>
                <w:b/>
                <w:bCs/>
                <w:szCs w:val="22"/>
              </w:rPr>
              <w:t>C</w:t>
            </w:r>
            <w:r w:rsidRPr="00795C67">
              <w:rPr>
                <w:b/>
                <w:bCs/>
                <w:szCs w:val="22"/>
              </w:rPr>
              <w:t>opyright</w:t>
            </w:r>
            <w:r w:rsidR="004B02B1">
              <w:rPr>
                <w:szCs w:val="22"/>
              </w:rPr>
              <w:t>––</w:t>
            </w:r>
            <w:r w:rsidR="00044975">
              <w:rPr>
                <w:szCs w:val="22"/>
              </w:rPr>
              <w:t>A f</w:t>
            </w:r>
            <w:r w:rsidRPr="00795C67">
              <w:rPr>
                <w:szCs w:val="22"/>
              </w:rPr>
              <w:t xml:space="preserve">orm of protection provided to the original authors of literary, musical, artistic, dramatic, and other works of authorship. </w:t>
            </w:r>
          </w:p>
        </w:tc>
        <w:tc>
          <w:tcPr>
            <w:tcW w:w="2862" w:type="dxa"/>
            <w:tcBorders>
              <w:left w:val="single" w:sz="4" w:space="0" w:color="auto"/>
            </w:tcBorders>
          </w:tcPr>
          <w:p w14:paraId="37A3210A" w14:textId="77777777" w:rsidR="00F645CC" w:rsidRDefault="00F645CC" w:rsidP="00122122">
            <w:pPr>
              <w:pStyle w:val="TableBody"/>
            </w:pPr>
          </w:p>
        </w:tc>
      </w:tr>
      <w:tr w:rsidR="00F645CC" w14:paraId="71CE0838" w14:textId="77777777">
        <w:tc>
          <w:tcPr>
            <w:tcW w:w="6498" w:type="dxa"/>
            <w:tcBorders>
              <w:right w:val="single" w:sz="4" w:space="0" w:color="auto"/>
            </w:tcBorders>
          </w:tcPr>
          <w:p w14:paraId="4E398EEA" w14:textId="77777777" w:rsidR="00F645CC" w:rsidRPr="00795C67" w:rsidRDefault="00F645CC" w:rsidP="001822E4">
            <w:pPr>
              <w:pStyle w:val="TableBody"/>
              <w:ind w:left="1440" w:hanging="288"/>
              <w:rPr>
                <w:szCs w:val="22"/>
              </w:rPr>
            </w:pPr>
            <w:r>
              <w:rPr>
                <w:szCs w:val="22"/>
              </w:rPr>
              <w:t>c.</w:t>
            </w:r>
            <w:r>
              <w:rPr>
                <w:szCs w:val="22"/>
              </w:rPr>
              <w:tab/>
            </w:r>
            <w:r w:rsidRPr="00F645CC">
              <w:rPr>
                <w:b/>
                <w:szCs w:val="22"/>
              </w:rPr>
              <w:t>P</w:t>
            </w:r>
            <w:r w:rsidRPr="00795C67">
              <w:rPr>
                <w:b/>
                <w:bCs/>
                <w:szCs w:val="22"/>
              </w:rPr>
              <w:t>atent</w:t>
            </w:r>
            <w:r w:rsidR="004B02B1">
              <w:rPr>
                <w:szCs w:val="22"/>
              </w:rPr>
              <w:t>––</w:t>
            </w:r>
            <w:r w:rsidR="001822E4">
              <w:rPr>
                <w:szCs w:val="22"/>
              </w:rPr>
              <w:t xml:space="preserve">A </w:t>
            </w:r>
            <w:r w:rsidRPr="00795C67">
              <w:rPr>
                <w:szCs w:val="22"/>
              </w:rPr>
              <w:t xml:space="preserve">right to exclude others from making, using, selling, or importing an invention. </w:t>
            </w:r>
          </w:p>
        </w:tc>
        <w:tc>
          <w:tcPr>
            <w:tcW w:w="2862" w:type="dxa"/>
            <w:tcBorders>
              <w:left w:val="single" w:sz="4" w:space="0" w:color="auto"/>
            </w:tcBorders>
          </w:tcPr>
          <w:p w14:paraId="112C7696" w14:textId="77777777" w:rsidR="00F645CC" w:rsidRDefault="00F645CC" w:rsidP="00122122">
            <w:pPr>
              <w:pStyle w:val="TableBody"/>
            </w:pPr>
          </w:p>
        </w:tc>
      </w:tr>
      <w:tr w:rsidR="001E7984" w14:paraId="610D8D4E" w14:textId="77777777">
        <w:tc>
          <w:tcPr>
            <w:tcW w:w="6498" w:type="dxa"/>
            <w:tcBorders>
              <w:right w:val="single" w:sz="4" w:space="0" w:color="auto"/>
            </w:tcBorders>
          </w:tcPr>
          <w:p w14:paraId="081E413C" w14:textId="77777777" w:rsidR="001E7984" w:rsidRPr="00795C67" w:rsidRDefault="001E7984" w:rsidP="00044975">
            <w:pPr>
              <w:pStyle w:val="TableBody"/>
              <w:ind w:left="1440" w:hanging="288"/>
              <w:rPr>
                <w:szCs w:val="22"/>
              </w:rPr>
            </w:pPr>
            <w:r>
              <w:rPr>
                <w:szCs w:val="22"/>
              </w:rPr>
              <w:t>d.</w:t>
            </w:r>
            <w:r>
              <w:rPr>
                <w:szCs w:val="22"/>
              </w:rPr>
              <w:tab/>
            </w:r>
            <w:r>
              <w:rPr>
                <w:b/>
                <w:szCs w:val="22"/>
              </w:rPr>
              <w:t>Technology</w:t>
            </w:r>
            <w:r w:rsidR="00044975">
              <w:rPr>
                <w:b/>
                <w:szCs w:val="22"/>
              </w:rPr>
              <w:t xml:space="preserve"> assets</w:t>
            </w:r>
            <w:r w:rsidR="004B02B1">
              <w:rPr>
                <w:szCs w:val="22"/>
              </w:rPr>
              <w:t>––</w:t>
            </w:r>
            <w:r w:rsidR="00044975">
              <w:rPr>
                <w:szCs w:val="22"/>
              </w:rPr>
              <w:t>Acquired c</w:t>
            </w:r>
            <w:r>
              <w:rPr>
                <w:szCs w:val="22"/>
              </w:rPr>
              <w:t>omputer software and development costs.</w:t>
            </w:r>
          </w:p>
        </w:tc>
        <w:tc>
          <w:tcPr>
            <w:tcW w:w="2862" w:type="dxa"/>
            <w:tcBorders>
              <w:left w:val="single" w:sz="4" w:space="0" w:color="auto"/>
            </w:tcBorders>
          </w:tcPr>
          <w:p w14:paraId="0BB95C10" w14:textId="77777777" w:rsidR="001E7984" w:rsidRDefault="001E7984" w:rsidP="00122122">
            <w:pPr>
              <w:pStyle w:val="TableBody"/>
            </w:pPr>
          </w:p>
        </w:tc>
      </w:tr>
      <w:tr w:rsidR="001E7984" w14:paraId="00762BBF" w14:textId="77777777">
        <w:tc>
          <w:tcPr>
            <w:tcW w:w="6498" w:type="dxa"/>
            <w:tcBorders>
              <w:right w:val="single" w:sz="4" w:space="0" w:color="auto"/>
            </w:tcBorders>
          </w:tcPr>
          <w:p w14:paraId="5FF2CBB7" w14:textId="537C6054" w:rsidR="001E7984" w:rsidRPr="00795C67" w:rsidRDefault="001E7984" w:rsidP="00044975">
            <w:pPr>
              <w:pStyle w:val="TableBody"/>
              <w:ind w:left="1440" w:hanging="288"/>
              <w:rPr>
                <w:szCs w:val="22"/>
              </w:rPr>
            </w:pPr>
            <w:r>
              <w:rPr>
                <w:szCs w:val="22"/>
              </w:rPr>
              <w:t>e.</w:t>
            </w:r>
            <w:r>
              <w:rPr>
                <w:szCs w:val="22"/>
              </w:rPr>
              <w:tab/>
            </w:r>
            <w:r>
              <w:rPr>
                <w:b/>
                <w:bCs/>
                <w:szCs w:val="22"/>
              </w:rPr>
              <w:t>L</w:t>
            </w:r>
            <w:r w:rsidRPr="00795C67">
              <w:rPr>
                <w:b/>
                <w:bCs/>
                <w:szCs w:val="22"/>
              </w:rPr>
              <w:t>icensing right</w:t>
            </w:r>
            <w:r>
              <w:rPr>
                <w:b/>
                <w:bCs/>
                <w:szCs w:val="22"/>
              </w:rPr>
              <w:t>s</w:t>
            </w:r>
            <w:r w:rsidR="00EE029E">
              <w:t>–</w:t>
            </w:r>
            <w:r w:rsidR="00EE029E" w:rsidRPr="00FE2A3F">
              <w:t>–</w:t>
            </w:r>
            <w:r w:rsidR="00044975">
              <w:rPr>
                <w:szCs w:val="22"/>
              </w:rPr>
              <w:t>The l</w:t>
            </w:r>
            <w:r w:rsidRPr="00795C67">
              <w:rPr>
                <w:szCs w:val="22"/>
              </w:rPr>
              <w:t>imited permission</w:t>
            </w:r>
            <w:r>
              <w:rPr>
                <w:szCs w:val="22"/>
              </w:rPr>
              <w:t>s</w:t>
            </w:r>
            <w:r w:rsidRPr="00795C67">
              <w:rPr>
                <w:szCs w:val="22"/>
              </w:rPr>
              <w:t xml:space="preserve"> to use </w:t>
            </w:r>
            <w:r w:rsidR="00044975">
              <w:rPr>
                <w:szCs w:val="22"/>
              </w:rPr>
              <w:t>property</w:t>
            </w:r>
            <w:r>
              <w:rPr>
                <w:szCs w:val="22"/>
              </w:rPr>
              <w:t xml:space="preserve"> </w:t>
            </w:r>
            <w:r w:rsidRPr="00795C67">
              <w:rPr>
                <w:szCs w:val="22"/>
              </w:rPr>
              <w:t>according to specific terms and conditions</w:t>
            </w:r>
            <w:r w:rsidR="00044975">
              <w:rPr>
                <w:szCs w:val="22"/>
              </w:rPr>
              <w:t xml:space="preserve"> set out in a contract</w:t>
            </w:r>
            <w:r w:rsidRPr="00795C67">
              <w:rPr>
                <w:szCs w:val="22"/>
              </w:rPr>
              <w:t xml:space="preserve">. </w:t>
            </w:r>
          </w:p>
        </w:tc>
        <w:tc>
          <w:tcPr>
            <w:tcW w:w="2862" w:type="dxa"/>
            <w:tcBorders>
              <w:left w:val="single" w:sz="4" w:space="0" w:color="auto"/>
            </w:tcBorders>
          </w:tcPr>
          <w:p w14:paraId="007E1848" w14:textId="77777777" w:rsidR="001E7984" w:rsidRDefault="001E7984" w:rsidP="00122122">
            <w:pPr>
              <w:pStyle w:val="TableBody"/>
            </w:pPr>
          </w:p>
        </w:tc>
      </w:tr>
    </w:tbl>
    <w:p w14:paraId="5078EA98" w14:textId="77777777" w:rsidR="001822E4" w:rsidRPr="00BC2B2D" w:rsidRDefault="001822E4" w:rsidP="001822E4">
      <w:pPr>
        <w:rPr>
          <w:sz w:val="4"/>
          <w:szCs w:val="4"/>
        </w:rPr>
      </w:pPr>
      <w:r>
        <w:br w:type="page"/>
      </w:r>
    </w:p>
    <w:tbl>
      <w:tblPr>
        <w:tblW w:w="0" w:type="auto"/>
        <w:tblLayout w:type="fixed"/>
        <w:tblLook w:val="01E0" w:firstRow="1" w:lastRow="1" w:firstColumn="1" w:lastColumn="1" w:noHBand="0" w:noVBand="0"/>
      </w:tblPr>
      <w:tblGrid>
        <w:gridCol w:w="6498"/>
        <w:gridCol w:w="2862"/>
      </w:tblGrid>
      <w:tr w:rsidR="001822E4" w:rsidRPr="00CD480D" w14:paraId="7682AF1A" w14:textId="77777777" w:rsidTr="001822E4">
        <w:tc>
          <w:tcPr>
            <w:tcW w:w="6498" w:type="dxa"/>
            <w:tcBorders>
              <w:right w:val="single" w:sz="4" w:space="0" w:color="auto"/>
            </w:tcBorders>
          </w:tcPr>
          <w:p w14:paraId="49CCB500" w14:textId="77777777" w:rsidR="001822E4" w:rsidRPr="00507ED2" w:rsidRDefault="001822E4" w:rsidP="001822E4">
            <w:pPr>
              <w:pStyle w:val="Heading1"/>
              <w:rPr>
                <w:bCs/>
              </w:rPr>
            </w:pPr>
            <w:r>
              <w:rPr>
                <w:rFonts w:ascii="Times New Roman" w:hAnsi="Times New Roman"/>
                <w:b w:val="0"/>
                <w:kern w:val="0"/>
                <w:sz w:val="22"/>
                <w:u w:val="none"/>
              </w:rPr>
              <w:lastRenderedPageBreak/>
              <w:br w:type="page"/>
            </w:r>
            <w:r>
              <w:rPr>
                <w:rFonts w:ascii="Times New Roman" w:hAnsi="Times New Roman"/>
                <w:b w:val="0"/>
                <w:kern w:val="0"/>
                <w:sz w:val="22"/>
                <w:u w:val="none"/>
              </w:rPr>
              <w:br w:type="page"/>
            </w:r>
            <w:r>
              <w:t>Chapter Outline</w:t>
            </w:r>
          </w:p>
        </w:tc>
        <w:tc>
          <w:tcPr>
            <w:tcW w:w="2862" w:type="dxa"/>
            <w:tcBorders>
              <w:left w:val="single" w:sz="4" w:space="0" w:color="auto"/>
            </w:tcBorders>
          </w:tcPr>
          <w:p w14:paraId="4D48A22E" w14:textId="77777777" w:rsidR="001822E4" w:rsidRPr="00CD480D" w:rsidRDefault="001822E4" w:rsidP="001822E4">
            <w:pPr>
              <w:pStyle w:val="Heading1"/>
            </w:pPr>
            <w:r w:rsidRPr="00CD480D">
              <w:t>Teaching Notes</w:t>
            </w:r>
          </w:p>
        </w:tc>
      </w:tr>
      <w:tr w:rsidR="00F645CC" w14:paraId="66DC8B41" w14:textId="77777777">
        <w:tc>
          <w:tcPr>
            <w:tcW w:w="6498" w:type="dxa"/>
            <w:tcBorders>
              <w:right w:val="single" w:sz="4" w:space="0" w:color="auto"/>
            </w:tcBorders>
          </w:tcPr>
          <w:p w14:paraId="0E8463F9" w14:textId="77777777" w:rsidR="00F645CC" w:rsidRPr="00795C67" w:rsidRDefault="001E7984" w:rsidP="003C535B">
            <w:pPr>
              <w:pStyle w:val="TableBody"/>
              <w:ind w:left="1440" w:hanging="288"/>
              <w:rPr>
                <w:szCs w:val="22"/>
              </w:rPr>
            </w:pPr>
            <w:r>
              <w:rPr>
                <w:szCs w:val="22"/>
              </w:rPr>
              <w:t>f</w:t>
            </w:r>
            <w:r w:rsidR="00F645CC">
              <w:rPr>
                <w:szCs w:val="22"/>
              </w:rPr>
              <w:t>.</w:t>
            </w:r>
            <w:r w:rsidR="00F645CC">
              <w:rPr>
                <w:szCs w:val="22"/>
              </w:rPr>
              <w:tab/>
            </w:r>
            <w:r w:rsidR="001822E4">
              <w:rPr>
                <w:b/>
                <w:bCs/>
                <w:szCs w:val="22"/>
              </w:rPr>
              <w:t>F</w:t>
            </w:r>
            <w:r w:rsidR="00F645CC" w:rsidRPr="00795C67">
              <w:rPr>
                <w:b/>
                <w:bCs/>
                <w:szCs w:val="22"/>
              </w:rPr>
              <w:t>ranchise</w:t>
            </w:r>
            <w:r w:rsidR="001822E4">
              <w:rPr>
                <w:szCs w:val="22"/>
              </w:rPr>
              <w:t>–</w:t>
            </w:r>
            <w:r w:rsidR="003C535B">
              <w:rPr>
                <w:szCs w:val="22"/>
              </w:rPr>
              <w:t>–</w:t>
            </w:r>
            <w:r w:rsidR="001822E4">
              <w:rPr>
                <w:szCs w:val="22"/>
              </w:rPr>
              <w:t xml:space="preserve">A </w:t>
            </w:r>
            <w:r w:rsidR="00F645CC" w:rsidRPr="00795C67">
              <w:rPr>
                <w:szCs w:val="22"/>
              </w:rPr>
              <w:t>contractual right to sell certain products or services, use certain trademarks,</w:t>
            </w:r>
            <w:r w:rsidR="00F645CC">
              <w:rPr>
                <w:szCs w:val="22"/>
              </w:rPr>
              <w:t xml:space="preserve"> </w:t>
            </w:r>
            <w:r w:rsidR="00F645CC" w:rsidRPr="00795C67">
              <w:rPr>
                <w:szCs w:val="22"/>
              </w:rPr>
              <w:t>or perform activities in a certain geographical region.</w:t>
            </w:r>
          </w:p>
        </w:tc>
        <w:tc>
          <w:tcPr>
            <w:tcW w:w="2862" w:type="dxa"/>
            <w:tcBorders>
              <w:left w:val="single" w:sz="4" w:space="0" w:color="auto"/>
            </w:tcBorders>
          </w:tcPr>
          <w:p w14:paraId="07FBEDC0" w14:textId="77777777" w:rsidR="00F645CC" w:rsidRDefault="00F645CC" w:rsidP="00122122">
            <w:pPr>
              <w:pStyle w:val="TableBody"/>
            </w:pPr>
          </w:p>
        </w:tc>
      </w:tr>
      <w:tr w:rsidR="00F645CC" w14:paraId="35CE43E0" w14:textId="77777777">
        <w:tc>
          <w:tcPr>
            <w:tcW w:w="6498" w:type="dxa"/>
            <w:tcBorders>
              <w:right w:val="single" w:sz="4" w:space="0" w:color="auto"/>
            </w:tcBorders>
          </w:tcPr>
          <w:p w14:paraId="35D738C5" w14:textId="77777777" w:rsidR="00F645CC" w:rsidRPr="00795C67" w:rsidRDefault="001E7984" w:rsidP="0005490F">
            <w:pPr>
              <w:pStyle w:val="TableBody"/>
              <w:ind w:left="1440" w:hanging="288"/>
              <w:rPr>
                <w:szCs w:val="22"/>
              </w:rPr>
            </w:pPr>
            <w:r>
              <w:rPr>
                <w:szCs w:val="22"/>
              </w:rPr>
              <w:t>g</w:t>
            </w:r>
            <w:r w:rsidR="00F645CC">
              <w:rPr>
                <w:szCs w:val="22"/>
              </w:rPr>
              <w:t>.</w:t>
            </w:r>
            <w:r w:rsidR="00F645CC">
              <w:rPr>
                <w:szCs w:val="22"/>
              </w:rPr>
              <w:tab/>
            </w:r>
            <w:r w:rsidR="00F645CC" w:rsidRPr="00795C67">
              <w:rPr>
                <w:b/>
                <w:bCs/>
                <w:szCs w:val="22"/>
              </w:rPr>
              <w:t>Goodwill</w:t>
            </w:r>
            <w:r w:rsidR="0005490F">
              <w:rPr>
                <w:szCs w:val="22"/>
              </w:rPr>
              <w:t>–</w:t>
            </w:r>
            <w:r w:rsidR="003C535B">
              <w:rPr>
                <w:szCs w:val="22"/>
              </w:rPr>
              <w:t>–</w:t>
            </w:r>
            <w:r w:rsidR="0005490F">
              <w:rPr>
                <w:szCs w:val="22"/>
              </w:rPr>
              <w:t xml:space="preserve">The </w:t>
            </w:r>
            <w:r w:rsidR="00F645CC" w:rsidRPr="00795C67">
              <w:rPr>
                <w:szCs w:val="22"/>
              </w:rPr>
              <w:t>premium a company pays to obtain the favorable reputation associated</w:t>
            </w:r>
            <w:r w:rsidR="00F645CC">
              <w:rPr>
                <w:szCs w:val="22"/>
              </w:rPr>
              <w:t xml:space="preserve"> </w:t>
            </w:r>
            <w:r w:rsidR="00F645CC" w:rsidRPr="00795C67">
              <w:rPr>
                <w:szCs w:val="22"/>
              </w:rPr>
              <w:t>with another company.</w:t>
            </w:r>
          </w:p>
        </w:tc>
        <w:tc>
          <w:tcPr>
            <w:tcW w:w="2862" w:type="dxa"/>
            <w:tcBorders>
              <w:left w:val="single" w:sz="4" w:space="0" w:color="auto"/>
            </w:tcBorders>
          </w:tcPr>
          <w:p w14:paraId="1CA9B695" w14:textId="77777777" w:rsidR="00F645CC" w:rsidRDefault="00F645CC" w:rsidP="00122122">
            <w:pPr>
              <w:pStyle w:val="TableBody"/>
            </w:pPr>
          </w:p>
        </w:tc>
      </w:tr>
      <w:tr w:rsidR="00795C67" w14:paraId="67C4A18B" w14:textId="77777777">
        <w:tc>
          <w:tcPr>
            <w:tcW w:w="6498" w:type="dxa"/>
            <w:tcBorders>
              <w:right w:val="single" w:sz="4" w:space="0" w:color="auto"/>
            </w:tcBorders>
          </w:tcPr>
          <w:p w14:paraId="450EC8BC" w14:textId="77777777" w:rsidR="00795C67" w:rsidRPr="00795C67" w:rsidRDefault="00064AFB" w:rsidP="00D37559">
            <w:pPr>
              <w:pStyle w:val="TableBody"/>
              <w:ind w:left="1152" w:hanging="288"/>
              <w:rPr>
                <w:szCs w:val="22"/>
              </w:rPr>
            </w:pPr>
            <w:r>
              <w:rPr>
                <w:szCs w:val="22"/>
              </w:rPr>
              <w:t>2.</w:t>
            </w:r>
            <w:r w:rsidRPr="00064AFB">
              <w:rPr>
                <w:szCs w:val="22"/>
              </w:rPr>
              <w:t xml:space="preserve"> </w:t>
            </w:r>
            <w:r w:rsidR="003D6861">
              <w:rPr>
                <w:szCs w:val="22"/>
              </w:rPr>
              <w:t>Acquisition</w:t>
            </w:r>
            <w:r w:rsidR="00D37559">
              <w:rPr>
                <w:szCs w:val="22"/>
              </w:rPr>
              <w:t>, Use, and Disposal</w:t>
            </w:r>
            <w:r w:rsidR="00D37559">
              <w:t xml:space="preserve"> </w:t>
            </w:r>
          </w:p>
        </w:tc>
        <w:tc>
          <w:tcPr>
            <w:tcW w:w="2862" w:type="dxa"/>
            <w:tcBorders>
              <w:left w:val="single" w:sz="4" w:space="0" w:color="auto"/>
            </w:tcBorders>
          </w:tcPr>
          <w:p w14:paraId="63379E66" w14:textId="77777777" w:rsidR="00795C67" w:rsidRDefault="00795C67" w:rsidP="00122122">
            <w:pPr>
              <w:pStyle w:val="TableBody"/>
            </w:pPr>
          </w:p>
        </w:tc>
      </w:tr>
      <w:tr w:rsidR="00D37559" w14:paraId="35C8E2EF" w14:textId="77777777">
        <w:tc>
          <w:tcPr>
            <w:tcW w:w="6498" w:type="dxa"/>
            <w:tcBorders>
              <w:right w:val="single" w:sz="4" w:space="0" w:color="auto"/>
            </w:tcBorders>
          </w:tcPr>
          <w:p w14:paraId="7D764050" w14:textId="77777777" w:rsidR="00D37559" w:rsidRDefault="00D37559" w:rsidP="00D37559">
            <w:pPr>
              <w:pStyle w:val="TableBody"/>
              <w:ind w:left="1440" w:hanging="288"/>
              <w:rPr>
                <w:szCs w:val="22"/>
              </w:rPr>
            </w:pPr>
            <w:r>
              <w:rPr>
                <w:szCs w:val="22"/>
              </w:rPr>
              <w:t>a.</w:t>
            </w:r>
            <w:r>
              <w:rPr>
                <w:szCs w:val="22"/>
              </w:rPr>
              <w:tab/>
            </w:r>
            <w:r w:rsidRPr="00064AFB">
              <w:rPr>
                <w:szCs w:val="22"/>
              </w:rPr>
              <w:t>The costs of intangible assets are recorded as assets only if they have</w:t>
            </w:r>
            <w:r>
              <w:rPr>
                <w:szCs w:val="22"/>
              </w:rPr>
              <w:t xml:space="preserve"> </w:t>
            </w:r>
            <w:r w:rsidRPr="00064AFB">
              <w:rPr>
                <w:szCs w:val="22"/>
              </w:rPr>
              <w:t>been purchased.</w:t>
            </w:r>
          </w:p>
        </w:tc>
        <w:tc>
          <w:tcPr>
            <w:tcW w:w="2862" w:type="dxa"/>
            <w:tcBorders>
              <w:left w:val="single" w:sz="4" w:space="0" w:color="auto"/>
            </w:tcBorders>
          </w:tcPr>
          <w:p w14:paraId="3C8E2FB4" w14:textId="77777777" w:rsidR="00D37559" w:rsidRDefault="00D37559" w:rsidP="00122122">
            <w:pPr>
              <w:pStyle w:val="TableBody"/>
            </w:pPr>
          </w:p>
        </w:tc>
      </w:tr>
      <w:tr w:rsidR="001E7984" w14:paraId="4C7B09E8" w14:textId="77777777" w:rsidTr="00A36D4F">
        <w:tc>
          <w:tcPr>
            <w:tcW w:w="6498" w:type="dxa"/>
            <w:tcBorders>
              <w:right w:val="single" w:sz="4" w:space="0" w:color="auto"/>
            </w:tcBorders>
          </w:tcPr>
          <w:p w14:paraId="76B6BCCB" w14:textId="77777777" w:rsidR="001E7984" w:rsidRDefault="001E7984" w:rsidP="004B02B1">
            <w:pPr>
              <w:pStyle w:val="TableBody"/>
              <w:ind w:left="1728" w:hanging="288"/>
              <w:rPr>
                <w:szCs w:val="22"/>
              </w:rPr>
            </w:pPr>
            <w:r>
              <w:rPr>
                <w:bCs/>
                <w:szCs w:val="22"/>
              </w:rPr>
              <w:t>i</w:t>
            </w:r>
            <w:r w:rsidRPr="00D37559">
              <w:rPr>
                <w:bCs/>
                <w:szCs w:val="22"/>
              </w:rPr>
              <w:t>.</w:t>
            </w:r>
            <w:r w:rsidRPr="00D37559">
              <w:rPr>
                <w:bCs/>
                <w:szCs w:val="22"/>
              </w:rPr>
              <w:tab/>
            </w:r>
            <w:r w:rsidRPr="00064AFB">
              <w:rPr>
                <w:b/>
                <w:bCs/>
                <w:szCs w:val="22"/>
              </w:rPr>
              <w:t>Research and development</w:t>
            </w:r>
            <w:r>
              <w:rPr>
                <w:szCs w:val="22"/>
              </w:rPr>
              <w:t>–</w:t>
            </w:r>
            <w:r w:rsidR="003C535B">
              <w:rPr>
                <w:szCs w:val="22"/>
              </w:rPr>
              <w:t>–</w:t>
            </w:r>
            <w:r>
              <w:rPr>
                <w:szCs w:val="22"/>
              </w:rPr>
              <w:t>E</w:t>
            </w:r>
            <w:r w:rsidRPr="00064AFB">
              <w:rPr>
                <w:szCs w:val="22"/>
              </w:rPr>
              <w:t>xpenditures that may someday lead to patents,</w:t>
            </w:r>
            <w:r>
              <w:rPr>
                <w:szCs w:val="22"/>
              </w:rPr>
              <w:t xml:space="preserve"> </w:t>
            </w:r>
            <w:r w:rsidRPr="00064AFB">
              <w:rPr>
                <w:szCs w:val="22"/>
              </w:rPr>
              <w:t>copyrights, or other intangible assets</w:t>
            </w:r>
            <w:r>
              <w:rPr>
                <w:szCs w:val="22"/>
              </w:rPr>
              <w:t>;</w:t>
            </w:r>
            <w:r w:rsidR="004B02B1">
              <w:rPr>
                <w:szCs w:val="22"/>
              </w:rPr>
              <w:t xml:space="preserve"> the</w:t>
            </w:r>
            <w:r>
              <w:rPr>
                <w:szCs w:val="22"/>
              </w:rPr>
              <w:t xml:space="preserve"> </w:t>
            </w:r>
            <w:r w:rsidRPr="00064AFB">
              <w:rPr>
                <w:szCs w:val="22"/>
              </w:rPr>
              <w:t xml:space="preserve">uncertainty about </w:t>
            </w:r>
            <w:r w:rsidR="004B02B1">
              <w:rPr>
                <w:szCs w:val="22"/>
              </w:rPr>
              <w:t xml:space="preserve">their </w:t>
            </w:r>
            <w:r w:rsidRPr="00064AFB">
              <w:rPr>
                <w:szCs w:val="22"/>
              </w:rPr>
              <w:t xml:space="preserve">future benefits </w:t>
            </w:r>
            <w:r w:rsidR="004B02B1">
              <w:rPr>
                <w:szCs w:val="22"/>
              </w:rPr>
              <w:t>requires they</w:t>
            </w:r>
            <w:r>
              <w:rPr>
                <w:szCs w:val="22"/>
              </w:rPr>
              <w:t xml:space="preserve"> </w:t>
            </w:r>
            <w:r w:rsidRPr="00064AFB">
              <w:rPr>
                <w:szCs w:val="22"/>
              </w:rPr>
              <w:t>be expensed.</w:t>
            </w:r>
          </w:p>
        </w:tc>
        <w:tc>
          <w:tcPr>
            <w:tcW w:w="2862" w:type="dxa"/>
            <w:tcBorders>
              <w:left w:val="single" w:sz="4" w:space="0" w:color="auto"/>
            </w:tcBorders>
          </w:tcPr>
          <w:p w14:paraId="5B75AD02" w14:textId="77777777" w:rsidR="001E7984" w:rsidRDefault="001E7984" w:rsidP="00A36D4F">
            <w:pPr>
              <w:pStyle w:val="TableBody"/>
            </w:pPr>
          </w:p>
        </w:tc>
      </w:tr>
      <w:tr w:rsidR="00D37559" w14:paraId="23E3BD6A" w14:textId="77777777">
        <w:tc>
          <w:tcPr>
            <w:tcW w:w="6498" w:type="dxa"/>
            <w:tcBorders>
              <w:right w:val="single" w:sz="4" w:space="0" w:color="auto"/>
            </w:tcBorders>
          </w:tcPr>
          <w:p w14:paraId="2737DD81" w14:textId="77777777" w:rsidR="00D37559" w:rsidRDefault="00D37559" w:rsidP="00D37559">
            <w:pPr>
              <w:pStyle w:val="TableBody"/>
              <w:ind w:left="1728" w:hanging="288"/>
              <w:rPr>
                <w:szCs w:val="22"/>
              </w:rPr>
            </w:pPr>
            <w:r>
              <w:rPr>
                <w:szCs w:val="22"/>
              </w:rPr>
              <w:t>i</w:t>
            </w:r>
            <w:r w:rsidR="001E7984">
              <w:rPr>
                <w:szCs w:val="22"/>
              </w:rPr>
              <w:t>i</w:t>
            </w:r>
            <w:r>
              <w:rPr>
                <w:szCs w:val="22"/>
              </w:rPr>
              <w:t>.</w:t>
            </w:r>
            <w:r>
              <w:rPr>
                <w:szCs w:val="22"/>
              </w:rPr>
              <w:tab/>
            </w:r>
            <w:r w:rsidRPr="00D37559">
              <w:rPr>
                <w:szCs w:val="22"/>
              </w:rPr>
              <w:t>The primary reason that the</w:t>
            </w:r>
            <w:r>
              <w:rPr>
                <w:szCs w:val="22"/>
              </w:rPr>
              <w:t xml:space="preserve"> </w:t>
            </w:r>
            <w:r w:rsidRPr="00D37559">
              <w:rPr>
                <w:szCs w:val="22"/>
              </w:rPr>
              <w:t>cost of self-developed intangibles is reported as an expense rather than an asset is that it’s easy</w:t>
            </w:r>
            <w:r>
              <w:rPr>
                <w:szCs w:val="22"/>
              </w:rPr>
              <w:t xml:space="preserve"> </w:t>
            </w:r>
            <w:r w:rsidRPr="00D37559">
              <w:rPr>
                <w:szCs w:val="22"/>
              </w:rPr>
              <w:t>for people to claim that they’ve developed a valuable (but invisible) intangible asset.</w:t>
            </w:r>
          </w:p>
        </w:tc>
        <w:tc>
          <w:tcPr>
            <w:tcW w:w="2862" w:type="dxa"/>
            <w:tcBorders>
              <w:left w:val="single" w:sz="4" w:space="0" w:color="auto"/>
            </w:tcBorders>
          </w:tcPr>
          <w:p w14:paraId="253957A3" w14:textId="77777777" w:rsidR="00D37559" w:rsidRDefault="00D37559" w:rsidP="00122122">
            <w:pPr>
              <w:pStyle w:val="TableBody"/>
            </w:pPr>
          </w:p>
        </w:tc>
      </w:tr>
      <w:tr w:rsidR="00D37559" w14:paraId="3F0062B9" w14:textId="77777777">
        <w:tc>
          <w:tcPr>
            <w:tcW w:w="6498" w:type="dxa"/>
            <w:tcBorders>
              <w:right w:val="single" w:sz="4" w:space="0" w:color="auto"/>
            </w:tcBorders>
          </w:tcPr>
          <w:p w14:paraId="72E663FF" w14:textId="77777777" w:rsidR="00D37559" w:rsidRDefault="00D37559" w:rsidP="00044975">
            <w:pPr>
              <w:pStyle w:val="TableBody"/>
              <w:ind w:left="1728" w:hanging="288"/>
              <w:rPr>
                <w:szCs w:val="22"/>
              </w:rPr>
            </w:pPr>
            <w:r>
              <w:rPr>
                <w:szCs w:val="22"/>
              </w:rPr>
              <w:t>ii</w:t>
            </w:r>
            <w:r w:rsidR="001E7984">
              <w:rPr>
                <w:szCs w:val="22"/>
              </w:rPr>
              <w:t>i</w:t>
            </w:r>
            <w:r>
              <w:rPr>
                <w:szCs w:val="22"/>
              </w:rPr>
              <w:t>.</w:t>
            </w:r>
            <w:r>
              <w:rPr>
                <w:szCs w:val="22"/>
              </w:rPr>
              <w:tab/>
              <w:t>Evidence of what it is</w:t>
            </w:r>
            <w:r w:rsidRPr="00D37559">
              <w:rPr>
                <w:szCs w:val="22"/>
              </w:rPr>
              <w:t xml:space="preserve"> actually worth only happens when someone gives up their hard-earned cash to</w:t>
            </w:r>
            <w:r>
              <w:rPr>
                <w:szCs w:val="22"/>
              </w:rPr>
              <w:t xml:space="preserve"> </w:t>
            </w:r>
            <w:r w:rsidRPr="00D37559">
              <w:rPr>
                <w:szCs w:val="22"/>
              </w:rPr>
              <w:t>buy it</w:t>
            </w:r>
            <w:r w:rsidR="00044975">
              <w:rPr>
                <w:szCs w:val="22"/>
              </w:rPr>
              <w:t>; a</w:t>
            </w:r>
            <w:r w:rsidRPr="00D37559">
              <w:rPr>
                <w:szCs w:val="22"/>
              </w:rPr>
              <w:t xml:space="preserve">t that time, the purchaser records the intangible asset at its acquisition cost. </w:t>
            </w:r>
          </w:p>
        </w:tc>
        <w:tc>
          <w:tcPr>
            <w:tcW w:w="2862" w:type="dxa"/>
            <w:tcBorders>
              <w:left w:val="single" w:sz="4" w:space="0" w:color="auto"/>
            </w:tcBorders>
          </w:tcPr>
          <w:p w14:paraId="0B971B56" w14:textId="77777777" w:rsidR="00D37559" w:rsidRDefault="00D37559" w:rsidP="00122122">
            <w:pPr>
              <w:pStyle w:val="TableBody"/>
            </w:pPr>
          </w:p>
        </w:tc>
      </w:tr>
      <w:tr w:rsidR="00D37559" w14:paraId="53627015" w14:textId="77777777">
        <w:tc>
          <w:tcPr>
            <w:tcW w:w="6498" w:type="dxa"/>
            <w:tcBorders>
              <w:right w:val="single" w:sz="4" w:space="0" w:color="auto"/>
            </w:tcBorders>
          </w:tcPr>
          <w:p w14:paraId="0CD81AB1" w14:textId="77777777" w:rsidR="00D37559" w:rsidRPr="00D37559" w:rsidRDefault="001E7984" w:rsidP="00D37559">
            <w:pPr>
              <w:pStyle w:val="TableBody"/>
              <w:ind w:left="1728" w:hanging="288"/>
              <w:rPr>
                <w:bCs/>
                <w:szCs w:val="22"/>
              </w:rPr>
            </w:pPr>
            <w:r>
              <w:rPr>
                <w:bCs/>
                <w:szCs w:val="22"/>
              </w:rPr>
              <w:t>iv</w:t>
            </w:r>
            <w:r w:rsidR="00D37559">
              <w:rPr>
                <w:bCs/>
                <w:szCs w:val="22"/>
              </w:rPr>
              <w:t>.</w:t>
            </w:r>
            <w:r w:rsidR="00D37559">
              <w:rPr>
                <w:bCs/>
                <w:szCs w:val="22"/>
              </w:rPr>
              <w:tab/>
            </w:r>
            <w:r w:rsidR="00D37559" w:rsidRPr="00D37559">
              <w:rPr>
                <w:szCs w:val="22"/>
              </w:rPr>
              <w:t>This general</w:t>
            </w:r>
            <w:r w:rsidR="00D37559">
              <w:rPr>
                <w:szCs w:val="22"/>
              </w:rPr>
              <w:t xml:space="preserve"> </w:t>
            </w:r>
            <w:r w:rsidR="00D37559" w:rsidRPr="00D37559">
              <w:rPr>
                <w:szCs w:val="22"/>
              </w:rPr>
              <w:t>rule applies to trademarks, copyrights, patents, licensing rights, franchises, and goodwill</w:t>
            </w:r>
            <w:r w:rsidR="00D37559">
              <w:rPr>
                <w:szCs w:val="22"/>
              </w:rPr>
              <w:t>.</w:t>
            </w:r>
          </w:p>
        </w:tc>
        <w:tc>
          <w:tcPr>
            <w:tcW w:w="2862" w:type="dxa"/>
            <w:tcBorders>
              <w:left w:val="single" w:sz="4" w:space="0" w:color="auto"/>
            </w:tcBorders>
          </w:tcPr>
          <w:p w14:paraId="5984B6B7" w14:textId="77777777" w:rsidR="00D37559" w:rsidRDefault="00D37559" w:rsidP="00122122">
            <w:pPr>
              <w:pStyle w:val="TableBody"/>
            </w:pPr>
          </w:p>
        </w:tc>
      </w:tr>
      <w:tr w:rsidR="00D37559" w14:paraId="62DC7109" w14:textId="77777777">
        <w:tc>
          <w:tcPr>
            <w:tcW w:w="6498" w:type="dxa"/>
            <w:tcBorders>
              <w:right w:val="single" w:sz="4" w:space="0" w:color="auto"/>
            </w:tcBorders>
          </w:tcPr>
          <w:p w14:paraId="0272BB29" w14:textId="77777777" w:rsidR="00D37559" w:rsidRPr="00044975" w:rsidRDefault="00CC6672" w:rsidP="00044975">
            <w:pPr>
              <w:pStyle w:val="TableBody"/>
              <w:ind w:left="1728" w:hanging="288"/>
              <w:rPr>
                <w:szCs w:val="22"/>
              </w:rPr>
            </w:pPr>
            <w:r w:rsidRPr="00044975">
              <w:rPr>
                <w:szCs w:val="22"/>
              </w:rPr>
              <w:t>v</w:t>
            </w:r>
            <w:r w:rsidR="00D37559" w:rsidRPr="00044975">
              <w:rPr>
                <w:szCs w:val="22"/>
              </w:rPr>
              <w:t>.</w:t>
            </w:r>
            <w:r w:rsidR="00D37559" w:rsidRPr="00044975">
              <w:rPr>
                <w:szCs w:val="22"/>
              </w:rPr>
              <w:tab/>
            </w:r>
            <w:r w:rsidRPr="00044975">
              <w:rPr>
                <w:szCs w:val="22"/>
              </w:rPr>
              <w:t>G</w:t>
            </w:r>
            <w:r w:rsidR="00D37559" w:rsidRPr="00044975">
              <w:rPr>
                <w:szCs w:val="22"/>
              </w:rPr>
              <w:t xml:space="preserve">oodwill is the difference between the purchase price of a company as a whole and the fair market value of </w:t>
            </w:r>
            <w:r w:rsidR="00044975">
              <w:rPr>
                <w:szCs w:val="22"/>
              </w:rPr>
              <w:t xml:space="preserve">the </w:t>
            </w:r>
            <w:r w:rsidR="00D37559" w:rsidRPr="00044975">
              <w:rPr>
                <w:szCs w:val="22"/>
              </w:rPr>
              <w:t xml:space="preserve">net assets </w:t>
            </w:r>
            <w:r w:rsidR="00044975">
              <w:rPr>
                <w:szCs w:val="22"/>
              </w:rPr>
              <w:t>of the business.</w:t>
            </w:r>
          </w:p>
        </w:tc>
        <w:tc>
          <w:tcPr>
            <w:tcW w:w="2862" w:type="dxa"/>
            <w:tcBorders>
              <w:left w:val="single" w:sz="4" w:space="0" w:color="auto"/>
            </w:tcBorders>
          </w:tcPr>
          <w:p w14:paraId="0682CC18" w14:textId="77777777" w:rsidR="00D37559" w:rsidRDefault="00D37559" w:rsidP="00CC6672">
            <w:pPr>
              <w:pStyle w:val="TableBody"/>
            </w:pPr>
            <w:r w:rsidRPr="00DC54C7">
              <w:t xml:space="preserve">The “Spotlight on </w:t>
            </w:r>
            <w:r>
              <w:t>Business Decisions</w:t>
            </w:r>
            <w:r w:rsidRPr="00DC54C7">
              <w:t>” feature addres</w:t>
            </w:r>
            <w:r>
              <w:t>ses valuing goodwill</w:t>
            </w:r>
            <w:r w:rsidR="009D0D1A">
              <w:t>.</w:t>
            </w:r>
          </w:p>
        </w:tc>
      </w:tr>
      <w:tr w:rsidR="004D3C61" w14:paraId="64EC67BF" w14:textId="77777777">
        <w:tc>
          <w:tcPr>
            <w:tcW w:w="6498" w:type="dxa"/>
            <w:tcBorders>
              <w:right w:val="single" w:sz="4" w:space="0" w:color="auto"/>
            </w:tcBorders>
          </w:tcPr>
          <w:p w14:paraId="3DE95F92" w14:textId="65886542" w:rsidR="004D3C61" w:rsidRDefault="004D3C61" w:rsidP="004D3C61">
            <w:pPr>
              <w:pStyle w:val="TableBody"/>
              <w:ind w:left="1440" w:hanging="288"/>
              <w:rPr>
                <w:szCs w:val="22"/>
              </w:rPr>
            </w:pPr>
            <w:r>
              <w:rPr>
                <w:szCs w:val="22"/>
              </w:rPr>
              <w:t>b.</w:t>
            </w:r>
            <w:r>
              <w:rPr>
                <w:szCs w:val="22"/>
              </w:rPr>
              <w:tab/>
              <w:t xml:space="preserve">Use of </w:t>
            </w:r>
            <w:r w:rsidRPr="004D3C61">
              <w:rPr>
                <w:szCs w:val="22"/>
              </w:rPr>
              <w:t>intangible assets, after they</w:t>
            </w:r>
            <w:r>
              <w:rPr>
                <w:szCs w:val="22"/>
              </w:rPr>
              <w:t xml:space="preserve"> </w:t>
            </w:r>
            <w:r w:rsidRPr="004D3C61">
              <w:rPr>
                <w:szCs w:val="22"/>
              </w:rPr>
              <w:t>have been purchased</w:t>
            </w:r>
            <w:r w:rsidR="00EE029E">
              <w:t>–</w:t>
            </w:r>
            <w:r w:rsidR="00EE029E" w:rsidRPr="00FE2A3F">
              <w:t>–</w:t>
            </w:r>
            <w:r>
              <w:rPr>
                <w:szCs w:val="22"/>
              </w:rPr>
              <w:t xml:space="preserve">Rules </w:t>
            </w:r>
            <w:r w:rsidRPr="004D3C61">
              <w:rPr>
                <w:szCs w:val="22"/>
              </w:rPr>
              <w:t>depend on whether the intangible asset has a limited or</w:t>
            </w:r>
            <w:r>
              <w:rPr>
                <w:szCs w:val="22"/>
              </w:rPr>
              <w:t xml:space="preserve"> </w:t>
            </w:r>
            <w:r w:rsidRPr="004D3C61">
              <w:rPr>
                <w:szCs w:val="22"/>
              </w:rPr>
              <w:t>unlimited life.</w:t>
            </w:r>
          </w:p>
        </w:tc>
        <w:tc>
          <w:tcPr>
            <w:tcW w:w="2862" w:type="dxa"/>
            <w:tcBorders>
              <w:left w:val="single" w:sz="4" w:space="0" w:color="auto"/>
            </w:tcBorders>
          </w:tcPr>
          <w:p w14:paraId="3D043184" w14:textId="77777777" w:rsidR="004D3C61" w:rsidRDefault="004D3C61" w:rsidP="00122122">
            <w:pPr>
              <w:pStyle w:val="TableBody"/>
            </w:pPr>
          </w:p>
        </w:tc>
      </w:tr>
      <w:tr w:rsidR="00D37559" w14:paraId="24A58A82" w14:textId="77777777">
        <w:tc>
          <w:tcPr>
            <w:tcW w:w="6498" w:type="dxa"/>
            <w:tcBorders>
              <w:right w:val="single" w:sz="4" w:space="0" w:color="auto"/>
            </w:tcBorders>
          </w:tcPr>
          <w:p w14:paraId="5C54FF93" w14:textId="3CA180A6" w:rsidR="00D37559" w:rsidRPr="00064AFB" w:rsidRDefault="004D3C61" w:rsidP="004D3C61">
            <w:pPr>
              <w:pStyle w:val="TableBody"/>
              <w:ind w:left="1728" w:hanging="288"/>
              <w:rPr>
                <w:szCs w:val="22"/>
              </w:rPr>
            </w:pPr>
            <w:r>
              <w:rPr>
                <w:szCs w:val="22"/>
              </w:rPr>
              <w:t>i</w:t>
            </w:r>
            <w:r w:rsidR="00D37559">
              <w:rPr>
                <w:szCs w:val="22"/>
              </w:rPr>
              <w:t>.</w:t>
            </w:r>
            <w:r w:rsidR="00D37559">
              <w:rPr>
                <w:szCs w:val="22"/>
              </w:rPr>
              <w:tab/>
            </w:r>
            <w:r>
              <w:rPr>
                <w:szCs w:val="22"/>
              </w:rPr>
              <w:t>Intangibles with limited useful lives</w:t>
            </w:r>
            <w:r w:rsidR="00EE029E">
              <w:t>–</w:t>
            </w:r>
            <w:r w:rsidR="00EE029E" w:rsidRPr="00FE2A3F">
              <w:t>–</w:t>
            </w:r>
            <w:r>
              <w:rPr>
                <w:szCs w:val="22"/>
              </w:rPr>
              <w:t xml:space="preserve">Cost is spread on a straight-line basis over each period of useful life. </w:t>
            </w:r>
          </w:p>
        </w:tc>
        <w:tc>
          <w:tcPr>
            <w:tcW w:w="2862" w:type="dxa"/>
            <w:tcBorders>
              <w:left w:val="single" w:sz="4" w:space="0" w:color="auto"/>
            </w:tcBorders>
          </w:tcPr>
          <w:p w14:paraId="43DD878A" w14:textId="77777777" w:rsidR="00D37559" w:rsidRDefault="00D37559" w:rsidP="00122122">
            <w:pPr>
              <w:pStyle w:val="TableBody"/>
            </w:pPr>
          </w:p>
        </w:tc>
      </w:tr>
      <w:tr w:rsidR="00D37559" w14:paraId="42C73B8D" w14:textId="77777777">
        <w:tc>
          <w:tcPr>
            <w:tcW w:w="6498" w:type="dxa"/>
            <w:tcBorders>
              <w:right w:val="single" w:sz="4" w:space="0" w:color="auto"/>
            </w:tcBorders>
          </w:tcPr>
          <w:p w14:paraId="7DBF5ABD" w14:textId="77777777" w:rsidR="00D37559" w:rsidRPr="004D3C61" w:rsidRDefault="00CC6672" w:rsidP="004D3C61">
            <w:pPr>
              <w:pStyle w:val="TableBody"/>
              <w:numPr>
                <w:ilvl w:val="0"/>
                <w:numId w:val="6"/>
              </w:numPr>
            </w:pPr>
            <w:r w:rsidRPr="004D3C61">
              <w:rPr>
                <w:b/>
              </w:rPr>
              <w:t>Amortization</w:t>
            </w:r>
            <w:r w:rsidR="004B02B1" w:rsidRPr="004D3C61">
              <w:t>––</w:t>
            </w:r>
            <w:r w:rsidRPr="004D3C61">
              <w:t xml:space="preserve">Process </w:t>
            </w:r>
            <w:r w:rsidR="00AC4B49" w:rsidRPr="004D3C61">
              <w:t xml:space="preserve">of allocating the cost of intangible assets over their limited useful lives; </w:t>
            </w:r>
            <w:r w:rsidR="00D37559" w:rsidRPr="004D3C61">
              <w:t>similar to depreciation</w:t>
            </w:r>
            <w:r w:rsidR="00AC4B49" w:rsidRPr="004D3C61">
              <w:t>.</w:t>
            </w:r>
          </w:p>
        </w:tc>
        <w:tc>
          <w:tcPr>
            <w:tcW w:w="2862" w:type="dxa"/>
            <w:tcBorders>
              <w:left w:val="single" w:sz="4" w:space="0" w:color="auto"/>
            </w:tcBorders>
          </w:tcPr>
          <w:p w14:paraId="310909BC" w14:textId="77777777" w:rsidR="00D37559" w:rsidRDefault="00D37559" w:rsidP="00122122">
            <w:pPr>
              <w:pStyle w:val="TableBody"/>
            </w:pPr>
          </w:p>
        </w:tc>
      </w:tr>
      <w:tr w:rsidR="00D37559" w14:paraId="1B0445C3" w14:textId="77777777">
        <w:tc>
          <w:tcPr>
            <w:tcW w:w="6498" w:type="dxa"/>
            <w:tcBorders>
              <w:right w:val="single" w:sz="4" w:space="0" w:color="auto"/>
            </w:tcBorders>
          </w:tcPr>
          <w:p w14:paraId="70446A49" w14:textId="77777777" w:rsidR="00CC6672" w:rsidRPr="004D3C61" w:rsidRDefault="00D37559" w:rsidP="004D3C61">
            <w:pPr>
              <w:pStyle w:val="TableBody"/>
              <w:numPr>
                <w:ilvl w:val="0"/>
                <w:numId w:val="6"/>
              </w:numPr>
            </w:pPr>
            <w:r w:rsidRPr="004D3C61">
              <w:t xml:space="preserve">Most companies do not estimate a residual value </w:t>
            </w:r>
            <w:r w:rsidR="004D3C61" w:rsidRPr="004D3C61">
              <w:t xml:space="preserve">because </w:t>
            </w:r>
            <w:r w:rsidRPr="004D3C61">
              <w:t>intangible assets</w:t>
            </w:r>
            <w:r w:rsidR="00CC6672" w:rsidRPr="004D3C61">
              <w:t xml:space="preserve"> </w:t>
            </w:r>
            <w:r w:rsidRPr="004D3C61">
              <w:t>usually have no value</w:t>
            </w:r>
            <w:r w:rsidR="00CC6672" w:rsidRPr="004D3C61">
              <w:t xml:space="preserve"> </w:t>
            </w:r>
            <w:r w:rsidRPr="004D3C61">
              <w:t xml:space="preserve">at the end of their useful lives. </w:t>
            </w:r>
          </w:p>
          <w:p w14:paraId="0BAE591A" w14:textId="77777777" w:rsidR="00CC6672" w:rsidRPr="004D3C61" w:rsidRDefault="00D37559" w:rsidP="004D3C61">
            <w:pPr>
              <w:pStyle w:val="TableBody"/>
              <w:numPr>
                <w:ilvl w:val="0"/>
                <w:numId w:val="6"/>
              </w:numPr>
            </w:pPr>
            <w:r w:rsidRPr="004D3C61">
              <w:t>Amortization is reported as an expense each period on the income statement</w:t>
            </w:r>
            <w:r w:rsidR="00CC6672" w:rsidRPr="004D3C61">
              <w:t>.</w:t>
            </w:r>
          </w:p>
          <w:p w14:paraId="3A9CE12F" w14:textId="77777777" w:rsidR="00D37559" w:rsidRPr="004D3C61" w:rsidRDefault="00CC6672" w:rsidP="004D3C61">
            <w:pPr>
              <w:pStyle w:val="TableBody"/>
              <w:numPr>
                <w:ilvl w:val="0"/>
                <w:numId w:val="6"/>
              </w:numPr>
            </w:pPr>
            <w:r w:rsidRPr="004D3C61">
              <w:t xml:space="preserve">Amortization </w:t>
            </w:r>
            <w:r w:rsidR="004D3C61" w:rsidRPr="004D3C61">
              <w:t xml:space="preserve">is accumulated </w:t>
            </w:r>
            <w:r w:rsidRPr="004D3C61">
              <w:t>on the balance sheet</w:t>
            </w:r>
            <w:r w:rsidR="004D3C61" w:rsidRPr="004D3C61">
              <w:t xml:space="preserve"> in the cont</w:t>
            </w:r>
            <w:r w:rsidR="00BF4656">
              <w:t>r</w:t>
            </w:r>
            <w:r w:rsidR="004D3C61" w:rsidRPr="004D3C61">
              <w:t xml:space="preserve">a asset account, Accumulated Amortization. </w:t>
            </w:r>
          </w:p>
        </w:tc>
        <w:tc>
          <w:tcPr>
            <w:tcW w:w="2862" w:type="dxa"/>
            <w:tcBorders>
              <w:left w:val="single" w:sz="4" w:space="0" w:color="auto"/>
            </w:tcBorders>
          </w:tcPr>
          <w:p w14:paraId="2F779E65" w14:textId="77777777" w:rsidR="00D37559" w:rsidRDefault="00D37559" w:rsidP="00122122">
            <w:pPr>
              <w:pStyle w:val="TableBody"/>
            </w:pPr>
          </w:p>
        </w:tc>
      </w:tr>
    </w:tbl>
    <w:p w14:paraId="0DF4FEBE" w14:textId="77777777" w:rsidR="00CC6672" w:rsidRPr="00BC2B2D" w:rsidRDefault="00CC6672" w:rsidP="00CC6672">
      <w:pPr>
        <w:rPr>
          <w:sz w:val="4"/>
          <w:szCs w:val="4"/>
        </w:rPr>
      </w:pPr>
      <w:r>
        <w:br w:type="page"/>
      </w:r>
    </w:p>
    <w:tbl>
      <w:tblPr>
        <w:tblW w:w="0" w:type="auto"/>
        <w:tblLayout w:type="fixed"/>
        <w:tblLook w:val="01E0" w:firstRow="1" w:lastRow="1" w:firstColumn="1" w:lastColumn="1" w:noHBand="0" w:noVBand="0"/>
      </w:tblPr>
      <w:tblGrid>
        <w:gridCol w:w="6498"/>
        <w:gridCol w:w="2862"/>
      </w:tblGrid>
      <w:tr w:rsidR="00CC6672" w:rsidRPr="00CD480D" w14:paraId="564A6A09" w14:textId="77777777" w:rsidTr="00C6499E">
        <w:tc>
          <w:tcPr>
            <w:tcW w:w="6498" w:type="dxa"/>
            <w:tcBorders>
              <w:right w:val="single" w:sz="4" w:space="0" w:color="auto"/>
            </w:tcBorders>
          </w:tcPr>
          <w:p w14:paraId="0ADD7BA5" w14:textId="77777777" w:rsidR="00CC6672" w:rsidRPr="00507ED2" w:rsidRDefault="00CC6672" w:rsidP="00C6499E">
            <w:pPr>
              <w:pStyle w:val="Heading1"/>
              <w:rPr>
                <w:bCs/>
              </w:rPr>
            </w:pPr>
            <w:r>
              <w:rPr>
                <w:rFonts w:ascii="Times New Roman" w:hAnsi="Times New Roman"/>
                <w:b w:val="0"/>
                <w:kern w:val="0"/>
                <w:sz w:val="22"/>
                <w:u w:val="none"/>
              </w:rPr>
              <w:lastRenderedPageBreak/>
              <w:br w:type="page"/>
            </w:r>
            <w:r>
              <w:rPr>
                <w:rFonts w:ascii="Times New Roman" w:hAnsi="Times New Roman"/>
                <w:b w:val="0"/>
                <w:kern w:val="0"/>
                <w:sz w:val="22"/>
                <w:u w:val="none"/>
              </w:rPr>
              <w:br w:type="page"/>
            </w:r>
            <w:r>
              <w:t>Chapter Outline</w:t>
            </w:r>
          </w:p>
        </w:tc>
        <w:tc>
          <w:tcPr>
            <w:tcW w:w="2862" w:type="dxa"/>
            <w:tcBorders>
              <w:left w:val="single" w:sz="4" w:space="0" w:color="auto"/>
            </w:tcBorders>
          </w:tcPr>
          <w:p w14:paraId="6DDD1A64" w14:textId="77777777" w:rsidR="00CC6672" w:rsidRPr="00CD480D" w:rsidRDefault="00CC6672" w:rsidP="00C6499E">
            <w:pPr>
              <w:pStyle w:val="Heading1"/>
            </w:pPr>
            <w:r w:rsidRPr="00CD480D">
              <w:t>Teaching Notes</w:t>
            </w:r>
          </w:p>
        </w:tc>
      </w:tr>
      <w:tr w:rsidR="00880B25" w14:paraId="4E774221" w14:textId="77777777" w:rsidTr="00CD2C4D">
        <w:tc>
          <w:tcPr>
            <w:tcW w:w="6498" w:type="dxa"/>
            <w:tcBorders>
              <w:right w:val="single" w:sz="4" w:space="0" w:color="auto"/>
            </w:tcBorders>
          </w:tcPr>
          <w:p w14:paraId="7FD2B0E9" w14:textId="77777777" w:rsidR="00880B25" w:rsidRDefault="00896D1A" w:rsidP="00896D1A">
            <w:pPr>
              <w:pStyle w:val="TableBody"/>
              <w:ind w:left="1728" w:hanging="288"/>
            </w:pPr>
            <w:r>
              <w:t>ii</w:t>
            </w:r>
            <w:r w:rsidR="00880B25">
              <w:t>.</w:t>
            </w:r>
            <w:r w:rsidR="00880B25">
              <w:tab/>
              <w:t>Assume that amortization of $40</w:t>
            </w:r>
            <w:r>
              <w:t>,000</w:t>
            </w:r>
            <w:r w:rsidR="00880B25">
              <w:t xml:space="preserve"> is recorded.</w:t>
            </w:r>
          </w:p>
        </w:tc>
        <w:tc>
          <w:tcPr>
            <w:tcW w:w="2862" w:type="dxa"/>
            <w:tcBorders>
              <w:left w:val="single" w:sz="4" w:space="0" w:color="auto"/>
            </w:tcBorders>
          </w:tcPr>
          <w:p w14:paraId="50D9CC16" w14:textId="77777777" w:rsidR="00880B25" w:rsidRDefault="00880B25" w:rsidP="00CD2C4D">
            <w:pPr>
              <w:pStyle w:val="TableBody"/>
            </w:pPr>
          </w:p>
        </w:tc>
      </w:tr>
      <w:tr w:rsidR="00880B25" w14:paraId="55B02D92" w14:textId="77777777" w:rsidTr="00CD2C4D">
        <w:tc>
          <w:tcPr>
            <w:tcW w:w="6498" w:type="dxa"/>
            <w:tcBorders>
              <w:right w:val="single" w:sz="4" w:space="0" w:color="auto"/>
            </w:tcBorders>
            <w:vAlign w:val="center"/>
          </w:tcPr>
          <w:p w14:paraId="5030D988" w14:textId="77777777" w:rsidR="00880B25" w:rsidRPr="00896D1A" w:rsidRDefault="00896D1A" w:rsidP="00896D1A">
            <w:pPr>
              <w:pStyle w:val="TableBody"/>
              <w:numPr>
                <w:ilvl w:val="0"/>
                <w:numId w:val="6"/>
              </w:numPr>
            </w:pPr>
            <w:r w:rsidRPr="00896D1A">
              <w:t xml:space="preserve">Analyze </w:t>
            </w:r>
            <w:r w:rsidRPr="00896D1A">
              <w:rPr>
                <w:i/>
              </w:rPr>
              <w:t>(rounded to nearest thousand)</w:t>
            </w:r>
            <w:r w:rsidRPr="00896D1A">
              <w:t xml:space="preserve">: </w:t>
            </w:r>
            <w:r w:rsidR="00880B25" w:rsidRPr="00896D1A">
              <w:t xml:space="preserve"> </w:t>
            </w:r>
            <w:r w:rsidR="00880B25" w:rsidRPr="00896D1A">
              <w:tab/>
            </w:r>
            <w:r w:rsidR="00880B25" w:rsidRPr="00896D1A">
              <w:br/>
              <w:t>Assets = Liabilities + Stockholders’ Equity</w:t>
            </w:r>
            <w:r w:rsidR="00880B25" w:rsidRPr="00896D1A">
              <w:br/>
              <w:t xml:space="preserve">Accumulated </w:t>
            </w:r>
            <w:r w:rsidR="0057409B">
              <w:t xml:space="preserve">Amortization </w:t>
            </w:r>
            <w:r w:rsidR="00880B25" w:rsidRPr="00896D1A">
              <w:t>(xA) –</w:t>
            </w:r>
            <w:r w:rsidR="0057409B">
              <w:t>4</w:t>
            </w:r>
            <w:r w:rsidR="00880B25" w:rsidRPr="00896D1A">
              <w:t xml:space="preserve">0; </w:t>
            </w:r>
            <w:r w:rsidR="0057409B">
              <w:t xml:space="preserve">Amortization </w:t>
            </w:r>
            <w:r w:rsidR="00880B25" w:rsidRPr="00896D1A">
              <w:t>Expense (E) –</w:t>
            </w:r>
            <w:r w:rsidR="0057409B">
              <w:t>4</w:t>
            </w:r>
            <w:r w:rsidR="00880B25" w:rsidRPr="00896D1A">
              <w:t>0</w:t>
            </w:r>
          </w:p>
        </w:tc>
        <w:tc>
          <w:tcPr>
            <w:tcW w:w="2862" w:type="dxa"/>
            <w:tcBorders>
              <w:left w:val="single" w:sz="4" w:space="0" w:color="auto"/>
            </w:tcBorders>
          </w:tcPr>
          <w:p w14:paraId="7D1625AC" w14:textId="77777777" w:rsidR="00880B25" w:rsidRDefault="00880B25" w:rsidP="00CD2C4D">
            <w:pPr>
              <w:pStyle w:val="TableBody"/>
            </w:pPr>
          </w:p>
        </w:tc>
      </w:tr>
      <w:tr w:rsidR="00880B25" w14:paraId="16F186AB" w14:textId="77777777" w:rsidTr="00CD2C4D">
        <w:tc>
          <w:tcPr>
            <w:tcW w:w="6498" w:type="dxa"/>
            <w:tcBorders>
              <w:right w:val="single" w:sz="4" w:space="0" w:color="auto"/>
            </w:tcBorders>
          </w:tcPr>
          <w:p w14:paraId="62D11E11" w14:textId="77777777" w:rsidR="00880B25" w:rsidRDefault="00880B25" w:rsidP="00896D1A">
            <w:pPr>
              <w:pStyle w:val="TableBody"/>
              <w:numPr>
                <w:ilvl w:val="0"/>
                <w:numId w:val="6"/>
              </w:numPr>
            </w:pPr>
            <w:r>
              <w:t>Record:</w:t>
            </w:r>
          </w:p>
        </w:tc>
        <w:tc>
          <w:tcPr>
            <w:tcW w:w="2862" w:type="dxa"/>
            <w:tcBorders>
              <w:left w:val="single" w:sz="4" w:space="0" w:color="auto"/>
            </w:tcBorders>
          </w:tcPr>
          <w:p w14:paraId="0B7B5ED3" w14:textId="77777777" w:rsidR="00880B25" w:rsidRDefault="00880B25" w:rsidP="00CD2C4D">
            <w:pPr>
              <w:pStyle w:val="TableBody"/>
            </w:pPr>
          </w:p>
        </w:tc>
      </w:tr>
      <w:tr w:rsidR="00880B25" w14:paraId="346A86C4" w14:textId="77777777" w:rsidTr="00CD2C4D">
        <w:tc>
          <w:tcPr>
            <w:tcW w:w="6498" w:type="dxa"/>
            <w:tcBorders>
              <w:right w:val="single" w:sz="4" w:space="0" w:color="auto"/>
            </w:tcBorders>
          </w:tcPr>
          <w:tbl>
            <w:tblPr>
              <w:tblW w:w="4320" w:type="dxa"/>
              <w:tblInd w:w="2016" w:type="dxa"/>
              <w:tblLayout w:type="fixed"/>
              <w:tblLook w:val="04A0" w:firstRow="1" w:lastRow="0" w:firstColumn="1" w:lastColumn="0" w:noHBand="0" w:noVBand="1"/>
            </w:tblPr>
            <w:tblGrid>
              <w:gridCol w:w="3168"/>
              <w:gridCol w:w="576"/>
              <w:gridCol w:w="576"/>
            </w:tblGrid>
            <w:tr w:rsidR="00880B25" w14:paraId="354FDE60" w14:textId="77777777" w:rsidTr="00896D1A">
              <w:tc>
                <w:tcPr>
                  <w:tcW w:w="3168" w:type="dxa"/>
                </w:tcPr>
                <w:p w14:paraId="4AC80292" w14:textId="77777777" w:rsidR="00880B25" w:rsidRDefault="00896D1A" w:rsidP="00CD2C4D">
                  <w:pPr>
                    <w:pStyle w:val="TableBody"/>
                  </w:pPr>
                  <w:r>
                    <w:t xml:space="preserve">Amortization </w:t>
                  </w:r>
                  <w:r w:rsidR="00880B25">
                    <w:t xml:space="preserve">Expense </w:t>
                  </w:r>
                </w:p>
              </w:tc>
              <w:tc>
                <w:tcPr>
                  <w:tcW w:w="576" w:type="dxa"/>
                </w:tcPr>
                <w:p w14:paraId="76177A92" w14:textId="77777777" w:rsidR="00880B25" w:rsidRDefault="00896D1A" w:rsidP="00896D1A">
                  <w:pPr>
                    <w:pStyle w:val="TableBody"/>
                    <w:jc w:val="right"/>
                  </w:pPr>
                  <w:r>
                    <w:t>4</w:t>
                  </w:r>
                  <w:r w:rsidR="00880B25">
                    <w:t>0</w:t>
                  </w:r>
                </w:p>
              </w:tc>
              <w:tc>
                <w:tcPr>
                  <w:tcW w:w="576" w:type="dxa"/>
                </w:tcPr>
                <w:p w14:paraId="7DC62394" w14:textId="77777777" w:rsidR="00880B25" w:rsidRDefault="00880B25" w:rsidP="00CD2C4D">
                  <w:pPr>
                    <w:pStyle w:val="TableBody"/>
                    <w:jc w:val="right"/>
                  </w:pPr>
                </w:p>
              </w:tc>
            </w:tr>
            <w:tr w:rsidR="00880B25" w14:paraId="62B04CF9" w14:textId="77777777" w:rsidTr="00896D1A">
              <w:tc>
                <w:tcPr>
                  <w:tcW w:w="3168" w:type="dxa"/>
                </w:tcPr>
                <w:p w14:paraId="5412DB38" w14:textId="77777777" w:rsidR="00880B25" w:rsidRDefault="00880B25" w:rsidP="00896D1A">
                  <w:pPr>
                    <w:pStyle w:val="TableBody"/>
                  </w:pPr>
                  <w:r>
                    <w:t xml:space="preserve">   Accumulated </w:t>
                  </w:r>
                  <w:r w:rsidR="00896D1A">
                    <w:t>Amortization</w:t>
                  </w:r>
                  <w:r>
                    <w:t xml:space="preserve"> </w:t>
                  </w:r>
                </w:p>
              </w:tc>
              <w:tc>
                <w:tcPr>
                  <w:tcW w:w="576" w:type="dxa"/>
                </w:tcPr>
                <w:p w14:paraId="7270E515" w14:textId="77777777" w:rsidR="00880B25" w:rsidRDefault="00880B25" w:rsidP="00CD2C4D">
                  <w:pPr>
                    <w:pStyle w:val="TableBody"/>
                    <w:jc w:val="right"/>
                  </w:pPr>
                </w:p>
              </w:tc>
              <w:tc>
                <w:tcPr>
                  <w:tcW w:w="576" w:type="dxa"/>
                </w:tcPr>
                <w:p w14:paraId="70114C7D" w14:textId="77777777" w:rsidR="00880B25" w:rsidRDefault="00896D1A" w:rsidP="00896D1A">
                  <w:pPr>
                    <w:pStyle w:val="TableBody"/>
                    <w:jc w:val="right"/>
                  </w:pPr>
                  <w:r>
                    <w:t>4</w:t>
                  </w:r>
                  <w:r w:rsidR="00880B25">
                    <w:t>0</w:t>
                  </w:r>
                </w:p>
              </w:tc>
            </w:tr>
          </w:tbl>
          <w:p w14:paraId="2085C626" w14:textId="77777777" w:rsidR="00880B25" w:rsidRDefault="00880B25" w:rsidP="00CD2C4D">
            <w:pPr>
              <w:pStyle w:val="TableBody"/>
              <w:ind w:left="1728" w:hanging="288"/>
            </w:pPr>
          </w:p>
        </w:tc>
        <w:tc>
          <w:tcPr>
            <w:tcW w:w="2862" w:type="dxa"/>
            <w:tcBorders>
              <w:left w:val="single" w:sz="4" w:space="0" w:color="auto"/>
            </w:tcBorders>
          </w:tcPr>
          <w:p w14:paraId="470F638A" w14:textId="77777777" w:rsidR="00880B25" w:rsidRDefault="00880B25" w:rsidP="00CD2C4D">
            <w:pPr>
              <w:pStyle w:val="TableBody"/>
            </w:pPr>
          </w:p>
        </w:tc>
      </w:tr>
      <w:tr w:rsidR="00880B25" w14:paraId="39AFD3A0" w14:textId="77777777" w:rsidTr="00CD2C4D">
        <w:tc>
          <w:tcPr>
            <w:tcW w:w="6498" w:type="dxa"/>
            <w:tcBorders>
              <w:right w:val="single" w:sz="4" w:space="0" w:color="auto"/>
            </w:tcBorders>
          </w:tcPr>
          <w:p w14:paraId="75C0DAAD" w14:textId="1AD13AD2" w:rsidR="00880B25" w:rsidRPr="004D3C61" w:rsidRDefault="00896D1A" w:rsidP="00705596">
            <w:pPr>
              <w:pStyle w:val="TableBody"/>
              <w:tabs>
                <w:tab w:val="num" w:pos="2088"/>
              </w:tabs>
              <w:ind w:left="1800" w:hanging="360"/>
            </w:pPr>
            <w:r>
              <w:t>iii.</w:t>
            </w:r>
            <w:r>
              <w:tab/>
            </w:r>
            <w:r w:rsidR="00880B25" w:rsidRPr="004D3C61">
              <w:t>Intangibles with unlimited or indefinite live</w:t>
            </w:r>
            <w:r w:rsidR="002B6F4D">
              <w:t>s</w:t>
            </w:r>
            <w:r w:rsidR="00705596">
              <w:t xml:space="preserve"> (</w:t>
            </w:r>
            <w:r w:rsidR="002B6F4D">
              <w:t>trademarks and most goodwill)</w:t>
            </w:r>
            <w:r w:rsidR="00EE029E">
              <w:t>–</w:t>
            </w:r>
            <w:r w:rsidR="00EE029E" w:rsidRPr="00FE2A3F">
              <w:t>–</w:t>
            </w:r>
            <w:r w:rsidR="00880B25" w:rsidRPr="004D3C61">
              <w:t>Cost is not amortized.</w:t>
            </w:r>
          </w:p>
        </w:tc>
        <w:tc>
          <w:tcPr>
            <w:tcW w:w="2862" w:type="dxa"/>
            <w:tcBorders>
              <w:left w:val="single" w:sz="4" w:space="0" w:color="auto"/>
            </w:tcBorders>
          </w:tcPr>
          <w:p w14:paraId="02921803" w14:textId="77777777" w:rsidR="00880B25" w:rsidRDefault="00880B25" w:rsidP="00CD2C4D">
            <w:pPr>
              <w:pStyle w:val="TableBody"/>
            </w:pPr>
            <w:r w:rsidRPr="00DC54C7">
              <w:t xml:space="preserve">The “Spotlight on </w:t>
            </w:r>
            <w:r>
              <w:t>the World”</w:t>
            </w:r>
            <w:r w:rsidRPr="00DC54C7">
              <w:t xml:space="preserve"> feature addres</w:t>
            </w:r>
            <w:r>
              <w:t>ses differences between GAAP and IFRS.</w:t>
            </w:r>
          </w:p>
        </w:tc>
      </w:tr>
      <w:tr w:rsidR="004D3C61" w14:paraId="3BED9720" w14:textId="77777777">
        <w:tc>
          <w:tcPr>
            <w:tcW w:w="6498" w:type="dxa"/>
            <w:tcBorders>
              <w:right w:val="single" w:sz="4" w:space="0" w:color="auto"/>
            </w:tcBorders>
          </w:tcPr>
          <w:p w14:paraId="2956853C" w14:textId="571D3DF1" w:rsidR="004D3C61" w:rsidRPr="003D6861" w:rsidRDefault="004D3C61" w:rsidP="004D3C61">
            <w:pPr>
              <w:pStyle w:val="TableBody"/>
              <w:ind w:left="1440" w:hanging="288"/>
              <w:rPr>
                <w:szCs w:val="22"/>
              </w:rPr>
            </w:pPr>
            <w:r>
              <w:rPr>
                <w:szCs w:val="22"/>
              </w:rPr>
              <w:t>c</w:t>
            </w:r>
            <w:r w:rsidRPr="003D6861">
              <w:rPr>
                <w:szCs w:val="22"/>
              </w:rPr>
              <w:t>.</w:t>
            </w:r>
            <w:r w:rsidRPr="003D6861">
              <w:rPr>
                <w:szCs w:val="22"/>
              </w:rPr>
              <w:tab/>
              <w:t>Disposal</w:t>
            </w:r>
            <w:r>
              <w:rPr>
                <w:szCs w:val="22"/>
              </w:rPr>
              <w:t xml:space="preserve"> </w:t>
            </w:r>
            <w:r w:rsidRPr="003D6861">
              <w:rPr>
                <w:szCs w:val="22"/>
              </w:rPr>
              <w:t>of intangible assets</w:t>
            </w:r>
            <w:r w:rsidR="00EE029E">
              <w:t>–</w:t>
            </w:r>
            <w:r w:rsidR="00EE029E" w:rsidRPr="00FE2A3F">
              <w:t>–</w:t>
            </w:r>
            <w:r>
              <w:rPr>
                <w:szCs w:val="22"/>
              </w:rPr>
              <w:t>R</w:t>
            </w:r>
            <w:r w:rsidRPr="003D6861">
              <w:rPr>
                <w:szCs w:val="22"/>
              </w:rPr>
              <w:t>esult</w:t>
            </w:r>
            <w:r>
              <w:rPr>
                <w:szCs w:val="22"/>
              </w:rPr>
              <w:t>s</w:t>
            </w:r>
            <w:r w:rsidRPr="003D6861">
              <w:rPr>
                <w:szCs w:val="22"/>
              </w:rPr>
              <w:t xml:space="preserve"> in gains (or losses) if the amounts received on disposal are greater than (less than) their book values.</w:t>
            </w:r>
          </w:p>
        </w:tc>
        <w:tc>
          <w:tcPr>
            <w:tcW w:w="2862" w:type="dxa"/>
            <w:tcBorders>
              <w:left w:val="single" w:sz="4" w:space="0" w:color="auto"/>
            </w:tcBorders>
          </w:tcPr>
          <w:p w14:paraId="77420CAF" w14:textId="77777777" w:rsidR="004D3C61" w:rsidRDefault="004D3C61" w:rsidP="00122122">
            <w:pPr>
              <w:pStyle w:val="TableBody"/>
            </w:pPr>
          </w:p>
        </w:tc>
      </w:tr>
      <w:tr w:rsidR="004D3C61" w14:paraId="0F7DAE08" w14:textId="77777777">
        <w:tc>
          <w:tcPr>
            <w:tcW w:w="6498" w:type="dxa"/>
            <w:tcBorders>
              <w:right w:val="single" w:sz="4" w:space="0" w:color="auto"/>
            </w:tcBorders>
          </w:tcPr>
          <w:p w14:paraId="24CB82B7" w14:textId="77777777" w:rsidR="004D3C61" w:rsidRPr="0007436D" w:rsidRDefault="004D3C61" w:rsidP="0007436D">
            <w:pPr>
              <w:pStyle w:val="TableBody"/>
            </w:pPr>
            <w:r>
              <w:t>III.</w:t>
            </w:r>
            <w:r>
              <w:tab/>
            </w:r>
            <w:r>
              <w:tab/>
              <w:t>Evaluate the Results</w:t>
            </w:r>
            <w:r w:rsidRPr="0007436D">
              <w:tab/>
            </w:r>
          </w:p>
        </w:tc>
        <w:tc>
          <w:tcPr>
            <w:tcW w:w="2862" w:type="dxa"/>
            <w:tcBorders>
              <w:left w:val="single" w:sz="4" w:space="0" w:color="auto"/>
            </w:tcBorders>
          </w:tcPr>
          <w:p w14:paraId="2E626306" w14:textId="77777777" w:rsidR="004D3C61" w:rsidRDefault="004D3C61" w:rsidP="00122122">
            <w:pPr>
              <w:pStyle w:val="TableBody"/>
            </w:pPr>
          </w:p>
        </w:tc>
      </w:tr>
      <w:tr w:rsidR="004D3C61" w:rsidRPr="005C4337" w14:paraId="44614DEC" w14:textId="77777777" w:rsidTr="00C6499E">
        <w:tc>
          <w:tcPr>
            <w:tcW w:w="9360" w:type="dxa"/>
            <w:gridSpan w:val="2"/>
            <w:tcBorders>
              <w:top w:val="single" w:sz="4" w:space="0" w:color="auto"/>
              <w:left w:val="single" w:sz="4" w:space="0" w:color="auto"/>
              <w:bottom w:val="single" w:sz="4" w:space="0" w:color="auto"/>
              <w:right w:val="single" w:sz="4" w:space="0" w:color="auto"/>
            </w:tcBorders>
          </w:tcPr>
          <w:p w14:paraId="638A1C01" w14:textId="17DE1827" w:rsidR="004D3C61" w:rsidRPr="005C4337" w:rsidRDefault="004D3C61" w:rsidP="00400842">
            <w:pPr>
              <w:pStyle w:val="TableBody"/>
              <w:spacing w:before="60" w:after="60"/>
              <w:rPr>
                <w:b/>
                <w:i/>
              </w:rPr>
            </w:pPr>
            <w:r w:rsidRPr="005C4337">
              <w:rPr>
                <w:b/>
                <w:i/>
              </w:rPr>
              <w:t xml:space="preserve">LO </w:t>
            </w:r>
            <w:r w:rsidRPr="00C45729">
              <w:rPr>
                <w:b/>
                <w:bCs/>
                <w:i/>
              </w:rPr>
              <w:t>9-</w:t>
            </w:r>
            <w:r w:rsidRPr="005C4337">
              <w:rPr>
                <w:b/>
                <w:i/>
              </w:rPr>
              <w:t>7 Interpret the fixed asset turnover ratio.</w:t>
            </w:r>
          </w:p>
        </w:tc>
      </w:tr>
      <w:tr w:rsidR="004D3C61" w14:paraId="419CB3DC" w14:textId="77777777" w:rsidTr="002D2059">
        <w:tc>
          <w:tcPr>
            <w:tcW w:w="6498" w:type="dxa"/>
            <w:tcBorders>
              <w:right w:val="single" w:sz="4" w:space="0" w:color="auto"/>
            </w:tcBorders>
          </w:tcPr>
          <w:p w14:paraId="63F71E5D" w14:textId="77777777" w:rsidR="004D3C61" w:rsidRPr="003D6861" w:rsidRDefault="004D3C61" w:rsidP="002D2059">
            <w:pPr>
              <w:pStyle w:val="TableBody"/>
              <w:ind w:left="864" w:hanging="288"/>
              <w:rPr>
                <w:szCs w:val="22"/>
              </w:rPr>
            </w:pPr>
            <w:r>
              <w:rPr>
                <w:szCs w:val="22"/>
              </w:rPr>
              <w:t>A</w:t>
            </w:r>
            <w:r w:rsidRPr="003D6861">
              <w:rPr>
                <w:szCs w:val="22"/>
              </w:rPr>
              <w:t>.</w:t>
            </w:r>
            <w:r w:rsidRPr="003D6861">
              <w:rPr>
                <w:szCs w:val="22"/>
              </w:rPr>
              <w:tab/>
              <w:t>Turnover Analysis</w:t>
            </w:r>
          </w:p>
        </w:tc>
        <w:tc>
          <w:tcPr>
            <w:tcW w:w="2862" w:type="dxa"/>
            <w:tcBorders>
              <w:left w:val="single" w:sz="4" w:space="0" w:color="auto"/>
            </w:tcBorders>
          </w:tcPr>
          <w:p w14:paraId="1A54C881" w14:textId="77777777" w:rsidR="004D3C61" w:rsidRDefault="004D3C61" w:rsidP="00122122">
            <w:pPr>
              <w:pStyle w:val="TableBody"/>
            </w:pPr>
          </w:p>
        </w:tc>
      </w:tr>
      <w:tr w:rsidR="004D3C61" w14:paraId="0EB85ED5" w14:textId="77777777" w:rsidTr="002D2059">
        <w:tc>
          <w:tcPr>
            <w:tcW w:w="6498" w:type="dxa"/>
            <w:tcBorders>
              <w:right w:val="single" w:sz="4" w:space="0" w:color="auto"/>
            </w:tcBorders>
          </w:tcPr>
          <w:p w14:paraId="33ACE533" w14:textId="77777777" w:rsidR="004D3C61" w:rsidRPr="003D6861" w:rsidRDefault="004D3C61" w:rsidP="003D6861">
            <w:pPr>
              <w:pStyle w:val="TableBody"/>
              <w:ind w:left="1152" w:hanging="288"/>
              <w:rPr>
                <w:szCs w:val="22"/>
              </w:rPr>
            </w:pPr>
            <w:r w:rsidRPr="003D6861">
              <w:rPr>
                <w:szCs w:val="22"/>
              </w:rPr>
              <w:t>1.</w:t>
            </w:r>
            <w:r w:rsidRPr="003D6861">
              <w:rPr>
                <w:szCs w:val="22"/>
              </w:rPr>
              <w:tab/>
              <w:t>The fixed asset turnover ratio measures the sales dollars generated by each dollar invested in (tangible) fixed assets.</w:t>
            </w:r>
          </w:p>
        </w:tc>
        <w:tc>
          <w:tcPr>
            <w:tcW w:w="2862" w:type="dxa"/>
            <w:tcBorders>
              <w:left w:val="single" w:sz="4" w:space="0" w:color="auto"/>
            </w:tcBorders>
          </w:tcPr>
          <w:p w14:paraId="0AE1AD0C" w14:textId="77777777" w:rsidR="004D3C61" w:rsidRDefault="004D3C61" w:rsidP="001E7984">
            <w:pPr>
              <w:pStyle w:val="TableBody"/>
            </w:pPr>
          </w:p>
        </w:tc>
      </w:tr>
      <w:tr w:rsidR="004D3C61" w14:paraId="6D693800" w14:textId="77777777">
        <w:tc>
          <w:tcPr>
            <w:tcW w:w="6498" w:type="dxa"/>
            <w:tcBorders>
              <w:right w:val="single" w:sz="4" w:space="0" w:color="auto"/>
            </w:tcBorders>
          </w:tcPr>
          <w:p w14:paraId="521AD111" w14:textId="77777777" w:rsidR="004D3C61" w:rsidRPr="003D6861" w:rsidRDefault="004D3C61" w:rsidP="009E520B">
            <w:pPr>
              <w:pStyle w:val="TableBody"/>
              <w:ind w:left="1152" w:hanging="288"/>
              <w:rPr>
                <w:szCs w:val="22"/>
              </w:rPr>
            </w:pPr>
            <w:r w:rsidRPr="003D6861">
              <w:rPr>
                <w:szCs w:val="22"/>
              </w:rPr>
              <w:t>2.</w:t>
            </w:r>
            <w:r w:rsidRPr="003D6861">
              <w:rPr>
                <w:szCs w:val="22"/>
              </w:rPr>
              <w:tab/>
            </w:r>
            <w:r w:rsidRPr="002D2059">
              <w:rPr>
                <w:szCs w:val="22"/>
              </w:rPr>
              <w:t>Fixed Asset Turnover Ratio</w:t>
            </w:r>
            <w:r w:rsidRPr="003D6861">
              <w:rPr>
                <w:szCs w:val="22"/>
              </w:rPr>
              <w:t xml:space="preserve"> = Net Sales Revenue </w:t>
            </w:r>
            <w:r w:rsidR="009E520B">
              <w:rPr>
                <w:rFonts w:eastAsia="SimSun"/>
                <w:szCs w:val="22"/>
                <w:lang w:eastAsia="zh-CN"/>
              </w:rPr>
              <w:t xml:space="preserve">÷ </w:t>
            </w:r>
            <w:r w:rsidRPr="003D6861">
              <w:rPr>
                <w:szCs w:val="22"/>
              </w:rPr>
              <w:t>Average Net Fixed Assets.</w:t>
            </w:r>
          </w:p>
        </w:tc>
        <w:tc>
          <w:tcPr>
            <w:tcW w:w="2862" w:type="dxa"/>
            <w:tcBorders>
              <w:left w:val="single" w:sz="4" w:space="0" w:color="auto"/>
            </w:tcBorders>
          </w:tcPr>
          <w:p w14:paraId="69D36226" w14:textId="77777777" w:rsidR="004D3C61" w:rsidRDefault="004D3C61" w:rsidP="00122122">
            <w:pPr>
              <w:pStyle w:val="TableBody"/>
            </w:pPr>
          </w:p>
        </w:tc>
      </w:tr>
      <w:tr w:rsidR="000E35C4" w14:paraId="09AE8173" w14:textId="77777777">
        <w:tc>
          <w:tcPr>
            <w:tcW w:w="6498" w:type="dxa"/>
            <w:tcBorders>
              <w:right w:val="single" w:sz="4" w:space="0" w:color="auto"/>
            </w:tcBorders>
          </w:tcPr>
          <w:p w14:paraId="78963CED" w14:textId="77777777" w:rsidR="000E35C4" w:rsidRPr="003D6861" w:rsidRDefault="000E35C4" w:rsidP="000E35C4">
            <w:pPr>
              <w:pStyle w:val="TableBody"/>
              <w:ind w:left="1152" w:hanging="288"/>
              <w:rPr>
                <w:szCs w:val="22"/>
              </w:rPr>
            </w:pPr>
            <w:r>
              <w:rPr>
                <w:szCs w:val="22"/>
              </w:rPr>
              <w:t>3.</w:t>
            </w:r>
            <w:r>
              <w:rPr>
                <w:szCs w:val="22"/>
              </w:rPr>
              <w:tab/>
              <w:t xml:space="preserve">Average net fixed assets equals sum of beginning and ending balances (net of accumulated depreciation) divided by 2. </w:t>
            </w:r>
          </w:p>
        </w:tc>
        <w:tc>
          <w:tcPr>
            <w:tcW w:w="2862" w:type="dxa"/>
            <w:tcBorders>
              <w:left w:val="single" w:sz="4" w:space="0" w:color="auto"/>
            </w:tcBorders>
          </w:tcPr>
          <w:p w14:paraId="36AC43B7" w14:textId="77777777" w:rsidR="000E35C4" w:rsidRDefault="000E35C4" w:rsidP="00122122">
            <w:pPr>
              <w:pStyle w:val="TableBody"/>
            </w:pPr>
          </w:p>
        </w:tc>
      </w:tr>
      <w:tr w:rsidR="004D3C61" w14:paraId="292FD2C6" w14:textId="77777777">
        <w:tc>
          <w:tcPr>
            <w:tcW w:w="6498" w:type="dxa"/>
            <w:tcBorders>
              <w:right w:val="single" w:sz="4" w:space="0" w:color="auto"/>
            </w:tcBorders>
          </w:tcPr>
          <w:p w14:paraId="06A8D493" w14:textId="77777777" w:rsidR="004D3C61" w:rsidRPr="003D6861" w:rsidRDefault="000E35C4" w:rsidP="00920A53">
            <w:pPr>
              <w:pStyle w:val="TableBody"/>
              <w:ind w:left="1152" w:hanging="288"/>
              <w:rPr>
                <w:szCs w:val="22"/>
              </w:rPr>
            </w:pPr>
            <w:r>
              <w:rPr>
                <w:szCs w:val="22"/>
              </w:rPr>
              <w:t>4</w:t>
            </w:r>
            <w:r w:rsidR="004D3C61" w:rsidRPr="003D6861">
              <w:rPr>
                <w:szCs w:val="22"/>
              </w:rPr>
              <w:t>.</w:t>
            </w:r>
            <w:r w:rsidR="004D3C61" w:rsidRPr="003D6861">
              <w:rPr>
                <w:szCs w:val="22"/>
              </w:rPr>
              <w:tab/>
              <w:t xml:space="preserve">A higher </w:t>
            </w:r>
            <w:r w:rsidR="00920A53" w:rsidRPr="003D6861">
              <w:rPr>
                <w:szCs w:val="22"/>
              </w:rPr>
              <w:t xml:space="preserve">fixed asset turnover ratio </w:t>
            </w:r>
            <w:r w:rsidR="004D3C61" w:rsidRPr="003D6861">
              <w:rPr>
                <w:szCs w:val="22"/>
              </w:rPr>
              <w:t>implies greater efficiency.</w:t>
            </w:r>
          </w:p>
        </w:tc>
        <w:tc>
          <w:tcPr>
            <w:tcW w:w="2862" w:type="dxa"/>
            <w:tcBorders>
              <w:left w:val="single" w:sz="4" w:space="0" w:color="auto"/>
            </w:tcBorders>
          </w:tcPr>
          <w:p w14:paraId="15EFBCEF" w14:textId="77777777" w:rsidR="004D3C61" w:rsidRDefault="004D3C61" w:rsidP="00122122">
            <w:pPr>
              <w:pStyle w:val="TableBody"/>
            </w:pPr>
          </w:p>
        </w:tc>
      </w:tr>
      <w:tr w:rsidR="004D3C61" w:rsidRPr="005C4337" w14:paraId="1AAE98BA" w14:textId="77777777" w:rsidTr="00C6499E">
        <w:tc>
          <w:tcPr>
            <w:tcW w:w="9360" w:type="dxa"/>
            <w:gridSpan w:val="2"/>
            <w:tcBorders>
              <w:top w:val="single" w:sz="4" w:space="0" w:color="auto"/>
              <w:left w:val="single" w:sz="4" w:space="0" w:color="auto"/>
              <w:bottom w:val="single" w:sz="4" w:space="0" w:color="auto"/>
              <w:right w:val="single" w:sz="4" w:space="0" w:color="auto"/>
            </w:tcBorders>
          </w:tcPr>
          <w:p w14:paraId="2AB5C761" w14:textId="3E513C3A" w:rsidR="004D3C61" w:rsidRPr="005C4337" w:rsidRDefault="004D3C61" w:rsidP="00400842">
            <w:pPr>
              <w:pStyle w:val="TableBody"/>
              <w:spacing w:before="60" w:after="60"/>
              <w:rPr>
                <w:b/>
                <w:i/>
              </w:rPr>
            </w:pPr>
            <w:r w:rsidRPr="005C4337">
              <w:rPr>
                <w:b/>
                <w:i/>
              </w:rPr>
              <w:t xml:space="preserve">LO </w:t>
            </w:r>
            <w:r w:rsidRPr="00C45729">
              <w:rPr>
                <w:b/>
                <w:bCs/>
                <w:i/>
              </w:rPr>
              <w:t>9-</w:t>
            </w:r>
            <w:r w:rsidRPr="005C4337">
              <w:rPr>
                <w:b/>
                <w:i/>
              </w:rPr>
              <w:t>8 Describe factors to consider when comparing companies’ long-lived assets.</w:t>
            </w:r>
          </w:p>
        </w:tc>
      </w:tr>
      <w:tr w:rsidR="004D3C61" w14:paraId="121CF835" w14:textId="77777777" w:rsidTr="002D2059">
        <w:tc>
          <w:tcPr>
            <w:tcW w:w="6498" w:type="dxa"/>
            <w:tcBorders>
              <w:right w:val="single" w:sz="4" w:space="0" w:color="auto"/>
            </w:tcBorders>
          </w:tcPr>
          <w:p w14:paraId="3725CBCC" w14:textId="77777777" w:rsidR="004D3C61" w:rsidRPr="003D6861" w:rsidRDefault="004D3C61" w:rsidP="002D2059">
            <w:pPr>
              <w:autoSpaceDE w:val="0"/>
              <w:autoSpaceDN w:val="0"/>
              <w:adjustRightInd w:val="0"/>
              <w:ind w:left="576"/>
              <w:rPr>
                <w:rFonts w:ascii="Interstate-Regular" w:eastAsia="SimSun" w:hAnsi="Interstate-Regular" w:cs="Interstate-Regular"/>
                <w:color w:val="000000"/>
                <w:sz w:val="20"/>
                <w:lang w:eastAsia="zh-CN"/>
              </w:rPr>
            </w:pPr>
            <w:r>
              <w:t>B</w:t>
            </w:r>
            <w:r w:rsidRPr="0007436D">
              <w:t>.</w:t>
            </w:r>
            <w:r>
              <w:tab/>
            </w:r>
            <w:r>
              <w:rPr>
                <w:rFonts w:eastAsia="SimSun"/>
                <w:lang w:eastAsia="zh-CN"/>
              </w:rPr>
              <w:t>The Impact of Depreciation Differences</w:t>
            </w:r>
          </w:p>
        </w:tc>
        <w:tc>
          <w:tcPr>
            <w:tcW w:w="2862" w:type="dxa"/>
            <w:tcBorders>
              <w:left w:val="single" w:sz="4" w:space="0" w:color="auto"/>
            </w:tcBorders>
          </w:tcPr>
          <w:p w14:paraId="40081BBD" w14:textId="77777777" w:rsidR="004D3C61" w:rsidRDefault="004D3C61" w:rsidP="00122122">
            <w:pPr>
              <w:pStyle w:val="TableBody"/>
            </w:pPr>
          </w:p>
        </w:tc>
      </w:tr>
      <w:tr w:rsidR="004D3C61" w14:paraId="0E9C5C42" w14:textId="77777777" w:rsidTr="002D2059">
        <w:tc>
          <w:tcPr>
            <w:tcW w:w="6498" w:type="dxa"/>
            <w:tcBorders>
              <w:right w:val="single" w:sz="4" w:space="0" w:color="auto"/>
            </w:tcBorders>
          </w:tcPr>
          <w:p w14:paraId="7C6AB4DC" w14:textId="77777777" w:rsidR="004D3C61" w:rsidRPr="003D6861" w:rsidRDefault="004D3C61" w:rsidP="00497B89">
            <w:pPr>
              <w:pStyle w:val="TableBody"/>
              <w:ind w:left="1152" w:hanging="288"/>
              <w:rPr>
                <w:szCs w:val="22"/>
              </w:rPr>
            </w:pPr>
            <w:r>
              <w:rPr>
                <w:szCs w:val="22"/>
              </w:rPr>
              <w:t>1.</w:t>
            </w:r>
            <w:r>
              <w:rPr>
                <w:szCs w:val="22"/>
              </w:rPr>
              <w:tab/>
            </w:r>
            <w:r w:rsidRPr="003D6861">
              <w:rPr>
                <w:szCs w:val="22"/>
              </w:rPr>
              <w:t>Depreciation</w:t>
            </w:r>
            <w:r>
              <w:rPr>
                <w:szCs w:val="22"/>
              </w:rPr>
              <w:t xml:space="preserve"> </w:t>
            </w:r>
            <w:r w:rsidRPr="003D6861">
              <w:rPr>
                <w:szCs w:val="22"/>
              </w:rPr>
              <w:t>can vary from one company to the next</w:t>
            </w:r>
            <w:r>
              <w:rPr>
                <w:szCs w:val="22"/>
              </w:rPr>
              <w:t>.</w:t>
            </w:r>
          </w:p>
        </w:tc>
        <w:tc>
          <w:tcPr>
            <w:tcW w:w="2862" w:type="dxa"/>
            <w:tcBorders>
              <w:left w:val="single" w:sz="4" w:space="0" w:color="auto"/>
            </w:tcBorders>
          </w:tcPr>
          <w:p w14:paraId="24A95130" w14:textId="77777777" w:rsidR="004D3C61" w:rsidRDefault="004D3C61" w:rsidP="00497B89">
            <w:pPr>
              <w:pStyle w:val="TableBody"/>
            </w:pPr>
            <w:r>
              <w:t>Illustrated in Exhibit 9.6</w:t>
            </w:r>
          </w:p>
        </w:tc>
      </w:tr>
      <w:tr w:rsidR="004D3C61" w14:paraId="023AE128" w14:textId="77777777">
        <w:tc>
          <w:tcPr>
            <w:tcW w:w="6498" w:type="dxa"/>
            <w:tcBorders>
              <w:right w:val="single" w:sz="4" w:space="0" w:color="auto"/>
            </w:tcBorders>
          </w:tcPr>
          <w:p w14:paraId="1F8BFDD6" w14:textId="77777777" w:rsidR="004D3C61" w:rsidRPr="003D6861" w:rsidRDefault="004D3C61" w:rsidP="00497B89">
            <w:pPr>
              <w:pStyle w:val="TableBody"/>
              <w:ind w:left="1440" w:hanging="288"/>
              <w:rPr>
                <w:szCs w:val="22"/>
              </w:rPr>
            </w:pPr>
            <w:r>
              <w:rPr>
                <w:szCs w:val="22"/>
              </w:rPr>
              <w:t>a</w:t>
            </w:r>
            <w:r w:rsidRPr="003D6861">
              <w:rPr>
                <w:szCs w:val="22"/>
              </w:rPr>
              <w:t>.</w:t>
            </w:r>
            <w:r w:rsidRPr="003D6861">
              <w:rPr>
                <w:szCs w:val="22"/>
              </w:rPr>
              <w:tab/>
              <w:t xml:space="preserve">Even if the two companies </w:t>
            </w:r>
            <w:r>
              <w:rPr>
                <w:szCs w:val="22"/>
              </w:rPr>
              <w:t xml:space="preserve">are otherwise </w:t>
            </w:r>
            <w:r w:rsidRPr="003D6861">
              <w:rPr>
                <w:szCs w:val="22"/>
              </w:rPr>
              <w:t>the same</w:t>
            </w:r>
            <w:r>
              <w:rPr>
                <w:szCs w:val="22"/>
              </w:rPr>
              <w:t xml:space="preserve">, </w:t>
            </w:r>
            <w:r w:rsidRPr="003D6861">
              <w:rPr>
                <w:szCs w:val="22"/>
              </w:rPr>
              <w:t xml:space="preserve">the reported net income will differ each year </w:t>
            </w:r>
            <w:r>
              <w:rPr>
                <w:szCs w:val="22"/>
              </w:rPr>
              <w:t xml:space="preserve">if </w:t>
            </w:r>
            <w:r w:rsidRPr="003D6861">
              <w:rPr>
                <w:szCs w:val="22"/>
              </w:rPr>
              <w:t>the two companies use different (but equally acceptable) methods of depreciation.</w:t>
            </w:r>
          </w:p>
        </w:tc>
        <w:tc>
          <w:tcPr>
            <w:tcW w:w="2862" w:type="dxa"/>
            <w:tcBorders>
              <w:left w:val="single" w:sz="4" w:space="0" w:color="auto"/>
            </w:tcBorders>
          </w:tcPr>
          <w:p w14:paraId="5895B483" w14:textId="77777777" w:rsidR="004D3C61" w:rsidRDefault="004D3C61" w:rsidP="00C6499E">
            <w:pPr>
              <w:pStyle w:val="TableBody"/>
            </w:pPr>
          </w:p>
        </w:tc>
      </w:tr>
      <w:tr w:rsidR="004D3C61" w14:paraId="32EFCB4A" w14:textId="77777777">
        <w:tc>
          <w:tcPr>
            <w:tcW w:w="6498" w:type="dxa"/>
            <w:tcBorders>
              <w:right w:val="single" w:sz="4" w:space="0" w:color="auto"/>
            </w:tcBorders>
          </w:tcPr>
          <w:p w14:paraId="27DC6DA9" w14:textId="77777777" w:rsidR="004D3C61" w:rsidRPr="00945938" w:rsidRDefault="004D3C61" w:rsidP="00497B89">
            <w:pPr>
              <w:pStyle w:val="TableBody"/>
              <w:ind w:left="1728" w:hanging="288"/>
              <w:rPr>
                <w:szCs w:val="22"/>
              </w:rPr>
            </w:pPr>
            <w:r>
              <w:rPr>
                <w:szCs w:val="22"/>
              </w:rPr>
              <w:t>i.</w:t>
            </w:r>
            <w:r>
              <w:rPr>
                <w:szCs w:val="22"/>
              </w:rPr>
              <w:tab/>
              <w:t xml:space="preserve">These differences </w:t>
            </w:r>
            <w:r w:rsidRPr="00497B89">
              <w:rPr>
                <w:szCs w:val="22"/>
              </w:rPr>
              <w:t>in depreciation affect more than just depreciation expense</w:t>
            </w:r>
            <w:r>
              <w:rPr>
                <w:szCs w:val="22"/>
              </w:rPr>
              <w:t xml:space="preserve">; a different gain/loss on disposal may also be </w:t>
            </w:r>
            <w:r w:rsidRPr="00945938">
              <w:rPr>
                <w:szCs w:val="22"/>
              </w:rPr>
              <w:t>reported on the income statement</w:t>
            </w:r>
            <w:r>
              <w:rPr>
                <w:szCs w:val="22"/>
              </w:rPr>
              <w:t>.</w:t>
            </w:r>
          </w:p>
        </w:tc>
        <w:tc>
          <w:tcPr>
            <w:tcW w:w="2862" w:type="dxa"/>
            <w:tcBorders>
              <w:left w:val="single" w:sz="4" w:space="0" w:color="auto"/>
            </w:tcBorders>
          </w:tcPr>
          <w:p w14:paraId="4E67B3BA" w14:textId="77777777" w:rsidR="004D3C61" w:rsidRDefault="004D3C61" w:rsidP="00C6499E">
            <w:pPr>
              <w:pStyle w:val="TableBody"/>
            </w:pPr>
            <w:r>
              <w:t>Illustrated in Exhibit 9.7</w:t>
            </w:r>
          </w:p>
          <w:p w14:paraId="7B66D469" w14:textId="77777777" w:rsidR="004D3C61" w:rsidRDefault="004D3C61" w:rsidP="00C6499E">
            <w:pPr>
              <w:pStyle w:val="TableBody"/>
            </w:pPr>
          </w:p>
        </w:tc>
      </w:tr>
      <w:tr w:rsidR="004D3C61" w14:paraId="2848ACD6" w14:textId="77777777">
        <w:tc>
          <w:tcPr>
            <w:tcW w:w="6498" w:type="dxa"/>
            <w:tcBorders>
              <w:right w:val="single" w:sz="4" w:space="0" w:color="auto"/>
            </w:tcBorders>
          </w:tcPr>
          <w:p w14:paraId="34569533" w14:textId="77777777" w:rsidR="004D3C61" w:rsidRDefault="004D3C61" w:rsidP="00497B89">
            <w:pPr>
              <w:pStyle w:val="TableBody"/>
              <w:ind w:left="1728" w:hanging="288"/>
              <w:rPr>
                <w:szCs w:val="22"/>
              </w:rPr>
            </w:pPr>
            <w:r>
              <w:rPr>
                <w:szCs w:val="22"/>
              </w:rPr>
              <w:t>ii.</w:t>
            </w:r>
            <w:r>
              <w:rPr>
                <w:szCs w:val="22"/>
              </w:rPr>
              <w:tab/>
              <w:t>A</w:t>
            </w:r>
            <w:r w:rsidRPr="00497B89">
              <w:rPr>
                <w:szCs w:val="22"/>
              </w:rPr>
              <w:t>ny gain or loss on disposal that is</w:t>
            </w:r>
            <w:r>
              <w:rPr>
                <w:szCs w:val="22"/>
              </w:rPr>
              <w:t xml:space="preserve"> </w:t>
            </w:r>
            <w:r w:rsidRPr="00497B89">
              <w:rPr>
                <w:szCs w:val="22"/>
              </w:rPr>
              <w:t>reported on the income statement tells you as much about the method used to depreciate</w:t>
            </w:r>
            <w:r>
              <w:rPr>
                <w:szCs w:val="22"/>
              </w:rPr>
              <w:t xml:space="preserve"> </w:t>
            </w:r>
            <w:r w:rsidRPr="00497B89">
              <w:rPr>
                <w:szCs w:val="22"/>
              </w:rPr>
              <w:t>the asset as about management’s apparent ability to successfully negotiate the sale of</w:t>
            </w:r>
            <w:r>
              <w:rPr>
                <w:szCs w:val="22"/>
              </w:rPr>
              <w:t xml:space="preserve"> </w:t>
            </w:r>
            <w:r w:rsidRPr="00497B89">
              <w:rPr>
                <w:szCs w:val="22"/>
              </w:rPr>
              <w:t>long-lived assets</w:t>
            </w:r>
            <w:r>
              <w:rPr>
                <w:szCs w:val="22"/>
              </w:rPr>
              <w:t>.</w:t>
            </w:r>
          </w:p>
        </w:tc>
        <w:tc>
          <w:tcPr>
            <w:tcW w:w="2862" w:type="dxa"/>
            <w:tcBorders>
              <w:left w:val="single" w:sz="4" w:space="0" w:color="auto"/>
            </w:tcBorders>
          </w:tcPr>
          <w:p w14:paraId="78A68BA8" w14:textId="77777777" w:rsidR="004D3C61" w:rsidRDefault="004D3C61" w:rsidP="00C6499E">
            <w:pPr>
              <w:pStyle w:val="TableBody"/>
            </w:pPr>
          </w:p>
        </w:tc>
      </w:tr>
    </w:tbl>
    <w:p w14:paraId="071B4A83" w14:textId="77777777" w:rsidR="00935C8F" w:rsidRPr="00BC2B2D" w:rsidRDefault="00497B89" w:rsidP="00935C8F">
      <w:pPr>
        <w:rPr>
          <w:sz w:val="4"/>
          <w:szCs w:val="4"/>
        </w:rPr>
      </w:pPr>
      <w:r>
        <w:br w:type="page"/>
      </w:r>
    </w:p>
    <w:tbl>
      <w:tblPr>
        <w:tblW w:w="0" w:type="auto"/>
        <w:tblLayout w:type="fixed"/>
        <w:tblLook w:val="01E0" w:firstRow="1" w:lastRow="1" w:firstColumn="1" w:lastColumn="1" w:noHBand="0" w:noVBand="0"/>
      </w:tblPr>
      <w:tblGrid>
        <w:gridCol w:w="6498"/>
        <w:gridCol w:w="2862"/>
      </w:tblGrid>
      <w:tr w:rsidR="00935C8F" w:rsidRPr="00CD480D" w14:paraId="3EC81AD6" w14:textId="77777777" w:rsidTr="00C6499E">
        <w:tc>
          <w:tcPr>
            <w:tcW w:w="6498" w:type="dxa"/>
            <w:tcBorders>
              <w:right w:val="single" w:sz="4" w:space="0" w:color="auto"/>
            </w:tcBorders>
          </w:tcPr>
          <w:p w14:paraId="3D0642FB" w14:textId="77777777" w:rsidR="00935C8F" w:rsidRPr="00507ED2" w:rsidRDefault="00935C8F" w:rsidP="00C6499E">
            <w:pPr>
              <w:pStyle w:val="Heading1"/>
              <w:rPr>
                <w:bCs/>
              </w:rPr>
            </w:pPr>
            <w:r>
              <w:rPr>
                <w:rFonts w:ascii="Times New Roman" w:hAnsi="Times New Roman"/>
                <w:b w:val="0"/>
                <w:kern w:val="0"/>
                <w:sz w:val="22"/>
                <w:u w:val="none"/>
              </w:rPr>
              <w:lastRenderedPageBreak/>
              <w:br w:type="page"/>
            </w:r>
            <w:r>
              <w:rPr>
                <w:rFonts w:ascii="Times New Roman" w:hAnsi="Times New Roman"/>
                <w:b w:val="0"/>
                <w:kern w:val="0"/>
                <w:sz w:val="22"/>
                <w:u w:val="none"/>
              </w:rPr>
              <w:br w:type="page"/>
            </w:r>
            <w:r>
              <w:t>Chapter Outline</w:t>
            </w:r>
          </w:p>
        </w:tc>
        <w:tc>
          <w:tcPr>
            <w:tcW w:w="2862" w:type="dxa"/>
            <w:tcBorders>
              <w:left w:val="single" w:sz="4" w:space="0" w:color="auto"/>
            </w:tcBorders>
          </w:tcPr>
          <w:p w14:paraId="34446449" w14:textId="77777777" w:rsidR="00935C8F" w:rsidRPr="00CD480D" w:rsidRDefault="00935C8F" w:rsidP="00C6499E">
            <w:pPr>
              <w:pStyle w:val="Heading1"/>
            </w:pPr>
            <w:r w:rsidRPr="00CD480D">
              <w:t>Teaching Notes</w:t>
            </w:r>
          </w:p>
        </w:tc>
      </w:tr>
      <w:tr w:rsidR="00A44C8E" w14:paraId="229EF9DE" w14:textId="77777777" w:rsidTr="00CD2C4D">
        <w:tc>
          <w:tcPr>
            <w:tcW w:w="6498" w:type="dxa"/>
            <w:tcBorders>
              <w:right w:val="single" w:sz="4" w:space="0" w:color="auto"/>
            </w:tcBorders>
          </w:tcPr>
          <w:p w14:paraId="1DBA672D" w14:textId="77777777" w:rsidR="00A44C8E" w:rsidRDefault="00A44C8E" w:rsidP="00CD2C4D">
            <w:pPr>
              <w:pStyle w:val="TableBody"/>
              <w:ind w:left="1440" w:hanging="288"/>
              <w:rPr>
                <w:szCs w:val="22"/>
              </w:rPr>
            </w:pPr>
            <w:r>
              <w:rPr>
                <w:szCs w:val="22"/>
              </w:rPr>
              <w:t>b.</w:t>
            </w:r>
            <w:r>
              <w:rPr>
                <w:szCs w:val="22"/>
              </w:rPr>
              <w:tab/>
              <w:t>T</w:t>
            </w:r>
            <w:r w:rsidRPr="00945938">
              <w:rPr>
                <w:szCs w:val="22"/>
              </w:rPr>
              <w:t>he same effects can exist between two companies that use the same depreciation methods but estimate different useful lives or different residual values for their long-lived assets.</w:t>
            </w:r>
            <w:r>
              <w:rPr>
                <w:szCs w:val="22"/>
              </w:rPr>
              <w:t xml:space="preserve"> </w:t>
            </w:r>
            <w:r w:rsidRPr="00497B89">
              <w:rPr>
                <w:szCs w:val="22"/>
              </w:rPr>
              <w:t>Useful lives can vary for several reasons</w:t>
            </w:r>
            <w:r>
              <w:rPr>
                <w:szCs w:val="22"/>
              </w:rPr>
              <w:t xml:space="preserve"> including differences in the:</w:t>
            </w:r>
          </w:p>
        </w:tc>
        <w:tc>
          <w:tcPr>
            <w:tcW w:w="2862" w:type="dxa"/>
            <w:tcBorders>
              <w:left w:val="single" w:sz="4" w:space="0" w:color="auto"/>
            </w:tcBorders>
          </w:tcPr>
          <w:p w14:paraId="1314DE40" w14:textId="77777777" w:rsidR="00A44C8E" w:rsidRDefault="00A44C8E" w:rsidP="00CD2C4D">
            <w:pPr>
              <w:pStyle w:val="TableBody"/>
            </w:pPr>
          </w:p>
        </w:tc>
      </w:tr>
      <w:tr w:rsidR="00A44C8E" w14:paraId="630577F8" w14:textId="77777777" w:rsidTr="00CD2C4D">
        <w:tc>
          <w:tcPr>
            <w:tcW w:w="6498" w:type="dxa"/>
            <w:tcBorders>
              <w:right w:val="single" w:sz="4" w:space="0" w:color="auto"/>
            </w:tcBorders>
          </w:tcPr>
          <w:p w14:paraId="47E49177" w14:textId="77777777" w:rsidR="00A44C8E" w:rsidRDefault="00A44C8E" w:rsidP="00CD2C4D">
            <w:pPr>
              <w:pStyle w:val="TableBody"/>
              <w:ind w:left="1728" w:hanging="288"/>
              <w:rPr>
                <w:szCs w:val="22"/>
              </w:rPr>
            </w:pPr>
            <w:r>
              <w:rPr>
                <w:szCs w:val="22"/>
              </w:rPr>
              <w:t>i.</w:t>
            </w:r>
            <w:r>
              <w:rPr>
                <w:szCs w:val="22"/>
              </w:rPr>
              <w:tab/>
              <w:t>T</w:t>
            </w:r>
            <w:r w:rsidRPr="00497B89">
              <w:rPr>
                <w:szCs w:val="22"/>
              </w:rPr>
              <w:t>ype of equipment each company used</w:t>
            </w:r>
            <w:r>
              <w:rPr>
                <w:szCs w:val="22"/>
              </w:rPr>
              <w:t>.</w:t>
            </w:r>
          </w:p>
        </w:tc>
        <w:tc>
          <w:tcPr>
            <w:tcW w:w="2862" w:type="dxa"/>
            <w:tcBorders>
              <w:left w:val="single" w:sz="4" w:space="0" w:color="auto"/>
            </w:tcBorders>
          </w:tcPr>
          <w:p w14:paraId="26AD5793" w14:textId="77777777" w:rsidR="00A44C8E" w:rsidRDefault="00A44C8E" w:rsidP="00CD2C4D">
            <w:pPr>
              <w:pStyle w:val="TableBody"/>
            </w:pPr>
          </w:p>
        </w:tc>
      </w:tr>
      <w:tr w:rsidR="00A44C8E" w14:paraId="21753D41" w14:textId="77777777" w:rsidTr="00CD2C4D">
        <w:tc>
          <w:tcPr>
            <w:tcW w:w="6498" w:type="dxa"/>
            <w:tcBorders>
              <w:right w:val="single" w:sz="4" w:space="0" w:color="auto"/>
            </w:tcBorders>
          </w:tcPr>
          <w:p w14:paraId="63D84F91" w14:textId="77777777" w:rsidR="00A44C8E" w:rsidRDefault="00A44C8E" w:rsidP="00CD2C4D">
            <w:pPr>
              <w:pStyle w:val="TableBody"/>
              <w:ind w:left="1728" w:hanging="288"/>
              <w:rPr>
                <w:szCs w:val="22"/>
              </w:rPr>
            </w:pPr>
            <w:r>
              <w:rPr>
                <w:szCs w:val="22"/>
              </w:rPr>
              <w:t>ii.</w:t>
            </w:r>
            <w:r>
              <w:rPr>
                <w:szCs w:val="22"/>
              </w:rPr>
              <w:tab/>
              <w:t>F</w:t>
            </w:r>
            <w:r w:rsidRPr="00497B89">
              <w:rPr>
                <w:szCs w:val="22"/>
              </w:rPr>
              <w:t>requency</w:t>
            </w:r>
            <w:r>
              <w:rPr>
                <w:szCs w:val="22"/>
              </w:rPr>
              <w:t xml:space="preserve"> </w:t>
            </w:r>
            <w:r w:rsidRPr="00497B89">
              <w:rPr>
                <w:szCs w:val="22"/>
              </w:rPr>
              <w:t>of repairs and maintenance</w:t>
            </w:r>
            <w:r>
              <w:rPr>
                <w:szCs w:val="22"/>
              </w:rPr>
              <w:t>.</w:t>
            </w:r>
          </w:p>
        </w:tc>
        <w:tc>
          <w:tcPr>
            <w:tcW w:w="2862" w:type="dxa"/>
            <w:tcBorders>
              <w:left w:val="single" w:sz="4" w:space="0" w:color="auto"/>
            </w:tcBorders>
          </w:tcPr>
          <w:p w14:paraId="7C714BC8" w14:textId="77777777" w:rsidR="00A44C8E" w:rsidRDefault="00A44C8E" w:rsidP="00CD2C4D">
            <w:pPr>
              <w:pStyle w:val="TableBody"/>
            </w:pPr>
          </w:p>
        </w:tc>
      </w:tr>
      <w:tr w:rsidR="00A44C8E" w14:paraId="472C2B63" w14:textId="77777777" w:rsidTr="00CD2C4D">
        <w:tc>
          <w:tcPr>
            <w:tcW w:w="6498" w:type="dxa"/>
            <w:tcBorders>
              <w:right w:val="single" w:sz="4" w:space="0" w:color="auto"/>
            </w:tcBorders>
          </w:tcPr>
          <w:p w14:paraId="29BBBB5C" w14:textId="77777777" w:rsidR="00A44C8E" w:rsidRDefault="00A44C8E" w:rsidP="00CD2C4D">
            <w:pPr>
              <w:pStyle w:val="TableBody"/>
              <w:ind w:left="1728" w:hanging="288"/>
              <w:rPr>
                <w:szCs w:val="22"/>
              </w:rPr>
            </w:pPr>
            <w:r>
              <w:rPr>
                <w:szCs w:val="22"/>
              </w:rPr>
              <w:t>iii.</w:t>
            </w:r>
            <w:r>
              <w:rPr>
                <w:szCs w:val="22"/>
              </w:rPr>
              <w:tab/>
              <w:t>F</w:t>
            </w:r>
            <w:r w:rsidRPr="00497B89">
              <w:rPr>
                <w:szCs w:val="22"/>
              </w:rPr>
              <w:t>requency and duration of use</w:t>
            </w:r>
            <w:r>
              <w:rPr>
                <w:szCs w:val="22"/>
              </w:rPr>
              <w:t>.</w:t>
            </w:r>
          </w:p>
        </w:tc>
        <w:tc>
          <w:tcPr>
            <w:tcW w:w="2862" w:type="dxa"/>
            <w:tcBorders>
              <w:left w:val="single" w:sz="4" w:space="0" w:color="auto"/>
            </w:tcBorders>
          </w:tcPr>
          <w:p w14:paraId="220F7C9C" w14:textId="77777777" w:rsidR="00A44C8E" w:rsidRDefault="00A44C8E" w:rsidP="00CD2C4D">
            <w:pPr>
              <w:pStyle w:val="TableBody"/>
            </w:pPr>
          </w:p>
        </w:tc>
      </w:tr>
      <w:tr w:rsidR="00A44C8E" w14:paraId="69308AC1" w14:textId="77777777" w:rsidTr="00CD2C4D">
        <w:tc>
          <w:tcPr>
            <w:tcW w:w="6498" w:type="dxa"/>
            <w:tcBorders>
              <w:right w:val="single" w:sz="4" w:space="0" w:color="auto"/>
            </w:tcBorders>
          </w:tcPr>
          <w:p w14:paraId="04895015" w14:textId="77777777" w:rsidR="00A44C8E" w:rsidRDefault="00A44C8E" w:rsidP="00CD2C4D">
            <w:pPr>
              <w:pStyle w:val="TableBody"/>
              <w:ind w:left="1728" w:hanging="288"/>
              <w:rPr>
                <w:szCs w:val="22"/>
              </w:rPr>
            </w:pPr>
            <w:r>
              <w:rPr>
                <w:szCs w:val="22"/>
              </w:rPr>
              <w:t>iv.</w:t>
            </w:r>
            <w:r>
              <w:rPr>
                <w:szCs w:val="22"/>
              </w:rPr>
              <w:tab/>
              <w:t>D</w:t>
            </w:r>
            <w:r w:rsidRPr="00497B89">
              <w:rPr>
                <w:szCs w:val="22"/>
              </w:rPr>
              <w:t>egree</w:t>
            </w:r>
            <w:r>
              <w:rPr>
                <w:szCs w:val="22"/>
              </w:rPr>
              <w:t xml:space="preserve"> </w:t>
            </w:r>
            <w:r w:rsidRPr="00497B89">
              <w:rPr>
                <w:szCs w:val="22"/>
              </w:rPr>
              <w:t xml:space="preserve">of conservatism in </w:t>
            </w:r>
            <w:r>
              <w:rPr>
                <w:szCs w:val="22"/>
              </w:rPr>
              <w:t>e</w:t>
            </w:r>
            <w:r w:rsidRPr="00497B89">
              <w:rPr>
                <w:szCs w:val="22"/>
              </w:rPr>
              <w:t>stimates.</w:t>
            </w:r>
          </w:p>
        </w:tc>
        <w:tc>
          <w:tcPr>
            <w:tcW w:w="2862" w:type="dxa"/>
            <w:tcBorders>
              <w:left w:val="single" w:sz="4" w:space="0" w:color="auto"/>
            </w:tcBorders>
          </w:tcPr>
          <w:p w14:paraId="22D1E450" w14:textId="77777777" w:rsidR="00A44C8E" w:rsidRDefault="00A44C8E" w:rsidP="00CD2C4D">
            <w:pPr>
              <w:pStyle w:val="TableBody"/>
            </w:pPr>
          </w:p>
        </w:tc>
      </w:tr>
      <w:tr w:rsidR="00497B89" w14:paraId="1327A321" w14:textId="77777777">
        <w:tc>
          <w:tcPr>
            <w:tcW w:w="6498" w:type="dxa"/>
            <w:tcBorders>
              <w:right w:val="single" w:sz="4" w:space="0" w:color="auto"/>
            </w:tcBorders>
          </w:tcPr>
          <w:p w14:paraId="06480913" w14:textId="77777777" w:rsidR="00497B89" w:rsidRDefault="00497B89" w:rsidP="00945938">
            <w:pPr>
              <w:pStyle w:val="TableBody"/>
              <w:ind w:left="1152" w:hanging="288"/>
              <w:rPr>
                <w:szCs w:val="22"/>
              </w:rPr>
            </w:pPr>
            <w:r>
              <w:rPr>
                <w:szCs w:val="22"/>
              </w:rPr>
              <w:t>2.</w:t>
            </w:r>
            <w:r>
              <w:rPr>
                <w:szCs w:val="22"/>
              </w:rPr>
              <w:tab/>
            </w:r>
            <w:r w:rsidRPr="00945938">
              <w:rPr>
                <w:szCs w:val="22"/>
              </w:rPr>
              <w:t>Some analysts try to sidestep possible differences in depreciation calculations by focusing on financial measures that exclude the effects of depreciation.</w:t>
            </w:r>
          </w:p>
        </w:tc>
        <w:tc>
          <w:tcPr>
            <w:tcW w:w="2862" w:type="dxa"/>
            <w:tcBorders>
              <w:left w:val="single" w:sz="4" w:space="0" w:color="auto"/>
            </w:tcBorders>
          </w:tcPr>
          <w:p w14:paraId="1490D427" w14:textId="77777777" w:rsidR="00497B89" w:rsidRDefault="00497B89" w:rsidP="00122122">
            <w:pPr>
              <w:pStyle w:val="TableBody"/>
            </w:pPr>
          </w:p>
        </w:tc>
      </w:tr>
      <w:tr w:rsidR="00497B89" w14:paraId="18AC669F" w14:textId="77777777">
        <w:tc>
          <w:tcPr>
            <w:tcW w:w="6498" w:type="dxa"/>
            <w:tcBorders>
              <w:right w:val="single" w:sz="4" w:space="0" w:color="auto"/>
            </w:tcBorders>
          </w:tcPr>
          <w:p w14:paraId="72A9DCFC" w14:textId="77777777" w:rsidR="00497B89" w:rsidRDefault="00497B89" w:rsidP="00497B89">
            <w:pPr>
              <w:pStyle w:val="TableBody"/>
              <w:ind w:left="1440" w:hanging="288"/>
              <w:rPr>
                <w:szCs w:val="22"/>
              </w:rPr>
            </w:pPr>
            <w:r>
              <w:rPr>
                <w:szCs w:val="22"/>
              </w:rPr>
              <w:t>a.</w:t>
            </w:r>
            <w:r>
              <w:rPr>
                <w:szCs w:val="22"/>
              </w:rPr>
              <w:tab/>
            </w:r>
            <w:r w:rsidRPr="00FF58FB">
              <w:rPr>
                <w:b/>
                <w:bCs/>
                <w:szCs w:val="22"/>
              </w:rPr>
              <w:t>EBITDA</w:t>
            </w:r>
            <w:r w:rsidR="004B02B1">
              <w:rPr>
                <w:szCs w:val="22"/>
              </w:rPr>
              <w:t>––</w:t>
            </w:r>
            <w:r>
              <w:rPr>
                <w:szCs w:val="22"/>
              </w:rPr>
              <w:t xml:space="preserve">An </w:t>
            </w:r>
            <w:r w:rsidRPr="00945938">
              <w:rPr>
                <w:szCs w:val="22"/>
              </w:rPr>
              <w:t>abbreviation for “</w:t>
            </w:r>
            <w:r w:rsidRPr="00497B89">
              <w:rPr>
                <w:bCs/>
                <w:szCs w:val="22"/>
              </w:rPr>
              <w:t>earnings before interest, taxes, depreciation, and amortization</w:t>
            </w:r>
            <w:r w:rsidRPr="00945938">
              <w:rPr>
                <w:szCs w:val="22"/>
              </w:rPr>
              <w:t>,” which is a measure of operating performance that some managers and analysts use in place of net income.</w:t>
            </w:r>
          </w:p>
        </w:tc>
        <w:tc>
          <w:tcPr>
            <w:tcW w:w="2862" w:type="dxa"/>
            <w:tcBorders>
              <w:left w:val="single" w:sz="4" w:space="0" w:color="auto"/>
            </w:tcBorders>
          </w:tcPr>
          <w:p w14:paraId="798FB1FE" w14:textId="77777777" w:rsidR="00497B89" w:rsidRDefault="00497B89" w:rsidP="00122122">
            <w:pPr>
              <w:pStyle w:val="TableBody"/>
            </w:pPr>
          </w:p>
        </w:tc>
      </w:tr>
      <w:tr w:rsidR="00497B89" w14:paraId="3EC5019D" w14:textId="77777777">
        <w:tc>
          <w:tcPr>
            <w:tcW w:w="6498" w:type="dxa"/>
            <w:tcBorders>
              <w:right w:val="single" w:sz="4" w:space="0" w:color="auto"/>
            </w:tcBorders>
          </w:tcPr>
          <w:p w14:paraId="28E9934B" w14:textId="77777777" w:rsidR="00497B89" w:rsidRDefault="00497B89" w:rsidP="00945938">
            <w:pPr>
              <w:pStyle w:val="TableBody"/>
              <w:ind w:left="1440" w:hanging="288"/>
              <w:rPr>
                <w:szCs w:val="22"/>
              </w:rPr>
            </w:pPr>
            <w:r>
              <w:rPr>
                <w:szCs w:val="22"/>
              </w:rPr>
              <w:t>b.</w:t>
            </w:r>
            <w:r>
              <w:rPr>
                <w:szCs w:val="22"/>
              </w:rPr>
              <w:tab/>
            </w:r>
            <w:r w:rsidRPr="00945938">
              <w:rPr>
                <w:szCs w:val="22"/>
              </w:rPr>
              <w:t>The idea is that this measure allows analysts to conduct</w:t>
            </w:r>
            <w:r>
              <w:rPr>
                <w:szCs w:val="22"/>
              </w:rPr>
              <w:t xml:space="preserve"> </w:t>
            </w:r>
            <w:r w:rsidRPr="00945938">
              <w:rPr>
                <w:szCs w:val="22"/>
              </w:rPr>
              <w:t>financial analyses without having to deal with possible differences in depreciation and amortization.</w:t>
            </w:r>
          </w:p>
        </w:tc>
        <w:tc>
          <w:tcPr>
            <w:tcW w:w="2862" w:type="dxa"/>
            <w:tcBorders>
              <w:left w:val="single" w:sz="4" w:space="0" w:color="auto"/>
            </w:tcBorders>
          </w:tcPr>
          <w:p w14:paraId="23C45A32" w14:textId="77777777" w:rsidR="00497B89" w:rsidRDefault="00497B89" w:rsidP="00122122">
            <w:pPr>
              <w:pStyle w:val="TableBody"/>
            </w:pPr>
          </w:p>
        </w:tc>
      </w:tr>
      <w:tr w:rsidR="00253458" w14:paraId="59471EE9" w14:textId="77777777" w:rsidTr="00253458">
        <w:tc>
          <w:tcPr>
            <w:tcW w:w="6498" w:type="dxa"/>
            <w:tcBorders>
              <w:right w:val="single" w:sz="4" w:space="0" w:color="auto"/>
            </w:tcBorders>
          </w:tcPr>
          <w:p w14:paraId="26DBA885" w14:textId="77777777" w:rsidR="00253458" w:rsidRPr="00253458" w:rsidRDefault="00253458" w:rsidP="00D8730F">
            <w:pPr>
              <w:pStyle w:val="TableBody"/>
              <w:rPr>
                <w:szCs w:val="22"/>
              </w:rPr>
            </w:pPr>
            <w:r>
              <w:rPr>
                <w:szCs w:val="22"/>
              </w:rPr>
              <w:t>IV.</w:t>
            </w:r>
            <w:r>
              <w:rPr>
                <w:szCs w:val="22"/>
              </w:rPr>
              <w:tab/>
            </w:r>
            <w:r>
              <w:rPr>
                <w:szCs w:val="22"/>
              </w:rPr>
              <w:tab/>
            </w:r>
            <w:r w:rsidRPr="00253458">
              <w:rPr>
                <w:szCs w:val="22"/>
              </w:rPr>
              <w:t>Natural Resources</w:t>
            </w:r>
          </w:p>
        </w:tc>
        <w:tc>
          <w:tcPr>
            <w:tcW w:w="2862" w:type="dxa"/>
            <w:tcBorders>
              <w:left w:val="single" w:sz="4" w:space="0" w:color="auto"/>
            </w:tcBorders>
          </w:tcPr>
          <w:p w14:paraId="53DCD0E7" w14:textId="77777777" w:rsidR="00253458" w:rsidRDefault="00253458" w:rsidP="005320A5">
            <w:pPr>
              <w:pStyle w:val="TableBody"/>
            </w:pPr>
          </w:p>
        </w:tc>
      </w:tr>
      <w:tr w:rsidR="00D8730F" w:rsidRPr="005C4337" w14:paraId="0E0FAE6A" w14:textId="77777777" w:rsidTr="00060810">
        <w:tc>
          <w:tcPr>
            <w:tcW w:w="9360" w:type="dxa"/>
            <w:gridSpan w:val="2"/>
            <w:tcBorders>
              <w:top w:val="single" w:sz="4" w:space="0" w:color="auto"/>
              <w:left w:val="single" w:sz="4" w:space="0" w:color="auto"/>
              <w:bottom w:val="single" w:sz="4" w:space="0" w:color="auto"/>
              <w:right w:val="single" w:sz="4" w:space="0" w:color="auto"/>
            </w:tcBorders>
          </w:tcPr>
          <w:p w14:paraId="1879A730" w14:textId="4D804F6A" w:rsidR="00D8730F" w:rsidRPr="005C4337" w:rsidRDefault="00220B82" w:rsidP="00220B82">
            <w:pPr>
              <w:pStyle w:val="TableBody"/>
              <w:spacing w:before="60" w:after="60"/>
              <w:rPr>
                <w:b/>
                <w:i/>
              </w:rPr>
            </w:pPr>
            <w:r>
              <w:rPr>
                <w:b/>
                <w:i/>
              </w:rPr>
              <w:t xml:space="preserve">LO </w:t>
            </w:r>
            <w:r w:rsidR="00C45729" w:rsidRPr="00C45729">
              <w:rPr>
                <w:b/>
                <w:bCs/>
                <w:i/>
              </w:rPr>
              <w:t>9-</w:t>
            </w:r>
            <w:r w:rsidR="00D8730F" w:rsidRPr="00D8730F">
              <w:rPr>
                <w:b/>
                <w:i/>
              </w:rPr>
              <w:t>S</w:t>
            </w:r>
            <w:r>
              <w:rPr>
                <w:b/>
                <w:i/>
              </w:rPr>
              <w:t>1</w:t>
            </w:r>
            <w:r w:rsidR="004A79AB" w:rsidRPr="005C4337">
              <w:rPr>
                <w:b/>
                <w:i/>
              </w:rPr>
              <w:t xml:space="preserve"> </w:t>
            </w:r>
            <w:r w:rsidR="00D8730F" w:rsidRPr="00D8730F">
              <w:rPr>
                <w:b/>
                <w:i/>
              </w:rPr>
              <w:t>Analyze and report depletion of natural resources.</w:t>
            </w:r>
          </w:p>
        </w:tc>
      </w:tr>
      <w:tr w:rsidR="00253458" w14:paraId="191B5DB3" w14:textId="77777777" w:rsidTr="00253458">
        <w:tc>
          <w:tcPr>
            <w:tcW w:w="6498" w:type="dxa"/>
            <w:tcBorders>
              <w:right w:val="single" w:sz="4" w:space="0" w:color="auto"/>
            </w:tcBorders>
          </w:tcPr>
          <w:p w14:paraId="0AA2C10C" w14:textId="61D0A1DF" w:rsidR="00253458" w:rsidRPr="00945938" w:rsidRDefault="00253458" w:rsidP="00EE029E">
            <w:pPr>
              <w:pStyle w:val="TableBody"/>
              <w:ind w:left="864" w:hanging="288"/>
              <w:rPr>
                <w:szCs w:val="22"/>
              </w:rPr>
            </w:pPr>
            <w:r w:rsidRPr="00945938">
              <w:rPr>
                <w:szCs w:val="22"/>
              </w:rPr>
              <w:t>A.</w:t>
            </w:r>
            <w:r w:rsidRPr="00945938">
              <w:rPr>
                <w:szCs w:val="22"/>
              </w:rPr>
              <w:tab/>
              <w:t>Acquisiti</w:t>
            </w:r>
            <w:r w:rsidR="00935C8F">
              <w:rPr>
                <w:szCs w:val="22"/>
              </w:rPr>
              <w:t>on</w:t>
            </w:r>
            <w:r w:rsidR="00EE029E">
              <w:t>–</w:t>
            </w:r>
            <w:r w:rsidR="00EE029E" w:rsidRPr="00FE2A3F">
              <w:t>–</w:t>
            </w:r>
            <w:r w:rsidRPr="00945938">
              <w:rPr>
                <w:szCs w:val="22"/>
              </w:rPr>
              <w:t xml:space="preserve">When a company first acquires or develops a natural resource, the cost of the natural resource is recorded in conformity with the </w:t>
            </w:r>
            <w:r>
              <w:rPr>
                <w:szCs w:val="22"/>
              </w:rPr>
              <w:t>cost principle</w:t>
            </w:r>
            <w:r w:rsidRPr="00945938">
              <w:rPr>
                <w:szCs w:val="22"/>
              </w:rPr>
              <w:t xml:space="preserve">. </w:t>
            </w:r>
          </w:p>
        </w:tc>
        <w:tc>
          <w:tcPr>
            <w:tcW w:w="2862" w:type="dxa"/>
            <w:tcBorders>
              <w:left w:val="single" w:sz="4" w:space="0" w:color="auto"/>
            </w:tcBorders>
          </w:tcPr>
          <w:p w14:paraId="20D4A71A" w14:textId="77777777" w:rsidR="00253458" w:rsidRDefault="00253458" w:rsidP="005320A5">
            <w:pPr>
              <w:pStyle w:val="TableBody"/>
            </w:pPr>
          </w:p>
        </w:tc>
      </w:tr>
      <w:tr w:rsidR="00253458" w14:paraId="1AD5B4F7" w14:textId="77777777">
        <w:tc>
          <w:tcPr>
            <w:tcW w:w="6498" w:type="dxa"/>
            <w:tcBorders>
              <w:right w:val="single" w:sz="4" w:space="0" w:color="auto"/>
            </w:tcBorders>
          </w:tcPr>
          <w:p w14:paraId="49E659EB" w14:textId="1BDEE106" w:rsidR="00253458" w:rsidRPr="00945938" w:rsidRDefault="00935C8F" w:rsidP="001E7984">
            <w:pPr>
              <w:pStyle w:val="TableBody"/>
              <w:ind w:left="864" w:hanging="288"/>
              <w:rPr>
                <w:szCs w:val="22"/>
              </w:rPr>
            </w:pPr>
            <w:r>
              <w:rPr>
                <w:szCs w:val="22"/>
              </w:rPr>
              <w:t>B.</w:t>
            </w:r>
            <w:r>
              <w:rPr>
                <w:szCs w:val="22"/>
              </w:rPr>
              <w:tab/>
              <w:t>Use</w:t>
            </w:r>
            <w:r w:rsidR="00EE029E">
              <w:t>–</w:t>
            </w:r>
            <w:r w:rsidR="00EE029E" w:rsidRPr="00FE2A3F">
              <w:t>–</w:t>
            </w:r>
            <w:r w:rsidR="00253458" w:rsidRPr="00945938">
              <w:rPr>
                <w:szCs w:val="22"/>
              </w:rPr>
              <w:t>As the natural resource is used up, its acquisition cost must be split among the periods in which revenues are earned in</w:t>
            </w:r>
            <w:r w:rsidR="00253458">
              <w:rPr>
                <w:szCs w:val="22"/>
              </w:rPr>
              <w:t xml:space="preserve"> </w:t>
            </w:r>
            <w:r w:rsidR="00253458" w:rsidRPr="00945938">
              <w:rPr>
                <w:szCs w:val="22"/>
              </w:rPr>
              <w:t xml:space="preserve">conformity with the </w:t>
            </w:r>
            <w:r w:rsidR="001E7984">
              <w:rPr>
                <w:szCs w:val="22"/>
              </w:rPr>
              <w:t>expense recognition</w:t>
            </w:r>
            <w:r w:rsidR="00253458" w:rsidRPr="00945938">
              <w:rPr>
                <w:szCs w:val="22"/>
              </w:rPr>
              <w:t xml:space="preserve"> principle.</w:t>
            </w:r>
          </w:p>
        </w:tc>
        <w:tc>
          <w:tcPr>
            <w:tcW w:w="2862" w:type="dxa"/>
            <w:tcBorders>
              <w:left w:val="single" w:sz="4" w:space="0" w:color="auto"/>
            </w:tcBorders>
          </w:tcPr>
          <w:p w14:paraId="25146790" w14:textId="77777777" w:rsidR="00253458" w:rsidRDefault="00253458" w:rsidP="005320A5">
            <w:pPr>
              <w:pStyle w:val="TableBody"/>
            </w:pPr>
          </w:p>
        </w:tc>
      </w:tr>
      <w:tr w:rsidR="00253458" w14:paraId="042A9F6E" w14:textId="77777777">
        <w:tc>
          <w:tcPr>
            <w:tcW w:w="6498" w:type="dxa"/>
            <w:tcBorders>
              <w:right w:val="single" w:sz="4" w:space="0" w:color="auto"/>
            </w:tcBorders>
          </w:tcPr>
          <w:p w14:paraId="138C1D4F" w14:textId="77777777" w:rsidR="00253458" w:rsidRPr="00945938" w:rsidRDefault="00253458" w:rsidP="00935C8F">
            <w:pPr>
              <w:pStyle w:val="TableBody"/>
              <w:ind w:left="1152" w:hanging="288"/>
              <w:rPr>
                <w:szCs w:val="22"/>
              </w:rPr>
            </w:pPr>
            <w:r w:rsidRPr="00945938">
              <w:rPr>
                <w:szCs w:val="22"/>
              </w:rPr>
              <w:t>1.</w:t>
            </w:r>
            <w:r w:rsidRPr="00945938">
              <w:rPr>
                <w:szCs w:val="22"/>
              </w:rPr>
              <w:tab/>
            </w:r>
            <w:r w:rsidRPr="00945938">
              <w:rPr>
                <w:b/>
                <w:bCs/>
                <w:szCs w:val="22"/>
              </w:rPr>
              <w:t>Depletion</w:t>
            </w:r>
            <w:r w:rsidR="004B02B1">
              <w:rPr>
                <w:szCs w:val="22"/>
              </w:rPr>
              <w:t>––</w:t>
            </w:r>
            <w:r w:rsidR="00935C8F">
              <w:rPr>
                <w:szCs w:val="22"/>
              </w:rPr>
              <w:t>P</w:t>
            </w:r>
            <w:r w:rsidRPr="00945938">
              <w:rPr>
                <w:szCs w:val="22"/>
              </w:rPr>
              <w:t>rocess of allocating a natural resource’s cost over the period of its extraction or harvesting.</w:t>
            </w:r>
          </w:p>
        </w:tc>
        <w:tc>
          <w:tcPr>
            <w:tcW w:w="2862" w:type="dxa"/>
            <w:tcBorders>
              <w:left w:val="single" w:sz="4" w:space="0" w:color="auto"/>
            </w:tcBorders>
          </w:tcPr>
          <w:p w14:paraId="014D0E4F" w14:textId="77777777" w:rsidR="00253458" w:rsidRDefault="00253458" w:rsidP="005320A5">
            <w:pPr>
              <w:pStyle w:val="TableBody"/>
            </w:pPr>
          </w:p>
        </w:tc>
      </w:tr>
      <w:tr w:rsidR="00935C8F" w14:paraId="39FA70B5" w14:textId="77777777" w:rsidTr="00253458">
        <w:tc>
          <w:tcPr>
            <w:tcW w:w="6498" w:type="dxa"/>
            <w:tcBorders>
              <w:right w:val="single" w:sz="4" w:space="0" w:color="auto"/>
            </w:tcBorders>
          </w:tcPr>
          <w:p w14:paraId="7232F150" w14:textId="77777777" w:rsidR="00935C8F" w:rsidRPr="00945938" w:rsidRDefault="00935C8F" w:rsidP="00935C8F">
            <w:pPr>
              <w:pStyle w:val="TableBody"/>
              <w:ind w:left="1152" w:hanging="288"/>
              <w:rPr>
                <w:szCs w:val="22"/>
              </w:rPr>
            </w:pPr>
            <w:r w:rsidRPr="00945938">
              <w:rPr>
                <w:szCs w:val="22"/>
              </w:rPr>
              <w:t>2.</w:t>
            </w:r>
            <w:r w:rsidRPr="00945938">
              <w:rPr>
                <w:szCs w:val="22"/>
              </w:rPr>
              <w:tab/>
              <w:t>When a natural resource is depleted, the company obtains inventory</w:t>
            </w:r>
            <w:r w:rsidR="00C92585">
              <w:rPr>
                <w:szCs w:val="22"/>
              </w:rPr>
              <w:t>.</w:t>
            </w:r>
          </w:p>
        </w:tc>
        <w:tc>
          <w:tcPr>
            <w:tcW w:w="2862" w:type="dxa"/>
            <w:tcBorders>
              <w:left w:val="single" w:sz="4" w:space="0" w:color="auto"/>
            </w:tcBorders>
          </w:tcPr>
          <w:p w14:paraId="276071CC" w14:textId="77777777" w:rsidR="00935C8F" w:rsidRDefault="00935C8F" w:rsidP="005320A5">
            <w:pPr>
              <w:pStyle w:val="TableBody"/>
            </w:pPr>
          </w:p>
        </w:tc>
      </w:tr>
      <w:tr w:rsidR="00253458" w14:paraId="500DFA0B" w14:textId="77777777" w:rsidTr="00253458">
        <w:tc>
          <w:tcPr>
            <w:tcW w:w="6498" w:type="dxa"/>
            <w:tcBorders>
              <w:right w:val="single" w:sz="4" w:space="0" w:color="auto"/>
            </w:tcBorders>
          </w:tcPr>
          <w:p w14:paraId="57C2A22D" w14:textId="77777777" w:rsidR="00253458" w:rsidRPr="00945938" w:rsidRDefault="00935C8F" w:rsidP="00C92585">
            <w:pPr>
              <w:pStyle w:val="TableBody"/>
              <w:ind w:left="1152" w:hanging="288"/>
              <w:rPr>
                <w:szCs w:val="22"/>
              </w:rPr>
            </w:pPr>
            <w:r>
              <w:rPr>
                <w:szCs w:val="22"/>
              </w:rPr>
              <w:t>3</w:t>
            </w:r>
            <w:r w:rsidR="00253458" w:rsidRPr="00945938">
              <w:rPr>
                <w:szCs w:val="22"/>
              </w:rPr>
              <w:t>.</w:t>
            </w:r>
            <w:r>
              <w:rPr>
                <w:szCs w:val="22"/>
              </w:rPr>
              <w:tab/>
            </w:r>
            <w:r w:rsidR="00253458" w:rsidRPr="00945938">
              <w:rPr>
                <w:szCs w:val="22"/>
              </w:rPr>
              <w:t>Because depletion is necessary to obtain the inventory, the depletion computed during a period is added to the cost of the inventory, not expensed in the period.</w:t>
            </w:r>
          </w:p>
        </w:tc>
        <w:tc>
          <w:tcPr>
            <w:tcW w:w="2862" w:type="dxa"/>
            <w:tcBorders>
              <w:left w:val="single" w:sz="4" w:space="0" w:color="auto"/>
            </w:tcBorders>
          </w:tcPr>
          <w:p w14:paraId="60D46AB1" w14:textId="77777777" w:rsidR="00253458" w:rsidRDefault="00253458" w:rsidP="005320A5">
            <w:pPr>
              <w:pStyle w:val="TableBody"/>
            </w:pPr>
          </w:p>
        </w:tc>
      </w:tr>
      <w:tr w:rsidR="0057409B" w:rsidRPr="00253458" w14:paraId="6EE2B6FC" w14:textId="77777777" w:rsidTr="00253458">
        <w:tc>
          <w:tcPr>
            <w:tcW w:w="6498" w:type="dxa"/>
            <w:tcBorders>
              <w:right w:val="single" w:sz="4" w:space="0" w:color="auto"/>
            </w:tcBorders>
          </w:tcPr>
          <w:p w14:paraId="433E477F" w14:textId="77777777" w:rsidR="0057409B" w:rsidRPr="0057409B" w:rsidRDefault="0057409B" w:rsidP="0057409B">
            <w:pPr>
              <w:pStyle w:val="TableBody"/>
              <w:ind w:left="1152" w:hanging="288"/>
              <w:rPr>
                <w:szCs w:val="22"/>
              </w:rPr>
            </w:pPr>
            <w:r w:rsidRPr="0057409B">
              <w:rPr>
                <w:szCs w:val="22"/>
              </w:rPr>
              <w:t>4.</w:t>
            </w:r>
            <w:r w:rsidRPr="0057409B">
              <w:rPr>
                <w:szCs w:val="22"/>
              </w:rPr>
              <w:tab/>
            </w:r>
            <w:r>
              <w:rPr>
                <w:szCs w:val="22"/>
              </w:rPr>
              <w:t>A</w:t>
            </w:r>
            <w:r w:rsidRPr="0057409B">
              <w:rPr>
                <w:szCs w:val="22"/>
              </w:rPr>
              <w:t xml:space="preserve"> timber tract costing $530,000 is depleted over its estimated</w:t>
            </w:r>
            <w:r>
              <w:rPr>
                <w:szCs w:val="22"/>
              </w:rPr>
              <w:t xml:space="preserve"> </w:t>
            </w:r>
            <w:r w:rsidRPr="0057409B">
              <w:rPr>
                <w:szCs w:val="22"/>
              </w:rPr>
              <w:t>cutting period based on a “cutting” rate of approximately 20 percent per year, it</w:t>
            </w:r>
            <w:r>
              <w:rPr>
                <w:szCs w:val="22"/>
              </w:rPr>
              <w:t xml:space="preserve"> </w:t>
            </w:r>
            <w:r w:rsidRPr="0057409B">
              <w:rPr>
                <w:szCs w:val="22"/>
              </w:rPr>
              <w:t>would be depleted by $106,000 each year.</w:t>
            </w:r>
          </w:p>
        </w:tc>
        <w:tc>
          <w:tcPr>
            <w:tcW w:w="2862" w:type="dxa"/>
            <w:tcBorders>
              <w:left w:val="single" w:sz="4" w:space="0" w:color="auto"/>
            </w:tcBorders>
          </w:tcPr>
          <w:p w14:paraId="4749A243" w14:textId="77777777" w:rsidR="0057409B" w:rsidRPr="00253458" w:rsidRDefault="0057409B" w:rsidP="005320A5">
            <w:pPr>
              <w:pStyle w:val="TableBody"/>
              <w:rPr>
                <w:szCs w:val="22"/>
              </w:rPr>
            </w:pPr>
          </w:p>
        </w:tc>
      </w:tr>
      <w:tr w:rsidR="0057409B" w:rsidRPr="00253458" w14:paraId="50808EC6" w14:textId="77777777" w:rsidTr="00CD2C4D">
        <w:tc>
          <w:tcPr>
            <w:tcW w:w="6498" w:type="dxa"/>
            <w:tcBorders>
              <w:right w:val="single" w:sz="4" w:space="0" w:color="auto"/>
            </w:tcBorders>
            <w:vAlign w:val="center"/>
          </w:tcPr>
          <w:p w14:paraId="0A92C8CD" w14:textId="0C7C5B7D" w:rsidR="0057409B" w:rsidRPr="0057409B" w:rsidRDefault="0057409B" w:rsidP="00C0498F">
            <w:pPr>
              <w:pStyle w:val="TableBody"/>
              <w:ind w:left="1440" w:hanging="288"/>
              <w:rPr>
                <w:szCs w:val="22"/>
              </w:rPr>
            </w:pPr>
            <w:r w:rsidRPr="0057409B">
              <w:rPr>
                <w:szCs w:val="22"/>
              </w:rPr>
              <w:t>a</w:t>
            </w:r>
            <w:r w:rsidR="00766794">
              <w:rPr>
                <w:szCs w:val="22"/>
              </w:rPr>
              <w:t>.</w:t>
            </w:r>
            <w:r w:rsidRPr="0057409B">
              <w:rPr>
                <w:szCs w:val="22"/>
              </w:rPr>
              <w:tab/>
              <w:t xml:space="preserve">Analyze </w:t>
            </w:r>
            <w:r w:rsidRPr="00C0498F">
              <w:rPr>
                <w:i/>
                <w:szCs w:val="22"/>
              </w:rPr>
              <w:t xml:space="preserve">(rounded to nearest thousand):  </w:t>
            </w:r>
            <w:r w:rsidRPr="0057409B">
              <w:rPr>
                <w:szCs w:val="22"/>
              </w:rPr>
              <w:tab/>
            </w:r>
            <w:r w:rsidRPr="0057409B">
              <w:rPr>
                <w:szCs w:val="22"/>
              </w:rPr>
              <w:br/>
              <w:t>Assets = Liabilities + Stockholders’ Equity</w:t>
            </w:r>
            <w:r w:rsidRPr="0057409B">
              <w:rPr>
                <w:szCs w:val="22"/>
              </w:rPr>
              <w:br/>
              <w:t xml:space="preserve">Accumulated </w:t>
            </w:r>
            <w:r w:rsidR="00C0498F">
              <w:rPr>
                <w:szCs w:val="22"/>
              </w:rPr>
              <w:t>Depletion</w:t>
            </w:r>
            <w:r w:rsidRPr="0057409B">
              <w:rPr>
                <w:szCs w:val="22"/>
              </w:rPr>
              <w:t xml:space="preserve"> (xA) –1</w:t>
            </w:r>
            <w:r w:rsidR="00C0498F">
              <w:rPr>
                <w:szCs w:val="22"/>
              </w:rPr>
              <w:t>06</w:t>
            </w:r>
            <w:r w:rsidRPr="0057409B">
              <w:rPr>
                <w:szCs w:val="22"/>
              </w:rPr>
              <w:t xml:space="preserve">; </w:t>
            </w:r>
            <w:r w:rsidR="00C0498F">
              <w:rPr>
                <w:szCs w:val="22"/>
              </w:rPr>
              <w:t>Depletion</w:t>
            </w:r>
            <w:r w:rsidR="00C0498F" w:rsidRPr="0057409B">
              <w:rPr>
                <w:szCs w:val="22"/>
              </w:rPr>
              <w:t xml:space="preserve"> </w:t>
            </w:r>
            <w:r w:rsidRPr="0057409B">
              <w:rPr>
                <w:szCs w:val="22"/>
              </w:rPr>
              <w:t>Expense (E) –1</w:t>
            </w:r>
            <w:r w:rsidR="00C0498F">
              <w:rPr>
                <w:szCs w:val="22"/>
              </w:rPr>
              <w:t>06.</w:t>
            </w:r>
          </w:p>
        </w:tc>
        <w:tc>
          <w:tcPr>
            <w:tcW w:w="2862" w:type="dxa"/>
            <w:tcBorders>
              <w:left w:val="single" w:sz="4" w:space="0" w:color="auto"/>
            </w:tcBorders>
          </w:tcPr>
          <w:p w14:paraId="3C2E1FA3" w14:textId="77777777" w:rsidR="0057409B" w:rsidRPr="00253458" w:rsidRDefault="0057409B" w:rsidP="005320A5">
            <w:pPr>
              <w:pStyle w:val="TableBody"/>
              <w:rPr>
                <w:szCs w:val="22"/>
              </w:rPr>
            </w:pPr>
          </w:p>
        </w:tc>
      </w:tr>
      <w:tr w:rsidR="0057409B" w:rsidRPr="00253458" w14:paraId="15DC9AA7" w14:textId="77777777" w:rsidTr="00253458">
        <w:tc>
          <w:tcPr>
            <w:tcW w:w="6498" w:type="dxa"/>
            <w:tcBorders>
              <w:right w:val="single" w:sz="4" w:space="0" w:color="auto"/>
            </w:tcBorders>
          </w:tcPr>
          <w:p w14:paraId="6EF2249C" w14:textId="77777777" w:rsidR="0057409B" w:rsidRDefault="0057409B" w:rsidP="0057409B">
            <w:pPr>
              <w:pStyle w:val="TableBody"/>
              <w:ind w:left="1152"/>
            </w:pPr>
            <w:r>
              <w:t>b.</w:t>
            </w:r>
            <w:r>
              <w:tab/>
              <w:t>Record:</w:t>
            </w:r>
          </w:p>
        </w:tc>
        <w:tc>
          <w:tcPr>
            <w:tcW w:w="2862" w:type="dxa"/>
            <w:tcBorders>
              <w:left w:val="single" w:sz="4" w:space="0" w:color="auto"/>
            </w:tcBorders>
          </w:tcPr>
          <w:p w14:paraId="5A7356FA" w14:textId="77777777" w:rsidR="0057409B" w:rsidRPr="00253458" w:rsidRDefault="0057409B" w:rsidP="005320A5">
            <w:pPr>
              <w:pStyle w:val="TableBody"/>
              <w:rPr>
                <w:szCs w:val="22"/>
              </w:rPr>
            </w:pPr>
          </w:p>
        </w:tc>
      </w:tr>
      <w:tr w:rsidR="0057409B" w:rsidRPr="00253458" w14:paraId="50043F9D" w14:textId="77777777" w:rsidTr="00253458">
        <w:tc>
          <w:tcPr>
            <w:tcW w:w="6498" w:type="dxa"/>
            <w:tcBorders>
              <w:right w:val="single" w:sz="4" w:space="0" w:color="auto"/>
            </w:tcBorders>
          </w:tcPr>
          <w:tbl>
            <w:tblPr>
              <w:tblW w:w="4896" w:type="dxa"/>
              <w:tblInd w:w="1440" w:type="dxa"/>
              <w:tblLayout w:type="fixed"/>
              <w:tblLook w:val="04A0" w:firstRow="1" w:lastRow="0" w:firstColumn="1" w:lastColumn="0" w:noHBand="0" w:noVBand="1"/>
            </w:tblPr>
            <w:tblGrid>
              <w:gridCol w:w="3744"/>
              <w:gridCol w:w="576"/>
              <w:gridCol w:w="576"/>
            </w:tblGrid>
            <w:tr w:rsidR="0057409B" w14:paraId="5CF160B5" w14:textId="77777777" w:rsidTr="0057409B">
              <w:tc>
                <w:tcPr>
                  <w:tcW w:w="3744" w:type="dxa"/>
                </w:tcPr>
                <w:p w14:paraId="4B25A660" w14:textId="77777777" w:rsidR="0057409B" w:rsidRDefault="00C0498F" w:rsidP="00CD2C4D">
                  <w:pPr>
                    <w:pStyle w:val="TableBody"/>
                  </w:pPr>
                  <w:r>
                    <w:rPr>
                      <w:szCs w:val="22"/>
                    </w:rPr>
                    <w:t>Depletion</w:t>
                  </w:r>
                  <w:r>
                    <w:t xml:space="preserve"> </w:t>
                  </w:r>
                  <w:r w:rsidR="0057409B">
                    <w:t xml:space="preserve">Expense </w:t>
                  </w:r>
                </w:p>
              </w:tc>
              <w:tc>
                <w:tcPr>
                  <w:tcW w:w="576" w:type="dxa"/>
                </w:tcPr>
                <w:p w14:paraId="7E6C8311" w14:textId="77777777" w:rsidR="0057409B" w:rsidRDefault="00C0498F" w:rsidP="00CD2C4D">
                  <w:pPr>
                    <w:pStyle w:val="TableBody"/>
                    <w:jc w:val="right"/>
                  </w:pPr>
                  <w:r>
                    <w:t>106</w:t>
                  </w:r>
                </w:p>
              </w:tc>
              <w:tc>
                <w:tcPr>
                  <w:tcW w:w="576" w:type="dxa"/>
                </w:tcPr>
                <w:p w14:paraId="23ED2D58" w14:textId="77777777" w:rsidR="0057409B" w:rsidRDefault="0057409B" w:rsidP="00CD2C4D">
                  <w:pPr>
                    <w:pStyle w:val="TableBody"/>
                    <w:jc w:val="right"/>
                  </w:pPr>
                </w:p>
              </w:tc>
            </w:tr>
            <w:tr w:rsidR="0057409B" w14:paraId="0FEFB45E" w14:textId="77777777" w:rsidTr="0057409B">
              <w:tc>
                <w:tcPr>
                  <w:tcW w:w="3744" w:type="dxa"/>
                </w:tcPr>
                <w:p w14:paraId="3317F47E" w14:textId="77777777" w:rsidR="0057409B" w:rsidRDefault="0057409B" w:rsidP="00C0498F">
                  <w:pPr>
                    <w:pStyle w:val="TableBody"/>
                  </w:pPr>
                  <w:r>
                    <w:t xml:space="preserve">   </w:t>
                  </w:r>
                  <w:r w:rsidR="002B6F4D">
                    <w:t xml:space="preserve"> </w:t>
                  </w:r>
                  <w:r w:rsidR="00C0498F">
                    <w:t xml:space="preserve">Accumulated </w:t>
                  </w:r>
                  <w:r w:rsidR="00C0498F">
                    <w:rPr>
                      <w:szCs w:val="22"/>
                    </w:rPr>
                    <w:t>Depletion</w:t>
                  </w:r>
                  <w:r w:rsidR="00C0498F">
                    <w:t xml:space="preserve"> </w:t>
                  </w:r>
                </w:p>
              </w:tc>
              <w:tc>
                <w:tcPr>
                  <w:tcW w:w="576" w:type="dxa"/>
                </w:tcPr>
                <w:p w14:paraId="390B5F77" w14:textId="77777777" w:rsidR="0057409B" w:rsidRDefault="0057409B" w:rsidP="00CD2C4D">
                  <w:pPr>
                    <w:pStyle w:val="TableBody"/>
                    <w:jc w:val="right"/>
                  </w:pPr>
                </w:p>
              </w:tc>
              <w:tc>
                <w:tcPr>
                  <w:tcW w:w="576" w:type="dxa"/>
                </w:tcPr>
                <w:p w14:paraId="045A1BF8" w14:textId="77777777" w:rsidR="0057409B" w:rsidRDefault="00C0498F" w:rsidP="00CD2C4D">
                  <w:pPr>
                    <w:pStyle w:val="TableBody"/>
                    <w:jc w:val="right"/>
                  </w:pPr>
                  <w:r>
                    <w:t>106</w:t>
                  </w:r>
                </w:p>
              </w:tc>
            </w:tr>
          </w:tbl>
          <w:p w14:paraId="79E72142" w14:textId="77777777" w:rsidR="0057409B" w:rsidRDefault="0057409B" w:rsidP="00CD2C4D">
            <w:pPr>
              <w:pStyle w:val="TableBody"/>
              <w:ind w:left="1728" w:hanging="288"/>
            </w:pPr>
          </w:p>
        </w:tc>
        <w:tc>
          <w:tcPr>
            <w:tcW w:w="2862" w:type="dxa"/>
            <w:tcBorders>
              <w:left w:val="single" w:sz="4" w:space="0" w:color="auto"/>
            </w:tcBorders>
          </w:tcPr>
          <w:p w14:paraId="32F3DA23" w14:textId="77777777" w:rsidR="0057409B" w:rsidRPr="00253458" w:rsidRDefault="0057409B" w:rsidP="005320A5">
            <w:pPr>
              <w:pStyle w:val="TableBody"/>
              <w:rPr>
                <w:szCs w:val="22"/>
              </w:rPr>
            </w:pPr>
          </w:p>
        </w:tc>
      </w:tr>
    </w:tbl>
    <w:p w14:paraId="4E094E24" w14:textId="77777777" w:rsidR="0057409B" w:rsidRDefault="0057409B">
      <w:r>
        <w:br w:type="page"/>
      </w:r>
    </w:p>
    <w:tbl>
      <w:tblPr>
        <w:tblW w:w="0" w:type="auto"/>
        <w:tblLayout w:type="fixed"/>
        <w:tblLook w:val="01E0" w:firstRow="1" w:lastRow="1" w:firstColumn="1" w:lastColumn="1" w:noHBand="0" w:noVBand="0"/>
      </w:tblPr>
      <w:tblGrid>
        <w:gridCol w:w="6498"/>
        <w:gridCol w:w="2862"/>
      </w:tblGrid>
      <w:tr w:rsidR="00D27742" w:rsidRPr="00CD480D" w14:paraId="4ED97AC1" w14:textId="77777777" w:rsidTr="00CD2C4D">
        <w:tc>
          <w:tcPr>
            <w:tcW w:w="6498" w:type="dxa"/>
            <w:tcBorders>
              <w:right w:val="single" w:sz="4" w:space="0" w:color="auto"/>
            </w:tcBorders>
          </w:tcPr>
          <w:p w14:paraId="56078854" w14:textId="77777777" w:rsidR="00D27742" w:rsidRPr="00507ED2" w:rsidRDefault="00D27742" w:rsidP="00CD2C4D">
            <w:pPr>
              <w:pStyle w:val="Heading1"/>
              <w:rPr>
                <w:bCs/>
              </w:rPr>
            </w:pPr>
            <w:r>
              <w:rPr>
                <w:rFonts w:ascii="Times New Roman" w:hAnsi="Times New Roman"/>
                <w:b w:val="0"/>
                <w:kern w:val="0"/>
                <w:sz w:val="22"/>
                <w:u w:val="none"/>
              </w:rPr>
              <w:lastRenderedPageBreak/>
              <w:br w:type="page"/>
            </w:r>
            <w:r>
              <w:rPr>
                <w:rFonts w:ascii="Times New Roman" w:hAnsi="Times New Roman"/>
                <w:b w:val="0"/>
                <w:kern w:val="0"/>
                <w:sz w:val="22"/>
                <w:u w:val="none"/>
              </w:rPr>
              <w:br w:type="page"/>
            </w:r>
            <w:r>
              <w:t>Chapter Outline</w:t>
            </w:r>
          </w:p>
        </w:tc>
        <w:tc>
          <w:tcPr>
            <w:tcW w:w="2862" w:type="dxa"/>
            <w:tcBorders>
              <w:left w:val="single" w:sz="4" w:space="0" w:color="auto"/>
            </w:tcBorders>
          </w:tcPr>
          <w:p w14:paraId="7A05E2C4" w14:textId="77777777" w:rsidR="00D27742" w:rsidRPr="00CD480D" w:rsidRDefault="00D27742" w:rsidP="00CD2C4D">
            <w:pPr>
              <w:pStyle w:val="Heading1"/>
            </w:pPr>
            <w:r w:rsidRPr="00CD480D">
              <w:t>Teaching Notes</w:t>
            </w:r>
          </w:p>
        </w:tc>
      </w:tr>
      <w:tr w:rsidR="00253458" w:rsidRPr="00253458" w14:paraId="61A1E82C" w14:textId="77777777" w:rsidTr="00253458">
        <w:tc>
          <w:tcPr>
            <w:tcW w:w="6498" w:type="dxa"/>
            <w:tcBorders>
              <w:right w:val="single" w:sz="4" w:space="0" w:color="auto"/>
            </w:tcBorders>
          </w:tcPr>
          <w:p w14:paraId="08471A34" w14:textId="77777777" w:rsidR="00253458" w:rsidRPr="00253458" w:rsidRDefault="00253458" w:rsidP="00D8730F">
            <w:pPr>
              <w:pStyle w:val="TableBody"/>
              <w:rPr>
                <w:szCs w:val="22"/>
              </w:rPr>
            </w:pPr>
            <w:r>
              <w:rPr>
                <w:szCs w:val="22"/>
              </w:rPr>
              <w:t>V.</w:t>
            </w:r>
            <w:r>
              <w:rPr>
                <w:szCs w:val="22"/>
              </w:rPr>
              <w:tab/>
            </w:r>
            <w:r>
              <w:rPr>
                <w:szCs w:val="22"/>
              </w:rPr>
              <w:tab/>
            </w:r>
            <w:r w:rsidRPr="00253458">
              <w:rPr>
                <w:szCs w:val="22"/>
              </w:rPr>
              <w:t>Changes in Depreciation Estimates</w:t>
            </w:r>
          </w:p>
        </w:tc>
        <w:tc>
          <w:tcPr>
            <w:tcW w:w="2862" w:type="dxa"/>
            <w:tcBorders>
              <w:left w:val="single" w:sz="4" w:space="0" w:color="auto"/>
            </w:tcBorders>
          </w:tcPr>
          <w:p w14:paraId="2AC4F96F" w14:textId="77777777" w:rsidR="00253458" w:rsidRPr="00253458" w:rsidRDefault="00253458" w:rsidP="005320A5">
            <w:pPr>
              <w:pStyle w:val="TableBody"/>
              <w:rPr>
                <w:szCs w:val="22"/>
              </w:rPr>
            </w:pPr>
          </w:p>
        </w:tc>
      </w:tr>
      <w:tr w:rsidR="00D8730F" w:rsidRPr="005C4337" w14:paraId="1C5B45F9" w14:textId="77777777" w:rsidTr="00060810">
        <w:tc>
          <w:tcPr>
            <w:tcW w:w="9360" w:type="dxa"/>
            <w:gridSpan w:val="2"/>
            <w:tcBorders>
              <w:top w:val="single" w:sz="4" w:space="0" w:color="auto"/>
              <w:left w:val="single" w:sz="4" w:space="0" w:color="auto"/>
              <w:bottom w:val="single" w:sz="4" w:space="0" w:color="auto"/>
              <w:right w:val="single" w:sz="4" w:space="0" w:color="auto"/>
            </w:tcBorders>
          </w:tcPr>
          <w:p w14:paraId="1B54B974" w14:textId="506B6411" w:rsidR="00D8730F" w:rsidRPr="005C4337" w:rsidRDefault="00220B82" w:rsidP="00400842">
            <w:pPr>
              <w:pStyle w:val="TableBody"/>
              <w:spacing w:before="60" w:after="60"/>
              <w:ind w:left="576" w:hanging="576"/>
              <w:rPr>
                <w:b/>
                <w:i/>
              </w:rPr>
            </w:pPr>
            <w:r>
              <w:rPr>
                <w:b/>
                <w:i/>
              </w:rPr>
              <w:t xml:space="preserve">LO </w:t>
            </w:r>
            <w:r w:rsidR="00C45729" w:rsidRPr="00C45729">
              <w:rPr>
                <w:b/>
                <w:bCs/>
                <w:i/>
              </w:rPr>
              <w:t>9-</w:t>
            </w:r>
            <w:r>
              <w:rPr>
                <w:b/>
                <w:i/>
              </w:rPr>
              <w:t>S2</w:t>
            </w:r>
            <w:r w:rsidR="004A79AB" w:rsidRPr="005C4337">
              <w:rPr>
                <w:b/>
                <w:i/>
              </w:rPr>
              <w:t xml:space="preserve"> </w:t>
            </w:r>
            <w:r w:rsidR="00D8730F" w:rsidRPr="00D8730F">
              <w:rPr>
                <w:b/>
                <w:i/>
              </w:rPr>
              <w:t>Calculate changes in depreciation aris</w:t>
            </w:r>
            <w:r w:rsidR="003C0C5C">
              <w:rPr>
                <w:b/>
                <w:i/>
              </w:rPr>
              <w:t>ing from changes in estimates or</w:t>
            </w:r>
            <w:r w:rsidR="00D8730F" w:rsidRPr="00D8730F">
              <w:rPr>
                <w:b/>
                <w:i/>
              </w:rPr>
              <w:t xml:space="preserve"> capitalized cost.</w:t>
            </w:r>
          </w:p>
        </w:tc>
      </w:tr>
      <w:tr w:rsidR="00253458" w14:paraId="51FFB430" w14:textId="77777777">
        <w:tc>
          <w:tcPr>
            <w:tcW w:w="6498" w:type="dxa"/>
            <w:tcBorders>
              <w:right w:val="single" w:sz="4" w:space="0" w:color="auto"/>
            </w:tcBorders>
          </w:tcPr>
          <w:p w14:paraId="74982916" w14:textId="77777777" w:rsidR="00253458" w:rsidRPr="00945938" w:rsidRDefault="00C92585" w:rsidP="00C92585">
            <w:pPr>
              <w:pStyle w:val="TableBody"/>
              <w:ind w:left="864" w:hanging="288"/>
              <w:rPr>
                <w:szCs w:val="22"/>
              </w:rPr>
            </w:pPr>
            <w:r>
              <w:rPr>
                <w:szCs w:val="22"/>
              </w:rPr>
              <w:t>A.</w:t>
            </w:r>
            <w:r w:rsidR="00253458">
              <w:rPr>
                <w:szCs w:val="22"/>
              </w:rPr>
              <w:tab/>
            </w:r>
            <w:r w:rsidR="00253458" w:rsidRPr="00945938">
              <w:rPr>
                <w:szCs w:val="22"/>
              </w:rPr>
              <w:t>Depreciation is based on two estimates, useful life and residual value.</w:t>
            </w:r>
          </w:p>
        </w:tc>
        <w:tc>
          <w:tcPr>
            <w:tcW w:w="2862" w:type="dxa"/>
            <w:tcBorders>
              <w:left w:val="single" w:sz="4" w:space="0" w:color="auto"/>
            </w:tcBorders>
          </w:tcPr>
          <w:p w14:paraId="0C6D23B6" w14:textId="77777777" w:rsidR="00253458" w:rsidRDefault="00253458" w:rsidP="005320A5">
            <w:pPr>
              <w:pStyle w:val="TableBody"/>
            </w:pPr>
          </w:p>
        </w:tc>
      </w:tr>
      <w:tr w:rsidR="00253458" w14:paraId="7DB9784C" w14:textId="77777777">
        <w:tc>
          <w:tcPr>
            <w:tcW w:w="6498" w:type="dxa"/>
            <w:tcBorders>
              <w:right w:val="single" w:sz="4" w:space="0" w:color="auto"/>
            </w:tcBorders>
          </w:tcPr>
          <w:p w14:paraId="59B082AF" w14:textId="77777777" w:rsidR="00253458" w:rsidRDefault="00C92585" w:rsidP="001E7984">
            <w:pPr>
              <w:pStyle w:val="TableBody"/>
              <w:ind w:left="1152" w:hanging="288"/>
              <w:rPr>
                <w:szCs w:val="22"/>
              </w:rPr>
            </w:pPr>
            <w:r>
              <w:rPr>
                <w:szCs w:val="22"/>
              </w:rPr>
              <w:t>1</w:t>
            </w:r>
            <w:r w:rsidR="00253458">
              <w:rPr>
                <w:szCs w:val="22"/>
              </w:rPr>
              <w:t>.</w:t>
            </w:r>
            <w:r w:rsidR="00253458">
              <w:rPr>
                <w:szCs w:val="22"/>
              </w:rPr>
              <w:tab/>
            </w:r>
            <w:r>
              <w:rPr>
                <w:szCs w:val="22"/>
              </w:rPr>
              <w:t>O</w:t>
            </w:r>
            <w:r w:rsidR="00253458" w:rsidRPr="00945938">
              <w:rPr>
                <w:szCs w:val="22"/>
              </w:rPr>
              <w:t>ne or both of these initial estimates may need to be revised</w:t>
            </w:r>
            <w:r w:rsidR="001E7984">
              <w:rPr>
                <w:szCs w:val="22"/>
              </w:rPr>
              <w:t>; i</w:t>
            </w:r>
            <w:r w:rsidR="00253458" w:rsidRPr="00945938">
              <w:rPr>
                <w:szCs w:val="22"/>
              </w:rPr>
              <w:t>n addition, extraordinary repairs and additions may be added to the original acquisition cost at some time during the asset’s use.</w:t>
            </w:r>
          </w:p>
        </w:tc>
        <w:tc>
          <w:tcPr>
            <w:tcW w:w="2862" w:type="dxa"/>
            <w:tcBorders>
              <w:left w:val="single" w:sz="4" w:space="0" w:color="auto"/>
            </w:tcBorders>
          </w:tcPr>
          <w:p w14:paraId="639246F8" w14:textId="77777777" w:rsidR="00253458" w:rsidRDefault="00253458" w:rsidP="005320A5">
            <w:pPr>
              <w:pStyle w:val="TableBody"/>
            </w:pPr>
          </w:p>
        </w:tc>
      </w:tr>
      <w:tr w:rsidR="00253458" w14:paraId="6025AE5F" w14:textId="77777777">
        <w:tc>
          <w:tcPr>
            <w:tcW w:w="6498" w:type="dxa"/>
            <w:tcBorders>
              <w:right w:val="single" w:sz="4" w:space="0" w:color="auto"/>
            </w:tcBorders>
          </w:tcPr>
          <w:p w14:paraId="4F490481" w14:textId="77777777" w:rsidR="00253458" w:rsidRDefault="00C92585" w:rsidP="00C92585">
            <w:pPr>
              <w:pStyle w:val="TableBody"/>
              <w:ind w:left="1152" w:hanging="288"/>
              <w:rPr>
                <w:szCs w:val="22"/>
              </w:rPr>
            </w:pPr>
            <w:r>
              <w:rPr>
                <w:szCs w:val="22"/>
              </w:rPr>
              <w:t>2</w:t>
            </w:r>
            <w:r w:rsidR="00253458">
              <w:rPr>
                <w:szCs w:val="22"/>
              </w:rPr>
              <w:t>.</w:t>
            </w:r>
            <w:r w:rsidR="00253458">
              <w:rPr>
                <w:szCs w:val="22"/>
              </w:rPr>
              <w:tab/>
            </w:r>
            <w:r>
              <w:rPr>
                <w:szCs w:val="22"/>
              </w:rPr>
              <w:t xml:space="preserve">If </w:t>
            </w:r>
            <w:r w:rsidR="00253458" w:rsidRPr="00945938">
              <w:rPr>
                <w:szCs w:val="22"/>
              </w:rPr>
              <w:t xml:space="preserve">either estimate </w:t>
            </w:r>
            <w:r>
              <w:rPr>
                <w:szCs w:val="22"/>
              </w:rPr>
              <w:t xml:space="preserve">is </w:t>
            </w:r>
            <w:r w:rsidR="00253458" w:rsidRPr="00945938">
              <w:rPr>
                <w:szCs w:val="22"/>
              </w:rPr>
              <w:t xml:space="preserve">revised or </w:t>
            </w:r>
            <w:r>
              <w:rPr>
                <w:szCs w:val="22"/>
              </w:rPr>
              <w:t xml:space="preserve">if </w:t>
            </w:r>
            <w:r w:rsidR="00253458" w:rsidRPr="00945938">
              <w:rPr>
                <w:szCs w:val="22"/>
              </w:rPr>
              <w:t xml:space="preserve">the asset’s cost has changed, the undepreciated asset balance (less any residual value estimated at that date) should be assigned to each of the remaining years of estimated life using a new amount of depreciation. </w:t>
            </w:r>
          </w:p>
        </w:tc>
        <w:tc>
          <w:tcPr>
            <w:tcW w:w="2862" w:type="dxa"/>
            <w:tcBorders>
              <w:left w:val="single" w:sz="4" w:space="0" w:color="auto"/>
            </w:tcBorders>
          </w:tcPr>
          <w:p w14:paraId="3F3E9D4F" w14:textId="77777777" w:rsidR="00253458" w:rsidRDefault="00253458" w:rsidP="005320A5">
            <w:pPr>
              <w:pStyle w:val="TableBody"/>
            </w:pPr>
          </w:p>
        </w:tc>
      </w:tr>
      <w:tr w:rsidR="00253458" w14:paraId="2930FD16" w14:textId="77777777">
        <w:tc>
          <w:tcPr>
            <w:tcW w:w="6498" w:type="dxa"/>
            <w:tcBorders>
              <w:right w:val="single" w:sz="4" w:space="0" w:color="auto"/>
            </w:tcBorders>
          </w:tcPr>
          <w:p w14:paraId="209F6814" w14:textId="77777777" w:rsidR="00253458" w:rsidRDefault="00C92585" w:rsidP="00C92585">
            <w:pPr>
              <w:pStyle w:val="TableBody"/>
              <w:ind w:left="1152" w:hanging="288"/>
              <w:rPr>
                <w:szCs w:val="22"/>
              </w:rPr>
            </w:pPr>
            <w:r>
              <w:rPr>
                <w:szCs w:val="22"/>
              </w:rPr>
              <w:t>3</w:t>
            </w:r>
            <w:r w:rsidR="00253458">
              <w:rPr>
                <w:szCs w:val="22"/>
              </w:rPr>
              <w:t>.</w:t>
            </w:r>
            <w:r w:rsidR="00253458">
              <w:rPr>
                <w:szCs w:val="22"/>
              </w:rPr>
              <w:tab/>
            </w:r>
            <w:r w:rsidR="00253458" w:rsidRPr="00EC1E5C">
              <w:rPr>
                <w:szCs w:val="22"/>
              </w:rPr>
              <w:t>To compute the new depreciation expense due to the changes described above, substitute the book value for the original acquisition cost, the new residual value for the original residual value, and the estimated remaining life for the original useful life.</w:t>
            </w:r>
          </w:p>
        </w:tc>
        <w:tc>
          <w:tcPr>
            <w:tcW w:w="2862" w:type="dxa"/>
            <w:tcBorders>
              <w:left w:val="single" w:sz="4" w:space="0" w:color="auto"/>
            </w:tcBorders>
          </w:tcPr>
          <w:p w14:paraId="1E687A85" w14:textId="77777777" w:rsidR="00253458" w:rsidRDefault="00253458" w:rsidP="005320A5">
            <w:pPr>
              <w:pStyle w:val="TableBody"/>
            </w:pPr>
          </w:p>
        </w:tc>
      </w:tr>
      <w:tr w:rsidR="00253458" w14:paraId="6FE06FB5" w14:textId="77777777">
        <w:tc>
          <w:tcPr>
            <w:tcW w:w="6498" w:type="dxa"/>
            <w:tcBorders>
              <w:right w:val="single" w:sz="4" w:space="0" w:color="auto"/>
            </w:tcBorders>
          </w:tcPr>
          <w:p w14:paraId="5769F461" w14:textId="77777777" w:rsidR="00253458" w:rsidRDefault="00C92585" w:rsidP="009E520B">
            <w:pPr>
              <w:pStyle w:val="TableBody"/>
              <w:ind w:left="864" w:hanging="288"/>
              <w:rPr>
                <w:szCs w:val="22"/>
              </w:rPr>
            </w:pPr>
            <w:r>
              <w:rPr>
                <w:szCs w:val="22"/>
              </w:rPr>
              <w:t>B</w:t>
            </w:r>
            <w:r w:rsidR="00253458">
              <w:rPr>
                <w:szCs w:val="22"/>
              </w:rPr>
              <w:t>.</w:t>
            </w:r>
            <w:r w:rsidR="00253458">
              <w:rPr>
                <w:szCs w:val="22"/>
              </w:rPr>
              <w:tab/>
            </w:r>
            <w:r w:rsidR="00253458" w:rsidRPr="00EC1E5C">
              <w:rPr>
                <w:szCs w:val="22"/>
              </w:rPr>
              <w:t xml:space="preserve">Companies may also change depreciation methods (for example, from declining-balance to straight-line). </w:t>
            </w:r>
          </w:p>
        </w:tc>
        <w:tc>
          <w:tcPr>
            <w:tcW w:w="2862" w:type="dxa"/>
            <w:tcBorders>
              <w:left w:val="single" w:sz="4" w:space="0" w:color="auto"/>
            </w:tcBorders>
          </w:tcPr>
          <w:p w14:paraId="16D120B5" w14:textId="77777777" w:rsidR="00253458" w:rsidRDefault="00162AE0" w:rsidP="005320A5">
            <w:pPr>
              <w:pStyle w:val="TableBody"/>
            </w:pPr>
            <w:r>
              <w:rPr>
                <w:i/>
              </w:rPr>
              <w:t xml:space="preserve">Covered </w:t>
            </w:r>
            <w:r w:rsidRPr="00253458">
              <w:rPr>
                <w:i/>
              </w:rPr>
              <w:t xml:space="preserve">more fully in </w:t>
            </w:r>
            <w:r w:rsidRPr="00253458">
              <w:rPr>
                <w:i/>
                <w:szCs w:val="22"/>
              </w:rPr>
              <w:t>intermediate accounting</w:t>
            </w:r>
          </w:p>
        </w:tc>
      </w:tr>
      <w:tr w:rsidR="00253458" w14:paraId="0236BA19" w14:textId="77777777">
        <w:tc>
          <w:tcPr>
            <w:tcW w:w="6498" w:type="dxa"/>
            <w:tcBorders>
              <w:right w:val="single" w:sz="4" w:space="0" w:color="auto"/>
            </w:tcBorders>
          </w:tcPr>
          <w:p w14:paraId="102A5630" w14:textId="77777777" w:rsidR="00253458" w:rsidRDefault="00C92585" w:rsidP="009E520B">
            <w:pPr>
              <w:pStyle w:val="TableBody"/>
              <w:ind w:left="1152" w:hanging="288"/>
              <w:rPr>
                <w:szCs w:val="22"/>
              </w:rPr>
            </w:pPr>
            <w:r>
              <w:rPr>
                <w:szCs w:val="22"/>
              </w:rPr>
              <w:t>1</w:t>
            </w:r>
            <w:r w:rsidR="00253458">
              <w:rPr>
                <w:szCs w:val="22"/>
              </w:rPr>
              <w:t>.</w:t>
            </w:r>
            <w:r w:rsidR="00253458">
              <w:rPr>
                <w:szCs w:val="22"/>
              </w:rPr>
              <w:tab/>
            </w:r>
            <w:r>
              <w:rPr>
                <w:szCs w:val="22"/>
              </w:rPr>
              <w:t xml:space="preserve">Change </w:t>
            </w:r>
            <w:r w:rsidR="00253458" w:rsidRPr="00EC1E5C">
              <w:rPr>
                <w:szCs w:val="22"/>
              </w:rPr>
              <w:t xml:space="preserve">requires significantly more disclosure. </w:t>
            </w:r>
          </w:p>
        </w:tc>
        <w:tc>
          <w:tcPr>
            <w:tcW w:w="2862" w:type="dxa"/>
            <w:tcBorders>
              <w:left w:val="single" w:sz="4" w:space="0" w:color="auto"/>
            </w:tcBorders>
          </w:tcPr>
          <w:p w14:paraId="43392469" w14:textId="77777777" w:rsidR="00253458" w:rsidRDefault="00162AE0" w:rsidP="00162AE0">
            <w:pPr>
              <w:pStyle w:val="TableBody"/>
            </w:pPr>
            <w:r>
              <w:rPr>
                <w:i/>
                <w:szCs w:val="22"/>
              </w:rPr>
              <w:t>t</w:t>
            </w:r>
            <w:r w:rsidRPr="00253458">
              <w:rPr>
                <w:i/>
                <w:szCs w:val="22"/>
              </w:rPr>
              <w:t>extbooks</w:t>
            </w:r>
            <w:r>
              <w:rPr>
                <w:i/>
                <w:szCs w:val="22"/>
              </w:rPr>
              <w:t>.</w:t>
            </w:r>
          </w:p>
        </w:tc>
      </w:tr>
      <w:tr w:rsidR="00253458" w14:paraId="45D6E01C" w14:textId="77777777">
        <w:tc>
          <w:tcPr>
            <w:tcW w:w="6498" w:type="dxa"/>
            <w:tcBorders>
              <w:right w:val="single" w:sz="4" w:space="0" w:color="auto"/>
            </w:tcBorders>
          </w:tcPr>
          <w:p w14:paraId="088DFE6B" w14:textId="77777777" w:rsidR="00253458" w:rsidRDefault="00C92585" w:rsidP="009E520B">
            <w:pPr>
              <w:pStyle w:val="TableBody"/>
              <w:ind w:left="1152" w:hanging="288"/>
              <w:rPr>
                <w:szCs w:val="22"/>
              </w:rPr>
            </w:pPr>
            <w:r>
              <w:rPr>
                <w:szCs w:val="22"/>
              </w:rPr>
              <w:t>2</w:t>
            </w:r>
            <w:r w:rsidR="00253458">
              <w:rPr>
                <w:szCs w:val="22"/>
              </w:rPr>
              <w:t>.</w:t>
            </w:r>
            <w:r w:rsidR="00253458">
              <w:rPr>
                <w:szCs w:val="22"/>
              </w:rPr>
              <w:tab/>
            </w:r>
            <w:r w:rsidR="00253458" w:rsidRPr="00EC1E5C">
              <w:rPr>
                <w:szCs w:val="22"/>
              </w:rPr>
              <w:t>Under GAAP, changes in accounting estimates and depreciation methods should be made only when a new estimate or accounting method “better measures” the periodic income of the business.</w:t>
            </w:r>
          </w:p>
        </w:tc>
        <w:tc>
          <w:tcPr>
            <w:tcW w:w="2862" w:type="dxa"/>
            <w:tcBorders>
              <w:left w:val="single" w:sz="4" w:space="0" w:color="auto"/>
            </w:tcBorders>
          </w:tcPr>
          <w:p w14:paraId="4A65FE3A" w14:textId="77777777" w:rsidR="00253458" w:rsidRPr="00253458" w:rsidRDefault="00253458" w:rsidP="00C92585">
            <w:pPr>
              <w:pStyle w:val="TableBody"/>
              <w:rPr>
                <w:i/>
              </w:rPr>
            </w:pPr>
          </w:p>
        </w:tc>
      </w:tr>
    </w:tbl>
    <w:p w14:paraId="5F60760D" w14:textId="77777777" w:rsidR="00EC1E5C" w:rsidRPr="00BC2B2D" w:rsidRDefault="00EC1E5C">
      <w:pPr>
        <w:rPr>
          <w:sz w:val="4"/>
          <w:szCs w:val="4"/>
        </w:rPr>
      </w:pPr>
    </w:p>
    <w:p w14:paraId="129DAF6F" w14:textId="77777777" w:rsidR="00D27742" w:rsidRDefault="00D27742">
      <w:pPr>
        <w:rPr>
          <w:rFonts w:ascii="Arial" w:hAnsi="Arial"/>
          <w:b/>
          <w:kern w:val="28"/>
          <w:sz w:val="24"/>
          <w:u w:val="single"/>
        </w:rPr>
      </w:pPr>
      <w:r>
        <w:br w:type="page"/>
      </w:r>
    </w:p>
    <w:p w14:paraId="465FFF94" w14:textId="77777777" w:rsidR="000C4AAD" w:rsidRDefault="000C4AAD" w:rsidP="00945938">
      <w:pPr>
        <w:pStyle w:val="Heading1"/>
        <w:spacing w:before="240"/>
      </w:pPr>
      <w:r>
        <w:lastRenderedPageBreak/>
        <w:t>Supplemental Enrichment Activities</w:t>
      </w:r>
    </w:p>
    <w:p w14:paraId="6BDCAAD4" w14:textId="77777777" w:rsidR="001C5B0F" w:rsidRDefault="001C5B0F" w:rsidP="001E79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pPr>
      <w:r w:rsidRPr="00C264B8">
        <w:t xml:space="preserve">Note: </w:t>
      </w:r>
      <w:r>
        <w:t xml:space="preserve">These </w:t>
      </w:r>
      <w:r w:rsidRPr="00C264B8">
        <w:t xml:space="preserve">activities would be suitable for individual or group </w:t>
      </w:r>
      <w:r>
        <w:t>activities</w:t>
      </w:r>
      <w:r w:rsidR="005F41C7">
        <w:t xml:space="preserve"> and class discussion</w:t>
      </w:r>
      <w:r w:rsidRPr="00C264B8">
        <w:t>.</w:t>
      </w:r>
    </w:p>
    <w:p w14:paraId="0B926D99" w14:textId="77777777" w:rsidR="00CB2DB3" w:rsidRDefault="00CB2DB3" w:rsidP="001E79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pPr>
    </w:p>
    <w:p w14:paraId="0B832D53" w14:textId="42EAC58E" w:rsidR="00CB2DB3" w:rsidRDefault="00CB2DB3" w:rsidP="001E7984">
      <w:pPr>
        <w:pStyle w:val="BodyText"/>
        <w:numPr>
          <w:ilvl w:val="0"/>
          <w:numId w:val="13"/>
        </w:numPr>
        <w:spacing w:after="120"/>
        <w:jc w:val="left"/>
      </w:pPr>
      <w:r>
        <w:t>Handout 9</w:t>
      </w:r>
      <w:r w:rsidR="00E416B4">
        <w:t>–</w:t>
      </w:r>
      <w:r>
        <w:t>1</w:t>
      </w:r>
    </w:p>
    <w:p w14:paraId="426E791B" w14:textId="43A9A935" w:rsidR="00CB2DB3" w:rsidRDefault="00CB2DB3" w:rsidP="001E7984">
      <w:pPr>
        <w:pStyle w:val="BodyText"/>
        <w:spacing w:after="120"/>
        <w:ind w:left="360"/>
        <w:jc w:val="left"/>
      </w:pPr>
      <w:r>
        <w:t>Use Handout 9</w:t>
      </w:r>
      <w:r w:rsidR="00E416B4">
        <w:t>–</w:t>
      </w:r>
      <w:r>
        <w:t xml:space="preserve">1 for an in-class </w:t>
      </w:r>
      <w:r w:rsidR="006F2407">
        <w:t xml:space="preserve">activity designed </w:t>
      </w:r>
      <w:r>
        <w:t>to review acquisition cost, depreciation computations using all four methods, and the calculation of a gain/loss on sale. The solution follows the handout master</w:t>
      </w:r>
      <w:r w:rsidRPr="00DC54C7">
        <w:t>.</w:t>
      </w:r>
    </w:p>
    <w:p w14:paraId="2328E43E" w14:textId="5ECD412D" w:rsidR="00CB2DB3" w:rsidRDefault="00CB2DB3" w:rsidP="001E7984">
      <w:pPr>
        <w:pStyle w:val="BodyText"/>
        <w:numPr>
          <w:ilvl w:val="0"/>
          <w:numId w:val="13"/>
        </w:numPr>
        <w:spacing w:after="120"/>
        <w:jc w:val="left"/>
      </w:pPr>
      <w:r>
        <w:t>Handout 9</w:t>
      </w:r>
      <w:r w:rsidR="00E416B4">
        <w:t>–</w:t>
      </w:r>
      <w:r>
        <w:t>2</w:t>
      </w:r>
    </w:p>
    <w:p w14:paraId="72C8D36C" w14:textId="31815A4E" w:rsidR="00CB2DB3" w:rsidRPr="00DC54C7" w:rsidRDefault="00CB2DB3" w:rsidP="001E7984">
      <w:pPr>
        <w:pStyle w:val="BodyText"/>
        <w:spacing w:after="120"/>
        <w:ind w:left="360"/>
        <w:jc w:val="left"/>
      </w:pPr>
      <w:r>
        <w:t>If you used Handout 9</w:t>
      </w:r>
      <w:r w:rsidR="00E416B4">
        <w:t>–</w:t>
      </w:r>
      <w:r>
        <w:t>1, use Handout 9</w:t>
      </w:r>
      <w:r w:rsidR="00E416B4">
        <w:t>–</w:t>
      </w:r>
      <w:r>
        <w:t>2 for an in-class discussion of the results of the calculations performed in Handout 9</w:t>
      </w:r>
      <w:r w:rsidR="00E416B4">
        <w:t>–</w:t>
      </w:r>
      <w:r>
        <w:t xml:space="preserve">1. </w:t>
      </w:r>
    </w:p>
    <w:p w14:paraId="1D63B938" w14:textId="77777777" w:rsidR="00CB2DB3" w:rsidRPr="00DC54C7" w:rsidRDefault="00CB2DB3" w:rsidP="001E7984">
      <w:pPr>
        <w:pStyle w:val="BodyText"/>
        <w:spacing w:after="120"/>
        <w:ind w:left="360"/>
        <w:jc w:val="left"/>
      </w:pPr>
    </w:p>
    <w:p w14:paraId="15C54AE0" w14:textId="17792A31" w:rsidR="001C5B0F" w:rsidRPr="005F480C" w:rsidRDefault="001C5B0F" w:rsidP="001C5B0F">
      <w:pPr>
        <w:pStyle w:val="Heading1"/>
        <w:spacing w:before="240"/>
      </w:pPr>
      <w:r>
        <w:br w:type="page"/>
      </w:r>
      <w:r w:rsidRPr="005F480C">
        <w:lastRenderedPageBreak/>
        <w:t>HANDOUT</w:t>
      </w:r>
      <w:r w:rsidR="000568A0">
        <w:t xml:space="preserve"> 9</w:t>
      </w:r>
      <w:r>
        <w:t>–1</w:t>
      </w:r>
    </w:p>
    <w:p w14:paraId="4CD62953" w14:textId="77777777" w:rsidR="001C5B0F" w:rsidRDefault="000568A0" w:rsidP="001C5B0F">
      <w:pPr>
        <w:pStyle w:val="Heading1"/>
        <w:spacing w:before="240"/>
        <w:jc w:val="center"/>
        <w:rPr>
          <w:u w:val="none"/>
        </w:rPr>
      </w:pPr>
      <w:r>
        <w:rPr>
          <w:u w:val="none"/>
        </w:rPr>
        <w:t xml:space="preserve">DEPRECIATION </w:t>
      </w:r>
      <w:r w:rsidR="00253458">
        <w:rPr>
          <w:u w:val="none"/>
        </w:rPr>
        <w:t>METHODS AND GAIN</w:t>
      </w:r>
      <w:r w:rsidR="001E7984">
        <w:rPr>
          <w:u w:val="none"/>
        </w:rPr>
        <w:t xml:space="preserve"> (</w:t>
      </w:r>
      <w:r w:rsidR="00253458">
        <w:rPr>
          <w:u w:val="none"/>
        </w:rPr>
        <w:t>LOSS</w:t>
      </w:r>
      <w:r w:rsidR="001E7984">
        <w:rPr>
          <w:u w:val="none"/>
        </w:rPr>
        <w:t>)</w:t>
      </w:r>
      <w:r w:rsidR="00253458">
        <w:rPr>
          <w:u w:val="none"/>
        </w:rPr>
        <w:t xml:space="preserve"> ON SALE</w:t>
      </w:r>
    </w:p>
    <w:p w14:paraId="4EFC2699" w14:textId="77777777" w:rsidR="001C5B0F" w:rsidRDefault="001C5B0F" w:rsidP="001C5B0F">
      <w:pPr>
        <w:rPr>
          <w:szCs w:val="22"/>
        </w:rPr>
      </w:pPr>
    </w:p>
    <w:p w14:paraId="3A61A66E" w14:textId="2516B818" w:rsidR="000568A0" w:rsidRPr="000568A0" w:rsidRDefault="000568A0" w:rsidP="001E7984">
      <w:pPr>
        <w:rPr>
          <w:szCs w:val="22"/>
        </w:rPr>
      </w:pPr>
      <w:r w:rsidRPr="000568A0">
        <w:rPr>
          <w:szCs w:val="22"/>
        </w:rPr>
        <w:t>Joel Harvey Florists ac</w:t>
      </w:r>
      <w:r w:rsidR="001E7984">
        <w:rPr>
          <w:szCs w:val="22"/>
        </w:rPr>
        <w:t xml:space="preserve">quired a truck on January 1, </w:t>
      </w:r>
      <w:r w:rsidR="0025276C">
        <w:rPr>
          <w:szCs w:val="22"/>
        </w:rPr>
        <w:t>2016</w:t>
      </w:r>
      <w:r w:rsidR="002114D8">
        <w:rPr>
          <w:szCs w:val="22"/>
        </w:rPr>
        <w:t xml:space="preserve">. </w:t>
      </w:r>
      <w:r w:rsidRPr="000568A0">
        <w:rPr>
          <w:szCs w:val="22"/>
        </w:rPr>
        <w:t xml:space="preserve">The company paid $11,000 for the truck, $500 for destination charges, and $250 to paint the company name on the side of the truck. The company’s accounting manager estimates the truck to have a five-year useful life and a residual value of $1,750. The truck is expected to </w:t>
      </w:r>
      <w:r>
        <w:rPr>
          <w:szCs w:val="22"/>
        </w:rPr>
        <w:t>be driven</w:t>
      </w:r>
      <w:r w:rsidRPr="000568A0">
        <w:rPr>
          <w:szCs w:val="22"/>
        </w:rPr>
        <w:t xml:space="preserve"> 100,000 miles in five years</w:t>
      </w:r>
      <w:r w:rsidR="002114D8" w:rsidRPr="000568A0">
        <w:rPr>
          <w:szCs w:val="22"/>
        </w:rPr>
        <w:t>.</w:t>
      </w:r>
      <w:r w:rsidR="002114D8">
        <w:rPr>
          <w:szCs w:val="22"/>
        </w:rPr>
        <w:t xml:space="preserve"> </w:t>
      </w:r>
      <w:r w:rsidRPr="000568A0">
        <w:rPr>
          <w:szCs w:val="22"/>
        </w:rPr>
        <w:t xml:space="preserve">It is </w:t>
      </w:r>
      <w:r>
        <w:rPr>
          <w:szCs w:val="22"/>
        </w:rPr>
        <w:t xml:space="preserve">actually </w:t>
      </w:r>
      <w:r w:rsidR="001E7984">
        <w:rPr>
          <w:szCs w:val="22"/>
        </w:rPr>
        <w:t xml:space="preserve">driven 15,000 miles in </w:t>
      </w:r>
      <w:r w:rsidR="0025276C">
        <w:rPr>
          <w:szCs w:val="22"/>
        </w:rPr>
        <w:t>2016</w:t>
      </w:r>
      <w:r w:rsidR="001E7984">
        <w:rPr>
          <w:szCs w:val="22"/>
        </w:rPr>
        <w:t xml:space="preserve">, 25,000 miles in </w:t>
      </w:r>
      <w:r w:rsidR="0025276C">
        <w:rPr>
          <w:szCs w:val="22"/>
        </w:rPr>
        <w:t>2017</w:t>
      </w:r>
      <w:r w:rsidR="001E7984">
        <w:rPr>
          <w:szCs w:val="22"/>
        </w:rPr>
        <w:t xml:space="preserve">, 30,000 miles in </w:t>
      </w:r>
      <w:r w:rsidR="0025276C">
        <w:rPr>
          <w:szCs w:val="22"/>
        </w:rPr>
        <w:t>2018</w:t>
      </w:r>
      <w:r w:rsidRPr="000568A0">
        <w:rPr>
          <w:szCs w:val="22"/>
        </w:rPr>
        <w:t xml:space="preserve">, 25,000 miles in </w:t>
      </w:r>
      <w:r w:rsidR="0025276C">
        <w:rPr>
          <w:szCs w:val="22"/>
        </w:rPr>
        <w:t>2019</w:t>
      </w:r>
      <w:r>
        <w:rPr>
          <w:szCs w:val="22"/>
        </w:rPr>
        <w:t>,</w:t>
      </w:r>
      <w:r w:rsidRPr="000568A0">
        <w:rPr>
          <w:szCs w:val="22"/>
        </w:rPr>
        <w:t xml:space="preserve"> and 5,000 miles in </w:t>
      </w:r>
      <w:r w:rsidR="0025276C">
        <w:rPr>
          <w:szCs w:val="22"/>
        </w:rPr>
        <w:t>2020</w:t>
      </w:r>
      <w:r w:rsidRPr="000568A0">
        <w:rPr>
          <w:szCs w:val="22"/>
        </w:rPr>
        <w:t>.</w:t>
      </w:r>
    </w:p>
    <w:p w14:paraId="4F3AA48C" w14:textId="77777777" w:rsidR="000568A0" w:rsidRPr="000568A0" w:rsidRDefault="000568A0" w:rsidP="000568A0">
      <w:pPr>
        <w:rPr>
          <w:szCs w:val="22"/>
        </w:rPr>
      </w:pPr>
    </w:p>
    <w:p w14:paraId="17C77FDB" w14:textId="77777777" w:rsidR="00627D8A" w:rsidRDefault="00627D8A" w:rsidP="000568A0">
      <w:pPr>
        <w:rPr>
          <w:szCs w:val="22"/>
        </w:rPr>
      </w:pPr>
      <w:r>
        <w:rPr>
          <w:szCs w:val="22"/>
        </w:rPr>
        <w:t>Part 1</w:t>
      </w:r>
    </w:p>
    <w:p w14:paraId="5B80A4BC" w14:textId="2ECAB207" w:rsidR="000568A0" w:rsidRPr="000568A0" w:rsidRDefault="001E7984" w:rsidP="000568A0">
      <w:pPr>
        <w:rPr>
          <w:szCs w:val="22"/>
        </w:rPr>
      </w:pPr>
      <w:r>
        <w:rPr>
          <w:szCs w:val="22"/>
        </w:rPr>
        <w:t xml:space="preserve">On January 1, </w:t>
      </w:r>
      <w:r w:rsidR="0025276C">
        <w:rPr>
          <w:szCs w:val="22"/>
        </w:rPr>
        <w:t>2016</w:t>
      </w:r>
      <w:r w:rsidR="000568A0" w:rsidRPr="000568A0">
        <w:rPr>
          <w:szCs w:val="22"/>
        </w:rPr>
        <w:t>, how much should Joel Harvey Florist</w:t>
      </w:r>
      <w:r w:rsidR="00630231">
        <w:rPr>
          <w:szCs w:val="22"/>
        </w:rPr>
        <w:t>s</w:t>
      </w:r>
      <w:r w:rsidR="000568A0" w:rsidRPr="000568A0">
        <w:rPr>
          <w:szCs w:val="22"/>
        </w:rPr>
        <w:t xml:space="preserve"> capitalize for the cost of the truck? </w:t>
      </w:r>
    </w:p>
    <w:p w14:paraId="713CB8A1" w14:textId="77777777" w:rsidR="000568A0" w:rsidRPr="000568A0" w:rsidRDefault="000568A0" w:rsidP="000568A0">
      <w:pPr>
        <w:rPr>
          <w:szCs w:val="22"/>
        </w:rPr>
      </w:pPr>
    </w:p>
    <w:p w14:paraId="4183EDC0" w14:textId="77777777" w:rsidR="000568A0" w:rsidRPr="000568A0" w:rsidRDefault="000568A0" w:rsidP="000568A0">
      <w:pPr>
        <w:rPr>
          <w:szCs w:val="22"/>
        </w:rPr>
      </w:pPr>
    </w:p>
    <w:p w14:paraId="7D44C2ED" w14:textId="77777777" w:rsidR="000568A0" w:rsidRPr="000568A0" w:rsidRDefault="000568A0" w:rsidP="000568A0">
      <w:pPr>
        <w:rPr>
          <w:szCs w:val="22"/>
        </w:rPr>
      </w:pPr>
    </w:p>
    <w:p w14:paraId="51F6F8AE" w14:textId="77777777" w:rsidR="000568A0" w:rsidRDefault="000568A0" w:rsidP="000568A0">
      <w:pPr>
        <w:rPr>
          <w:szCs w:val="22"/>
        </w:rPr>
      </w:pPr>
    </w:p>
    <w:p w14:paraId="0AAF0B59" w14:textId="77777777" w:rsidR="00627D8A" w:rsidRDefault="00627D8A" w:rsidP="000568A0">
      <w:pPr>
        <w:rPr>
          <w:szCs w:val="22"/>
        </w:rPr>
      </w:pPr>
      <w:r>
        <w:rPr>
          <w:szCs w:val="22"/>
        </w:rPr>
        <w:t>Part 2</w:t>
      </w:r>
    </w:p>
    <w:p w14:paraId="78530A87" w14:textId="73A133B4" w:rsidR="000568A0" w:rsidRPr="000568A0" w:rsidRDefault="000568A0" w:rsidP="001E7984">
      <w:pPr>
        <w:rPr>
          <w:szCs w:val="22"/>
        </w:rPr>
      </w:pPr>
      <w:r>
        <w:rPr>
          <w:szCs w:val="22"/>
        </w:rPr>
        <w:t xml:space="preserve">How much </w:t>
      </w:r>
      <w:r w:rsidRPr="000568A0">
        <w:rPr>
          <w:szCs w:val="22"/>
        </w:rPr>
        <w:t xml:space="preserve">depreciation </w:t>
      </w:r>
      <w:r>
        <w:rPr>
          <w:szCs w:val="22"/>
        </w:rPr>
        <w:t xml:space="preserve">expenses would be recorded </w:t>
      </w:r>
      <w:r w:rsidR="00627D8A">
        <w:rPr>
          <w:szCs w:val="22"/>
        </w:rPr>
        <w:t xml:space="preserve">for the years </w:t>
      </w:r>
      <w:r w:rsidR="0025276C">
        <w:rPr>
          <w:szCs w:val="22"/>
        </w:rPr>
        <w:t>2016</w:t>
      </w:r>
      <w:r w:rsidR="001E7984">
        <w:rPr>
          <w:szCs w:val="22"/>
        </w:rPr>
        <w:t xml:space="preserve"> through </w:t>
      </w:r>
      <w:r w:rsidR="0025276C">
        <w:rPr>
          <w:szCs w:val="22"/>
        </w:rPr>
        <w:t>2020</w:t>
      </w:r>
      <w:r w:rsidR="00627D8A">
        <w:rPr>
          <w:szCs w:val="22"/>
        </w:rPr>
        <w:t xml:space="preserve"> using each of the following methods?</w:t>
      </w:r>
    </w:p>
    <w:p w14:paraId="24C7DBE6" w14:textId="77777777" w:rsidR="000568A0" w:rsidRDefault="000568A0" w:rsidP="000568A0">
      <w:pPr>
        <w:rPr>
          <w:szCs w:val="22"/>
        </w:rPr>
      </w:pPr>
    </w:p>
    <w:p w14:paraId="224BCDF7" w14:textId="77777777" w:rsidR="000568A0" w:rsidRPr="000568A0" w:rsidRDefault="00627D8A" w:rsidP="000568A0">
      <w:pPr>
        <w:rPr>
          <w:szCs w:val="22"/>
        </w:rPr>
      </w:pPr>
      <w:r>
        <w:rPr>
          <w:szCs w:val="22"/>
        </w:rPr>
        <w:t>a.</w:t>
      </w:r>
      <w:r>
        <w:rPr>
          <w:szCs w:val="22"/>
        </w:rPr>
        <w:tab/>
        <w:t>S</w:t>
      </w:r>
      <w:r w:rsidR="000568A0" w:rsidRPr="000568A0">
        <w:rPr>
          <w:szCs w:val="22"/>
        </w:rPr>
        <w:t xml:space="preserve">traight-line </w:t>
      </w:r>
    </w:p>
    <w:p w14:paraId="5129342D" w14:textId="77777777" w:rsidR="000568A0" w:rsidRPr="000568A0" w:rsidRDefault="000568A0" w:rsidP="000568A0">
      <w:pPr>
        <w:rPr>
          <w:szCs w:val="22"/>
        </w:rPr>
      </w:pPr>
    </w:p>
    <w:p w14:paraId="34C38C13" w14:textId="77777777" w:rsidR="000568A0" w:rsidRPr="000568A0" w:rsidRDefault="000568A0" w:rsidP="000568A0">
      <w:pPr>
        <w:rPr>
          <w:szCs w:val="22"/>
        </w:rPr>
      </w:pPr>
    </w:p>
    <w:p w14:paraId="4CE173B1" w14:textId="77777777" w:rsidR="000568A0" w:rsidRDefault="000568A0" w:rsidP="000568A0">
      <w:pPr>
        <w:rPr>
          <w:szCs w:val="22"/>
        </w:rPr>
      </w:pPr>
    </w:p>
    <w:p w14:paraId="00202F63" w14:textId="77777777" w:rsidR="00627D8A" w:rsidRPr="000568A0" w:rsidRDefault="00627D8A" w:rsidP="000568A0">
      <w:pPr>
        <w:rPr>
          <w:szCs w:val="22"/>
        </w:rPr>
      </w:pPr>
    </w:p>
    <w:p w14:paraId="6DC69386" w14:textId="77777777" w:rsidR="000568A0" w:rsidRPr="000568A0" w:rsidRDefault="00627D8A" w:rsidP="000568A0">
      <w:pPr>
        <w:rPr>
          <w:szCs w:val="22"/>
        </w:rPr>
      </w:pPr>
      <w:r>
        <w:rPr>
          <w:szCs w:val="22"/>
        </w:rPr>
        <w:t>b.</w:t>
      </w:r>
      <w:r>
        <w:rPr>
          <w:szCs w:val="22"/>
        </w:rPr>
        <w:tab/>
        <w:t>Unit</w:t>
      </w:r>
      <w:r w:rsidR="000568A0" w:rsidRPr="000568A0">
        <w:rPr>
          <w:szCs w:val="22"/>
        </w:rPr>
        <w:t xml:space="preserve">-of-production </w:t>
      </w:r>
    </w:p>
    <w:p w14:paraId="76165C1C" w14:textId="77777777" w:rsidR="000568A0" w:rsidRPr="000568A0" w:rsidRDefault="000568A0" w:rsidP="000568A0">
      <w:pPr>
        <w:rPr>
          <w:szCs w:val="22"/>
        </w:rPr>
      </w:pPr>
    </w:p>
    <w:p w14:paraId="52D8A411" w14:textId="77777777" w:rsidR="000568A0" w:rsidRPr="000568A0" w:rsidRDefault="000568A0" w:rsidP="000568A0">
      <w:pPr>
        <w:rPr>
          <w:szCs w:val="22"/>
        </w:rPr>
      </w:pPr>
    </w:p>
    <w:p w14:paraId="5C1B10CB" w14:textId="77777777" w:rsidR="000568A0" w:rsidRPr="000568A0" w:rsidRDefault="000568A0" w:rsidP="000568A0">
      <w:pPr>
        <w:rPr>
          <w:szCs w:val="22"/>
        </w:rPr>
      </w:pPr>
    </w:p>
    <w:p w14:paraId="156015D0" w14:textId="77777777" w:rsidR="000568A0" w:rsidRDefault="000568A0" w:rsidP="000568A0">
      <w:pPr>
        <w:rPr>
          <w:szCs w:val="22"/>
        </w:rPr>
      </w:pPr>
    </w:p>
    <w:p w14:paraId="22318CC7" w14:textId="77777777" w:rsidR="00627D8A" w:rsidRDefault="00627D8A" w:rsidP="000568A0">
      <w:pPr>
        <w:rPr>
          <w:szCs w:val="22"/>
        </w:rPr>
      </w:pPr>
    </w:p>
    <w:p w14:paraId="61F27B51" w14:textId="77777777" w:rsidR="00627D8A" w:rsidRDefault="00627D8A" w:rsidP="000568A0">
      <w:pPr>
        <w:rPr>
          <w:szCs w:val="22"/>
        </w:rPr>
      </w:pPr>
    </w:p>
    <w:p w14:paraId="2E71C824" w14:textId="77777777" w:rsidR="00627D8A" w:rsidRDefault="00627D8A" w:rsidP="000568A0">
      <w:pPr>
        <w:rPr>
          <w:szCs w:val="22"/>
        </w:rPr>
      </w:pPr>
    </w:p>
    <w:p w14:paraId="5E17CE44" w14:textId="77777777" w:rsidR="00627D8A" w:rsidRPr="000568A0" w:rsidRDefault="00627D8A" w:rsidP="000568A0">
      <w:pPr>
        <w:rPr>
          <w:szCs w:val="22"/>
        </w:rPr>
      </w:pPr>
    </w:p>
    <w:p w14:paraId="5250E197" w14:textId="77777777" w:rsidR="000568A0" w:rsidRPr="000568A0" w:rsidRDefault="00627D8A" w:rsidP="000568A0">
      <w:pPr>
        <w:rPr>
          <w:szCs w:val="22"/>
        </w:rPr>
      </w:pPr>
      <w:r>
        <w:rPr>
          <w:szCs w:val="22"/>
        </w:rPr>
        <w:t>c.</w:t>
      </w:r>
      <w:r>
        <w:rPr>
          <w:szCs w:val="22"/>
        </w:rPr>
        <w:tab/>
        <w:t>D</w:t>
      </w:r>
      <w:r w:rsidR="000568A0" w:rsidRPr="000568A0">
        <w:rPr>
          <w:szCs w:val="22"/>
        </w:rPr>
        <w:t xml:space="preserve">eclining-balance </w:t>
      </w:r>
    </w:p>
    <w:p w14:paraId="03EB445D" w14:textId="77777777" w:rsidR="00627D8A" w:rsidRPr="000568A0" w:rsidRDefault="00627D8A" w:rsidP="00627D8A">
      <w:pPr>
        <w:rPr>
          <w:szCs w:val="22"/>
        </w:rPr>
      </w:pPr>
    </w:p>
    <w:p w14:paraId="73AA437A" w14:textId="77777777" w:rsidR="00627D8A" w:rsidRPr="000568A0" w:rsidRDefault="00627D8A" w:rsidP="00627D8A">
      <w:pPr>
        <w:rPr>
          <w:szCs w:val="22"/>
        </w:rPr>
      </w:pPr>
    </w:p>
    <w:p w14:paraId="65EB9927" w14:textId="77777777" w:rsidR="00627D8A" w:rsidRPr="000568A0" w:rsidRDefault="00627D8A" w:rsidP="00627D8A">
      <w:pPr>
        <w:rPr>
          <w:szCs w:val="22"/>
        </w:rPr>
      </w:pPr>
    </w:p>
    <w:p w14:paraId="1A5F547F" w14:textId="77777777" w:rsidR="00627D8A" w:rsidRDefault="00627D8A" w:rsidP="00627D8A">
      <w:pPr>
        <w:rPr>
          <w:szCs w:val="22"/>
        </w:rPr>
      </w:pPr>
    </w:p>
    <w:p w14:paraId="5639521E" w14:textId="77777777" w:rsidR="00627D8A" w:rsidRDefault="00627D8A" w:rsidP="00627D8A">
      <w:pPr>
        <w:rPr>
          <w:szCs w:val="22"/>
        </w:rPr>
      </w:pPr>
    </w:p>
    <w:p w14:paraId="70103BC3" w14:textId="77777777" w:rsidR="00627D8A" w:rsidRDefault="00627D8A" w:rsidP="00627D8A">
      <w:pPr>
        <w:rPr>
          <w:szCs w:val="22"/>
        </w:rPr>
      </w:pPr>
    </w:p>
    <w:p w14:paraId="39D19323" w14:textId="77777777" w:rsidR="00627D8A" w:rsidRDefault="00627D8A" w:rsidP="00627D8A">
      <w:pPr>
        <w:rPr>
          <w:szCs w:val="22"/>
        </w:rPr>
      </w:pPr>
    </w:p>
    <w:p w14:paraId="380683C0" w14:textId="77777777" w:rsidR="00627D8A" w:rsidRPr="000568A0" w:rsidRDefault="00627D8A" w:rsidP="00627D8A">
      <w:pPr>
        <w:rPr>
          <w:szCs w:val="22"/>
        </w:rPr>
      </w:pPr>
    </w:p>
    <w:p w14:paraId="6CF93503" w14:textId="77777777" w:rsidR="00627D8A" w:rsidRDefault="00627D8A" w:rsidP="000568A0">
      <w:pPr>
        <w:rPr>
          <w:szCs w:val="22"/>
        </w:rPr>
      </w:pPr>
      <w:r>
        <w:rPr>
          <w:szCs w:val="22"/>
        </w:rPr>
        <w:t>Part 3</w:t>
      </w:r>
    </w:p>
    <w:p w14:paraId="2F73B33F" w14:textId="760788CA" w:rsidR="000568A0" w:rsidRPr="000568A0" w:rsidRDefault="001C2B41" w:rsidP="000568A0">
      <w:pPr>
        <w:rPr>
          <w:szCs w:val="22"/>
        </w:rPr>
      </w:pPr>
      <w:r w:rsidRPr="000568A0">
        <w:rPr>
          <w:szCs w:val="22"/>
        </w:rPr>
        <w:t xml:space="preserve">On December 31, </w:t>
      </w:r>
      <w:r>
        <w:rPr>
          <w:szCs w:val="22"/>
        </w:rPr>
        <w:t>2020</w:t>
      </w:r>
      <w:r w:rsidRPr="000568A0">
        <w:rPr>
          <w:szCs w:val="22"/>
        </w:rPr>
        <w:t xml:space="preserve">, </w:t>
      </w:r>
      <w:r>
        <w:rPr>
          <w:szCs w:val="22"/>
        </w:rPr>
        <w:t xml:space="preserve">at the end of its useful life, </w:t>
      </w:r>
      <w:r w:rsidR="000568A0" w:rsidRPr="000568A0">
        <w:rPr>
          <w:szCs w:val="22"/>
        </w:rPr>
        <w:t>Joel Harvey sold the truck for $3,000 cash. Compute the gain or loss on sale.</w:t>
      </w:r>
    </w:p>
    <w:p w14:paraId="04B034CF" w14:textId="165A689F" w:rsidR="00627D8A" w:rsidRPr="009B3FF6" w:rsidRDefault="00627D8A" w:rsidP="009B3FF6">
      <w:pPr>
        <w:pStyle w:val="Heading1"/>
        <w:spacing w:before="240"/>
      </w:pPr>
      <w:r>
        <w:br w:type="page"/>
      </w:r>
      <w:r w:rsidRPr="009B3FF6">
        <w:lastRenderedPageBreak/>
        <w:t>HANDOUT 9–1 SOLUTION</w:t>
      </w:r>
    </w:p>
    <w:p w14:paraId="76E69029" w14:textId="77777777" w:rsidR="001E7984" w:rsidRDefault="001E7984" w:rsidP="001E7984">
      <w:pPr>
        <w:pStyle w:val="Heading1"/>
        <w:spacing w:before="240"/>
        <w:jc w:val="center"/>
        <w:rPr>
          <w:u w:val="none"/>
        </w:rPr>
      </w:pPr>
      <w:r>
        <w:rPr>
          <w:u w:val="none"/>
        </w:rPr>
        <w:t>DEPRECIATION METHODS AND GAIN (LOSS) ON SALE</w:t>
      </w:r>
    </w:p>
    <w:p w14:paraId="0635601F" w14:textId="77777777" w:rsidR="001E7984" w:rsidRDefault="001E7984" w:rsidP="001E7984">
      <w:pPr>
        <w:rPr>
          <w:szCs w:val="22"/>
        </w:rPr>
      </w:pPr>
    </w:p>
    <w:p w14:paraId="48B5360A" w14:textId="4B0E1BF5" w:rsidR="001E7984" w:rsidRPr="000568A0" w:rsidRDefault="001E7984" w:rsidP="001E7984">
      <w:pPr>
        <w:rPr>
          <w:szCs w:val="22"/>
        </w:rPr>
      </w:pPr>
      <w:r w:rsidRPr="000568A0">
        <w:rPr>
          <w:szCs w:val="22"/>
        </w:rPr>
        <w:t>Joel Harvey Florists ac</w:t>
      </w:r>
      <w:r>
        <w:rPr>
          <w:szCs w:val="22"/>
        </w:rPr>
        <w:t xml:space="preserve">quired a truck on January 1, </w:t>
      </w:r>
      <w:r w:rsidR="0025276C">
        <w:rPr>
          <w:szCs w:val="22"/>
        </w:rPr>
        <w:t>2016</w:t>
      </w:r>
      <w:r w:rsidRPr="000568A0">
        <w:rPr>
          <w:szCs w:val="22"/>
        </w:rPr>
        <w:t xml:space="preserve">. The company paid $11,000 for the truck, $500 for destination charges, and $250 to paint the company name on the side of the truck. The company’s accounting manager estimates the truck to have a five-year useful life and a residual value of $1,750. The truck is expected to </w:t>
      </w:r>
      <w:r>
        <w:rPr>
          <w:szCs w:val="22"/>
        </w:rPr>
        <w:t>be driven</w:t>
      </w:r>
      <w:r w:rsidRPr="000568A0">
        <w:rPr>
          <w:szCs w:val="22"/>
        </w:rPr>
        <w:t xml:space="preserve"> 100,000 miles in five years. It is </w:t>
      </w:r>
      <w:r>
        <w:rPr>
          <w:szCs w:val="22"/>
        </w:rPr>
        <w:t xml:space="preserve">actually driven 15,000 miles in </w:t>
      </w:r>
      <w:r w:rsidR="0025276C">
        <w:rPr>
          <w:szCs w:val="22"/>
        </w:rPr>
        <w:t>2016</w:t>
      </w:r>
      <w:r>
        <w:rPr>
          <w:szCs w:val="22"/>
        </w:rPr>
        <w:t xml:space="preserve">, 25,000 miles in </w:t>
      </w:r>
      <w:r w:rsidR="0025276C">
        <w:rPr>
          <w:szCs w:val="22"/>
        </w:rPr>
        <w:t>2017</w:t>
      </w:r>
      <w:r>
        <w:rPr>
          <w:szCs w:val="22"/>
        </w:rPr>
        <w:t xml:space="preserve">, 30,000 miles in </w:t>
      </w:r>
      <w:r w:rsidR="0025276C">
        <w:rPr>
          <w:szCs w:val="22"/>
        </w:rPr>
        <w:t>2018</w:t>
      </w:r>
      <w:r w:rsidRPr="000568A0">
        <w:rPr>
          <w:szCs w:val="22"/>
        </w:rPr>
        <w:t xml:space="preserve">, 25,000 miles in </w:t>
      </w:r>
      <w:r w:rsidR="0025276C">
        <w:rPr>
          <w:szCs w:val="22"/>
        </w:rPr>
        <w:t>2019</w:t>
      </w:r>
      <w:r>
        <w:rPr>
          <w:szCs w:val="22"/>
        </w:rPr>
        <w:t>,</w:t>
      </w:r>
      <w:r w:rsidRPr="000568A0">
        <w:rPr>
          <w:szCs w:val="22"/>
        </w:rPr>
        <w:t xml:space="preserve"> and 5,000 miles in </w:t>
      </w:r>
      <w:r w:rsidR="0025276C">
        <w:rPr>
          <w:szCs w:val="22"/>
        </w:rPr>
        <w:t>2020</w:t>
      </w:r>
      <w:r w:rsidRPr="000568A0">
        <w:rPr>
          <w:szCs w:val="22"/>
        </w:rPr>
        <w:t>.</w:t>
      </w:r>
    </w:p>
    <w:p w14:paraId="6AE700FC" w14:textId="77777777" w:rsidR="00627D8A" w:rsidRPr="000568A0" w:rsidRDefault="00627D8A" w:rsidP="00627D8A">
      <w:pPr>
        <w:rPr>
          <w:szCs w:val="22"/>
        </w:rPr>
      </w:pPr>
    </w:p>
    <w:p w14:paraId="3B1DBE35" w14:textId="77777777" w:rsidR="00627D8A" w:rsidRDefault="00627D8A" w:rsidP="00627D8A">
      <w:pPr>
        <w:rPr>
          <w:szCs w:val="22"/>
        </w:rPr>
      </w:pPr>
      <w:r>
        <w:rPr>
          <w:szCs w:val="22"/>
        </w:rPr>
        <w:t>Part 1</w:t>
      </w:r>
    </w:p>
    <w:p w14:paraId="7F16B810" w14:textId="2B8726D1" w:rsidR="00627D8A" w:rsidRPr="000568A0" w:rsidRDefault="001E7984" w:rsidP="00627D8A">
      <w:pPr>
        <w:rPr>
          <w:szCs w:val="22"/>
        </w:rPr>
      </w:pPr>
      <w:r>
        <w:rPr>
          <w:szCs w:val="22"/>
        </w:rPr>
        <w:t xml:space="preserve">On January 1, </w:t>
      </w:r>
      <w:r w:rsidR="0025276C">
        <w:rPr>
          <w:szCs w:val="22"/>
        </w:rPr>
        <w:t>2016</w:t>
      </w:r>
      <w:r w:rsidR="00627D8A" w:rsidRPr="000568A0">
        <w:rPr>
          <w:szCs w:val="22"/>
        </w:rPr>
        <w:t>, how much should Joel Harvey Florist</w:t>
      </w:r>
      <w:r w:rsidR="001C2B41">
        <w:rPr>
          <w:szCs w:val="22"/>
        </w:rPr>
        <w:t>s</w:t>
      </w:r>
      <w:r w:rsidR="00627D8A" w:rsidRPr="000568A0">
        <w:rPr>
          <w:szCs w:val="22"/>
        </w:rPr>
        <w:t xml:space="preserve"> capitalize for the cost of the truck? </w:t>
      </w:r>
    </w:p>
    <w:p w14:paraId="25A04296" w14:textId="77777777" w:rsidR="00627D8A" w:rsidRPr="000568A0" w:rsidRDefault="00627D8A" w:rsidP="00627D8A">
      <w:pPr>
        <w:rPr>
          <w:szCs w:val="22"/>
        </w:rPr>
      </w:pPr>
    </w:p>
    <w:p w14:paraId="1027493D" w14:textId="77777777" w:rsidR="00627D8A" w:rsidRPr="00627D8A" w:rsidRDefault="00627D8A" w:rsidP="001E7984">
      <w:pPr>
        <w:ind w:left="288"/>
      </w:pPr>
      <w:r w:rsidRPr="00627D8A">
        <w:t>11,000 + 500 + 250 = $11,750.</w:t>
      </w:r>
    </w:p>
    <w:p w14:paraId="4E316D58" w14:textId="77777777" w:rsidR="00627D8A" w:rsidRPr="000568A0" w:rsidRDefault="00627D8A" w:rsidP="00627D8A">
      <w:pPr>
        <w:rPr>
          <w:szCs w:val="22"/>
        </w:rPr>
      </w:pPr>
    </w:p>
    <w:p w14:paraId="593CAE0C" w14:textId="77777777" w:rsidR="00627D8A" w:rsidRDefault="00627D8A" w:rsidP="00627D8A">
      <w:pPr>
        <w:rPr>
          <w:szCs w:val="22"/>
        </w:rPr>
      </w:pPr>
      <w:r>
        <w:rPr>
          <w:szCs w:val="22"/>
        </w:rPr>
        <w:t>Part 2</w:t>
      </w:r>
    </w:p>
    <w:p w14:paraId="07EDDD7A" w14:textId="775354D3" w:rsidR="00627D8A" w:rsidRPr="000568A0" w:rsidRDefault="00627D8A" w:rsidP="00627D8A">
      <w:pPr>
        <w:rPr>
          <w:szCs w:val="22"/>
        </w:rPr>
      </w:pPr>
      <w:r>
        <w:rPr>
          <w:szCs w:val="22"/>
        </w:rPr>
        <w:t xml:space="preserve">How much </w:t>
      </w:r>
      <w:r w:rsidRPr="000568A0">
        <w:rPr>
          <w:szCs w:val="22"/>
        </w:rPr>
        <w:t xml:space="preserve">depreciation </w:t>
      </w:r>
      <w:r>
        <w:rPr>
          <w:szCs w:val="22"/>
        </w:rPr>
        <w:t>expenses woul</w:t>
      </w:r>
      <w:r w:rsidR="001E7984">
        <w:rPr>
          <w:szCs w:val="22"/>
        </w:rPr>
        <w:t xml:space="preserve">d be recorded for the years </w:t>
      </w:r>
      <w:r w:rsidR="0025276C">
        <w:rPr>
          <w:szCs w:val="22"/>
        </w:rPr>
        <w:t>2016</w:t>
      </w:r>
      <w:r>
        <w:rPr>
          <w:szCs w:val="22"/>
        </w:rPr>
        <w:t xml:space="preserve"> through </w:t>
      </w:r>
      <w:r w:rsidR="0025276C">
        <w:rPr>
          <w:szCs w:val="22"/>
        </w:rPr>
        <w:t>2020</w:t>
      </w:r>
      <w:r>
        <w:rPr>
          <w:szCs w:val="22"/>
        </w:rPr>
        <w:t xml:space="preserve"> using each of the following methods?</w:t>
      </w:r>
    </w:p>
    <w:p w14:paraId="4B564000" w14:textId="77777777" w:rsidR="00627D8A" w:rsidRDefault="00627D8A" w:rsidP="00627D8A">
      <w:pPr>
        <w:rPr>
          <w:szCs w:val="22"/>
        </w:rPr>
      </w:pPr>
    </w:p>
    <w:p w14:paraId="46E2200F" w14:textId="77777777" w:rsidR="00627D8A" w:rsidRPr="000568A0" w:rsidRDefault="00627D8A" w:rsidP="00627D8A">
      <w:pPr>
        <w:rPr>
          <w:szCs w:val="22"/>
        </w:rPr>
      </w:pPr>
      <w:r>
        <w:rPr>
          <w:szCs w:val="22"/>
        </w:rPr>
        <w:t>a.</w:t>
      </w:r>
      <w:r>
        <w:rPr>
          <w:szCs w:val="22"/>
        </w:rPr>
        <w:tab/>
        <w:t>S</w:t>
      </w:r>
      <w:r w:rsidRPr="000568A0">
        <w:rPr>
          <w:szCs w:val="22"/>
        </w:rPr>
        <w:t xml:space="preserve">traight-line </w:t>
      </w:r>
    </w:p>
    <w:p w14:paraId="6BF4B40A" w14:textId="77777777" w:rsidR="00627D8A" w:rsidRPr="000568A0" w:rsidRDefault="00627D8A" w:rsidP="00627D8A">
      <w:pPr>
        <w:rPr>
          <w:szCs w:val="22"/>
        </w:rPr>
      </w:pPr>
    </w:p>
    <w:p w14:paraId="25ABE69C" w14:textId="77777777" w:rsidR="00627D8A" w:rsidRDefault="00253458" w:rsidP="001E7984">
      <w:pPr>
        <w:ind w:left="288"/>
        <w:rPr>
          <w:szCs w:val="22"/>
        </w:rPr>
      </w:pPr>
      <w:r>
        <w:t xml:space="preserve"> (11,750 – 1,750) ÷ </w:t>
      </w:r>
      <w:r w:rsidR="00627D8A" w:rsidRPr="00627D8A">
        <w:t>5 = $2,000 per year</w:t>
      </w:r>
    </w:p>
    <w:p w14:paraId="4EBAB5A1" w14:textId="77777777" w:rsidR="00627D8A" w:rsidRDefault="00627D8A" w:rsidP="00627D8A">
      <w:pPr>
        <w:rPr>
          <w:szCs w:val="22"/>
        </w:rPr>
      </w:pPr>
    </w:p>
    <w:p w14:paraId="6BD6BBD9" w14:textId="77777777" w:rsidR="00627D8A" w:rsidRPr="000568A0" w:rsidRDefault="00627D8A" w:rsidP="00627D8A">
      <w:pPr>
        <w:rPr>
          <w:szCs w:val="22"/>
        </w:rPr>
      </w:pPr>
      <w:r>
        <w:rPr>
          <w:szCs w:val="22"/>
        </w:rPr>
        <w:t>b.</w:t>
      </w:r>
      <w:r>
        <w:rPr>
          <w:szCs w:val="22"/>
        </w:rPr>
        <w:tab/>
        <w:t>Unit</w:t>
      </w:r>
      <w:r w:rsidRPr="000568A0">
        <w:rPr>
          <w:szCs w:val="22"/>
        </w:rPr>
        <w:t xml:space="preserve">-of-production </w:t>
      </w:r>
    </w:p>
    <w:p w14:paraId="27F17649" w14:textId="77777777" w:rsidR="00627D8A" w:rsidRPr="000568A0" w:rsidRDefault="00627D8A" w:rsidP="00627D8A">
      <w:pPr>
        <w:rPr>
          <w:szCs w:val="22"/>
        </w:rPr>
      </w:pPr>
    </w:p>
    <w:p w14:paraId="75538B22" w14:textId="77777777" w:rsidR="00627D8A" w:rsidRPr="00627D8A" w:rsidRDefault="00627D8A" w:rsidP="001E7984">
      <w:pPr>
        <w:ind w:left="288"/>
      </w:pPr>
      <w:r w:rsidRPr="00627D8A">
        <w:t>(11,750 – 1,750)</w:t>
      </w:r>
      <w:r w:rsidR="00253458">
        <w:t xml:space="preserve"> ÷ </w:t>
      </w:r>
      <w:r w:rsidRPr="00627D8A">
        <w:t>100,000 = 10 cents/mile</w:t>
      </w:r>
    </w:p>
    <w:p w14:paraId="210D9588" w14:textId="52EA2627" w:rsidR="00627D8A" w:rsidRPr="00627D8A" w:rsidRDefault="0025276C" w:rsidP="001E7984">
      <w:pPr>
        <w:ind w:left="288"/>
      </w:pPr>
      <w:r>
        <w:t>2016</w:t>
      </w:r>
      <w:r w:rsidR="00627D8A" w:rsidRPr="00627D8A">
        <w:t xml:space="preserve">: 15,000 </w:t>
      </w:r>
      <w:r w:rsidR="00C67789" w:rsidRPr="00A878FE">
        <w:rPr>
          <w:szCs w:val="22"/>
        </w:rPr>
        <w:t>×</w:t>
      </w:r>
      <w:r w:rsidR="00627D8A" w:rsidRPr="00627D8A">
        <w:t xml:space="preserve"> 0.10 = $1,500;</w:t>
      </w:r>
    </w:p>
    <w:p w14:paraId="212E57C0" w14:textId="7BC6779D" w:rsidR="00627D8A" w:rsidRPr="00627D8A" w:rsidRDefault="0025276C" w:rsidP="001E7984">
      <w:pPr>
        <w:ind w:left="288"/>
      </w:pPr>
      <w:r>
        <w:t>2017</w:t>
      </w:r>
      <w:r w:rsidR="00627D8A" w:rsidRPr="00627D8A">
        <w:t xml:space="preserve">: 25,000 </w:t>
      </w:r>
      <w:r w:rsidR="00C67789" w:rsidRPr="00A878FE">
        <w:rPr>
          <w:szCs w:val="22"/>
        </w:rPr>
        <w:t>×</w:t>
      </w:r>
      <w:r w:rsidR="00627D8A" w:rsidRPr="00627D8A">
        <w:t xml:space="preserve"> 0.10 = $2,500;</w:t>
      </w:r>
    </w:p>
    <w:p w14:paraId="09E93652" w14:textId="07E7ACE3" w:rsidR="00627D8A" w:rsidRPr="00627D8A" w:rsidRDefault="0025276C" w:rsidP="001E7984">
      <w:pPr>
        <w:ind w:left="288"/>
      </w:pPr>
      <w:r>
        <w:t>2018</w:t>
      </w:r>
      <w:r w:rsidR="00627D8A" w:rsidRPr="00627D8A">
        <w:t xml:space="preserve">: 30,000 </w:t>
      </w:r>
      <w:r w:rsidR="00C67789" w:rsidRPr="00A878FE">
        <w:rPr>
          <w:szCs w:val="22"/>
        </w:rPr>
        <w:t>×</w:t>
      </w:r>
      <w:r w:rsidR="00627D8A" w:rsidRPr="00627D8A">
        <w:t xml:space="preserve"> 0.10 = $3,000;</w:t>
      </w:r>
    </w:p>
    <w:p w14:paraId="52D5ABE6" w14:textId="5DE034D7" w:rsidR="00627D8A" w:rsidRPr="00627D8A" w:rsidRDefault="0025276C" w:rsidP="001E7984">
      <w:pPr>
        <w:ind w:left="288"/>
      </w:pPr>
      <w:r>
        <w:t>2019</w:t>
      </w:r>
      <w:r w:rsidR="00627D8A" w:rsidRPr="00627D8A">
        <w:t xml:space="preserve">: 25,000 </w:t>
      </w:r>
      <w:r w:rsidR="00C67789" w:rsidRPr="00A878FE">
        <w:rPr>
          <w:szCs w:val="22"/>
        </w:rPr>
        <w:t>×</w:t>
      </w:r>
      <w:r w:rsidR="00627D8A" w:rsidRPr="00627D8A">
        <w:t xml:space="preserve"> 0.10 = $2,500;</w:t>
      </w:r>
    </w:p>
    <w:p w14:paraId="6A3074AA" w14:textId="7D57F4AB" w:rsidR="00627D8A" w:rsidRPr="00627D8A" w:rsidRDefault="0025276C" w:rsidP="001E7984">
      <w:pPr>
        <w:ind w:left="288"/>
      </w:pPr>
      <w:r>
        <w:t>2020</w:t>
      </w:r>
      <w:r w:rsidR="00627D8A" w:rsidRPr="00627D8A">
        <w:t xml:space="preserve">: 5,000 </w:t>
      </w:r>
      <w:r w:rsidR="00C67789" w:rsidRPr="00A878FE">
        <w:rPr>
          <w:szCs w:val="22"/>
        </w:rPr>
        <w:t>×</w:t>
      </w:r>
      <w:r w:rsidR="00627D8A" w:rsidRPr="00627D8A">
        <w:t xml:space="preserve"> 0.10 = $500.</w:t>
      </w:r>
    </w:p>
    <w:p w14:paraId="5FF87CFD" w14:textId="77777777" w:rsidR="00627D8A" w:rsidRPr="000568A0" w:rsidRDefault="00627D8A" w:rsidP="00627D8A">
      <w:pPr>
        <w:rPr>
          <w:szCs w:val="22"/>
        </w:rPr>
      </w:pPr>
    </w:p>
    <w:p w14:paraId="5ADFF0F1" w14:textId="77777777" w:rsidR="00627D8A" w:rsidRPr="000568A0" w:rsidRDefault="00627D8A" w:rsidP="00627D8A">
      <w:pPr>
        <w:rPr>
          <w:szCs w:val="22"/>
        </w:rPr>
      </w:pPr>
      <w:r>
        <w:rPr>
          <w:szCs w:val="22"/>
        </w:rPr>
        <w:t>c.</w:t>
      </w:r>
      <w:r>
        <w:rPr>
          <w:szCs w:val="22"/>
        </w:rPr>
        <w:tab/>
        <w:t>D</w:t>
      </w:r>
      <w:r w:rsidRPr="000568A0">
        <w:rPr>
          <w:szCs w:val="22"/>
        </w:rPr>
        <w:t xml:space="preserve">eclining-balance </w:t>
      </w:r>
    </w:p>
    <w:p w14:paraId="5C2B3121" w14:textId="77777777" w:rsidR="00627D8A" w:rsidRPr="000568A0" w:rsidRDefault="00627D8A" w:rsidP="00627D8A">
      <w:pPr>
        <w:rPr>
          <w:szCs w:val="22"/>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3"/>
        <w:gridCol w:w="1426"/>
        <w:gridCol w:w="1353"/>
        <w:gridCol w:w="1536"/>
        <w:gridCol w:w="2632"/>
      </w:tblGrid>
      <w:tr w:rsidR="000568A0" w14:paraId="66D91984" w14:textId="77777777">
        <w:tc>
          <w:tcPr>
            <w:tcW w:w="0" w:type="auto"/>
          </w:tcPr>
          <w:p w14:paraId="0008A831" w14:textId="77777777" w:rsidR="000568A0" w:rsidRPr="00627D8A" w:rsidRDefault="000568A0" w:rsidP="009B3FF6">
            <w:pPr>
              <w:rPr>
                <w:szCs w:val="22"/>
              </w:rPr>
            </w:pPr>
            <w:r w:rsidRPr="00627D8A">
              <w:rPr>
                <w:szCs w:val="22"/>
              </w:rPr>
              <w:t>Year</w:t>
            </w:r>
          </w:p>
        </w:tc>
        <w:tc>
          <w:tcPr>
            <w:tcW w:w="0" w:type="auto"/>
          </w:tcPr>
          <w:p w14:paraId="6729142C" w14:textId="77777777" w:rsidR="000568A0" w:rsidRPr="00627D8A" w:rsidRDefault="000568A0" w:rsidP="009B3FF6">
            <w:pPr>
              <w:rPr>
                <w:szCs w:val="22"/>
              </w:rPr>
            </w:pPr>
            <w:r w:rsidRPr="00627D8A">
              <w:rPr>
                <w:szCs w:val="22"/>
              </w:rPr>
              <w:t>Computation</w:t>
            </w:r>
          </w:p>
        </w:tc>
        <w:tc>
          <w:tcPr>
            <w:tcW w:w="0" w:type="auto"/>
          </w:tcPr>
          <w:p w14:paraId="2DF7DAEA" w14:textId="77777777" w:rsidR="000568A0" w:rsidRPr="00627D8A" w:rsidRDefault="000568A0" w:rsidP="009B3FF6">
            <w:pPr>
              <w:jc w:val="center"/>
              <w:rPr>
                <w:szCs w:val="22"/>
              </w:rPr>
            </w:pPr>
            <w:r w:rsidRPr="00627D8A">
              <w:rPr>
                <w:szCs w:val="22"/>
              </w:rPr>
              <w:t>Depreciation</w:t>
            </w:r>
            <w:r w:rsidRPr="00627D8A">
              <w:rPr>
                <w:szCs w:val="22"/>
              </w:rPr>
              <w:br/>
              <w:t>Expense</w:t>
            </w:r>
          </w:p>
        </w:tc>
        <w:tc>
          <w:tcPr>
            <w:tcW w:w="0" w:type="auto"/>
          </w:tcPr>
          <w:p w14:paraId="18961EF3" w14:textId="77777777" w:rsidR="000568A0" w:rsidRPr="00627D8A" w:rsidRDefault="000568A0" w:rsidP="009B3FF6">
            <w:pPr>
              <w:jc w:val="center"/>
              <w:rPr>
                <w:szCs w:val="22"/>
              </w:rPr>
            </w:pPr>
            <w:r w:rsidRPr="00627D8A">
              <w:rPr>
                <w:szCs w:val="22"/>
              </w:rPr>
              <w:t>Accumulated</w:t>
            </w:r>
          </w:p>
          <w:p w14:paraId="522DFEE2" w14:textId="77777777" w:rsidR="000568A0" w:rsidRPr="00627D8A" w:rsidRDefault="000568A0" w:rsidP="009B3FF6">
            <w:pPr>
              <w:jc w:val="center"/>
              <w:rPr>
                <w:szCs w:val="22"/>
              </w:rPr>
            </w:pPr>
            <w:r w:rsidRPr="00627D8A">
              <w:rPr>
                <w:szCs w:val="22"/>
              </w:rPr>
              <w:t>Depreciation</w:t>
            </w:r>
          </w:p>
        </w:tc>
        <w:tc>
          <w:tcPr>
            <w:tcW w:w="2632" w:type="dxa"/>
          </w:tcPr>
          <w:p w14:paraId="4997FD31" w14:textId="77777777" w:rsidR="000568A0" w:rsidRPr="00627D8A" w:rsidRDefault="000568A0" w:rsidP="009B3FF6">
            <w:pPr>
              <w:jc w:val="center"/>
              <w:rPr>
                <w:szCs w:val="22"/>
              </w:rPr>
            </w:pPr>
            <w:r w:rsidRPr="00627D8A">
              <w:rPr>
                <w:szCs w:val="22"/>
              </w:rPr>
              <w:t>Net Book</w:t>
            </w:r>
            <w:r w:rsidR="009B3FF6">
              <w:rPr>
                <w:szCs w:val="22"/>
              </w:rPr>
              <w:t xml:space="preserve"> </w:t>
            </w:r>
            <w:r w:rsidRPr="00627D8A">
              <w:rPr>
                <w:szCs w:val="22"/>
              </w:rPr>
              <w:t>Value</w:t>
            </w:r>
          </w:p>
        </w:tc>
      </w:tr>
      <w:tr w:rsidR="000568A0" w14:paraId="5BEF09D5" w14:textId="77777777">
        <w:tc>
          <w:tcPr>
            <w:tcW w:w="0" w:type="auto"/>
          </w:tcPr>
          <w:p w14:paraId="31B4B931" w14:textId="77777777" w:rsidR="000568A0" w:rsidRPr="00627D8A" w:rsidRDefault="000568A0" w:rsidP="009B3FF6">
            <w:pPr>
              <w:rPr>
                <w:szCs w:val="22"/>
              </w:rPr>
            </w:pPr>
            <w:r w:rsidRPr="00627D8A">
              <w:rPr>
                <w:szCs w:val="22"/>
              </w:rPr>
              <w:t>Acquisition</w:t>
            </w:r>
          </w:p>
        </w:tc>
        <w:tc>
          <w:tcPr>
            <w:tcW w:w="0" w:type="auto"/>
          </w:tcPr>
          <w:p w14:paraId="7D315747" w14:textId="77777777" w:rsidR="000568A0" w:rsidRPr="00627D8A" w:rsidRDefault="000568A0" w:rsidP="009B3FF6">
            <w:pPr>
              <w:jc w:val="right"/>
              <w:rPr>
                <w:szCs w:val="22"/>
              </w:rPr>
            </w:pPr>
          </w:p>
        </w:tc>
        <w:tc>
          <w:tcPr>
            <w:tcW w:w="0" w:type="auto"/>
          </w:tcPr>
          <w:p w14:paraId="68EE2DC2" w14:textId="77777777" w:rsidR="000568A0" w:rsidRPr="00627D8A" w:rsidRDefault="000568A0" w:rsidP="009B3FF6">
            <w:pPr>
              <w:jc w:val="right"/>
              <w:rPr>
                <w:szCs w:val="22"/>
              </w:rPr>
            </w:pPr>
          </w:p>
        </w:tc>
        <w:tc>
          <w:tcPr>
            <w:tcW w:w="0" w:type="auto"/>
          </w:tcPr>
          <w:p w14:paraId="145E6C22" w14:textId="77777777" w:rsidR="000568A0" w:rsidRPr="00627D8A" w:rsidRDefault="000568A0" w:rsidP="009B3FF6">
            <w:pPr>
              <w:jc w:val="right"/>
              <w:rPr>
                <w:szCs w:val="22"/>
              </w:rPr>
            </w:pPr>
          </w:p>
        </w:tc>
        <w:tc>
          <w:tcPr>
            <w:tcW w:w="2632" w:type="dxa"/>
          </w:tcPr>
          <w:p w14:paraId="0567031C" w14:textId="77777777" w:rsidR="000568A0" w:rsidRPr="00627D8A" w:rsidRDefault="00253458" w:rsidP="009B3FF6">
            <w:pPr>
              <w:jc w:val="right"/>
              <w:rPr>
                <w:szCs w:val="22"/>
              </w:rPr>
            </w:pPr>
            <w:r>
              <w:rPr>
                <w:szCs w:val="22"/>
              </w:rPr>
              <w:t>11,</w:t>
            </w:r>
            <w:r w:rsidR="000568A0" w:rsidRPr="00627D8A">
              <w:rPr>
                <w:szCs w:val="22"/>
              </w:rPr>
              <w:t>75</w:t>
            </w:r>
            <w:r>
              <w:rPr>
                <w:szCs w:val="22"/>
              </w:rPr>
              <w:t>0</w:t>
            </w:r>
          </w:p>
        </w:tc>
      </w:tr>
      <w:tr w:rsidR="000568A0" w14:paraId="02B17825" w14:textId="77777777">
        <w:tc>
          <w:tcPr>
            <w:tcW w:w="0" w:type="auto"/>
          </w:tcPr>
          <w:p w14:paraId="7C592736" w14:textId="77777777" w:rsidR="000568A0" w:rsidRPr="00627D8A" w:rsidRDefault="0025276C" w:rsidP="001E7984">
            <w:pPr>
              <w:jc w:val="center"/>
              <w:rPr>
                <w:szCs w:val="22"/>
              </w:rPr>
            </w:pPr>
            <w:r>
              <w:rPr>
                <w:szCs w:val="22"/>
              </w:rPr>
              <w:t>2016</w:t>
            </w:r>
          </w:p>
        </w:tc>
        <w:tc>
          <w:tcPr>
            <w:tcW w:w="0" w:type="auto"/>
          </w:tcPr>
          <w:p w14:paraId="034245F8" w14:textId="325238C9" w:rsidR="000568A0" w:rsidRPr="00627D8A" w:rsidRDefault="000568A0" w:rsidP="002B6F4D">
            <w:pPr>
              <w:jc w:val="right"/>
              <w:rPr>
                <w:szCs w:val="22"/>
              </w:rPr>
            </w:pPr>
            <w:r w:rsidRPr="00627D8A">
              <w:rPr>
                <w:szCs w:val="22"/>
              </w:rPr>
              <w:t>11,75</w:t>
            </w:r>
            <w:r w:rsidR="00253458">
              <w:rPr>
                <w:szCs w:val="22"/>
              </w:rPr>
              <w:t>0</w:t>
            </w:r>
            <w:r w:rsidRPr="00627D8A">
              <w:rPr>
                <w:szCs w:val="22"/>
              </w:rPr>
              <w:t xml:space="preserve"> </w:t>
            </w:r>
            <w:r w:rsidR="00C67789" w:rsidRPr="00A878FE">
              <w:rPr>
                <w:szCs w:val="22"/>
              </w:rPr>
              <w:t>×</w:t>
            </w:r>
            <w:r w:rsidRPr="00627D8A">
              <w:rPr>
                <w:szCs w:val="22"/>
              </w:rPr>
              <w:t xml:space="preserve"> 2/5</w:t>
            </w:r>
          </w:p>
        </w:tc>
        <w:tc>
          <w:tcPr>
            <w:tcW w:w="0" w:type="auto"/>
          </w:tcPr>
          <w:p w14:paraId="2082FE9B" w14:textId="77777777" w:rsidR="000568A0" w:rsidRPr="00627D8A" w:rsidRDefault="000568A0" w:rsidP="009B3FF6">
            <w:pPr>
              <w:jc w:val="right"/>
              <w:rPr>
                <w:szCs w:val="22"/>
              </w:rPr>
            </w:pPr>
            <w:r w:rsidRPr="00627D8A">
              <w:rPr>
                <w:szCs w:val="22"/>
              </w:rPr>
              <w:t>$4,700</w:t>
            </w:r>
          </w:p>
        </w:tc>
        <w:tc>
          <w:tcPr>
            <w:tcW w:w="0" w:type="auto"/>
          </w:tcPr>
          <w:p w14:paraId="5C6E4D09" w14:textId="77777777" w:rsidR="000568A0" w:rsidRPr="00627D8A" w:rsidRDefault="000568A0" w:rsidP="009B3FF6">
            <w:pPr>
              <w:jc w:val="right"/>
              <w:rPr>
                <w:szCs w:val="22"/>
              </w:rPr>
            </w:pPr>
            <w:r w:rsidRPr="00627D8A">
              <w:rPr>
                <w:szCs w:val="22"/>
              </w:rPr>
              <w:t>$4,700</w:t>
            </w:r>
          </w:p>
        </w:tc>
        <w:tc>
          <w:tcPr>
            <w:tcW w:w="2632" w:type="dxa"/>
          </w:tcPr>
          <w:p w14:paraId="0E8E431D" w14:textId="77777777" w:rsidR="000568A0" w:rsidRPr="00627D8A" w:rsidRDefault="000568A0" w:rsidP="009B3FF6">
            <w:pPr>
              <w:jc w:val="right"/>
              <w:rPr>
                <w:szCs w:val="22"/>
              </w:rPr>
            </w:pPr>
            <w:r w:rsidRPr="00627D8A">
              <w:rPr>
                <w:szCs w:val="22"/>
              </w:rPr>
              <w:t>7,050</w:t>
            </w:r>
          </w:p>
        </w:tc>
      </w:tr>
      <w:tr w:rsidR="000568A0" w14:paraId="6D86FD58" w14:textId="77777777">
        <w:tc>
          <w:tcPr>
            <w:tcW w:w="0" w:type="auto"/>
          </w:tcPr>
          <w:p w14:paraId="6D5AD74A" w14:textId="77777777" w:rsidR="000568A0" w:rsidRPr="00627D8A" w:rsidRDefault="0025276C" w:rsidP="001E7984">
            <w:pPr>
              <w:jc w:val="center"/>
              <w:rPr>
                <w:szCs w:val="22"/>
              </w:rPr>
            </w:pPr>
            <w:r>
              <w:rPr>
                <w:szCs w:val="22"/>
              </w:rPr>
              <w:t>2017</w:t>
            </w:r>
          </w:p>
        </w:tc>
        <w:tc>
          <w:tcPr>
            <w:tcW w:w="0" w:type="auto"/>
          </w:tcPr>
          <w:p w14:paraId="51022666" w14:textId="175949D1" w:rsidR="000568A0" w:rsidRPr="00627D8A" w:rsidRDefault="000568A0" w:rsidP="002B6F4D">
            <w:pPr>
              <w:jc w:val="right"/>
              <w:rPr>
                <w:szCs w:val="22"/>
              </w:rPr>
            </w:pPr>
            <w:r w:rsidRPr="00627D8A">
              <w:rPr>
                <w:szCs w:val="22"/>
              </w:rPr>
              <w:t xml:space="preserve">7,050 </w:t>
            </w:r>
            <w:r w:rsidR="00C67789" w:rsidRPr="00A878FE">
              <w:rPr>
                <w:szCs w:val="22"/>
              </w:rPr>
              <w:t>×</w:t>
            </w:r>
            <w:r w:rsidRPr="00627D8A">
              <w:rPr>
                <w:szCs w:val="22"/>
              </w:rPr>
              <w:t xml:space="preserve"> 2/5</w:t>
            </w:r>
          </w:p>
        </w:tc>
        <w:tc>
          <w:tcPr>
            <w:tcW w:w="0" w:type="auto"/>
          </w:tcPr>
          <w:p w14:paraId="5A87F2D7" w14:textId="77777777" w:rsidR="000568A0" w:rsidRPr="00627D8A" w:rsidRDefault="000568A0" w:rsidP="009B3FF6">
            <w:pPr>
              <w:jc w:val="right"/>
              <w:rPr>
                <w:szCs w:val="22"/>
              </w:rPr>
            </w:pPr>
            <w:r w:rsidRPr="00627D8A">
              <w:rPr>
                <w:szCs w:val="22"/>
              </w:rPr>
              <w:t>2,820</w:t>
            </w:r>
          </w:p>
        </w:tc>
        <w:tc>
          <w:tcPr>
            <w:tcW w:w="0" w:type="auto"/>
          </w:tcPr>
          <w:p w14:paraId="2C7C0F81" w14:textId="77777777" w:rsidR="000568A0" w:rsidRPr="00627D8A" w:rsidRDefault="000568A0" w:rsidP="009B3FF6">
            <w:pPr>
              <w:jc w:val="right"/>
              <w:rPr>
                <w:szCs w:val="22"/>
              </w:rPr>
            </w:pPr>
            <w:r w:rsidRPr="00627D8A">
              <w:rPr>
                <w:szCs w:val="22"/>
              </w:rPr>
              <w:t>7,520</w:t>
            </w:r>
          </w:p>
        </w:tc>
        <w:tc>
          <w:tcPr>
            <w:tcW w:w="2632" w:type="dxa"/>
          </w:tcPr>
          <w:p w14:paraId="2E6B82D5" w14:textId="77777777" w:rsidR="000568A0" w:rsidRPr="00627D8A" w:rsidRDefault="000568A0" w:rsidP="009B3FF6">
            <w:pPr>
              <w:jc w:val="right"/>
              <w:rPr>
                <w:szCs w:val="22"/>
              </w:rPr>
            </w:pPr>
            <w:r w:rsidRPr="00627D8A">
              <w:rPr>
                <w:szCs w:val="22"/>
              </w:rPr>
              <w:t>4,230</w:t>
            </w:r>
          </w:p>
        </w:tc>
      </w:tr>
      <w:tr w:rsidR="000568A0" w14:paraId="4A5DD86D" w14:textId="77777777">
        <w:tc>
          <w:tcPr>
            <w:tcW w:w="0" w:type="auto"/>
          </w:tcPr>
          <w:p w14:paraId="6EB1FC3F" w14:textId="77777777" w:rsidR="000568A0" w:rsidRPr="00627D8A" w:rsidRDefault="0025276C" w:rsidP="001E7984">
            <w:pPr>
              <w:jc w:val="center"/>
              <w:rPr>
                <w:szCs w:val="22"/>
              </w:rPr>
            </w:pPr>
            <w:r>
              <w:rPr>
                <w:szCs w:val="22"/>
              </w:rPr>
              <w:t>2018</w:t>
            </w:r>
          </w:p>
        </w:tc>
        <w:tc>
          <w:tcPr>
            <w:tcW w:w="0" w:type="auto"/>
          </w:tcPr>
          <w:p w14:paraId="3D26F0A7" w14:textId="5771A5C0" w:rsidR="000568A0" w:rsidRPr="00627D8A" w:rsidRDefault="000568A0" w:rsidP="002B6F4D">
            <w:pPr>
              <w:jc w:val="right"/>
              <w:rPr>
                <w:szCs w:val="22"/>
              </w:rPr>
            </w:pPr>
            <w:r w:rsidRPr="00627D8A">
              <w:rPr>
                <w:szCs w:val="22"/>
              </w:rPr>
              <w:t xml:space="preserve">4,230 </w:t>
            </w:r>
            <w:r w:rsidR="00C67789" w:rsidRPr="00A878FE">
              <w:rPr>
                <w:szCs w:val="22"/>
              </w:rPr>
              <w:t>×</w:t>
            </w:r>
            <w:r w:rsidRPr="00627D8A">
              <w:rPr>
                <w:szCs w:val="22"/>
              </w:rPr>
              <w:t xml:space="preserve"> 2/5</w:t>
            </w:r>
          </w:p>
        </w:tc>
        <w:tc>
          <w:tcPr>
            <w:tcW w:w="0" w:type="auto"/>
          </w:tcPr>
          <w:p w14:paraId="19EB0293" w14:textId="77777777" w:rsidR="000568A0" w:rsidRPr="00627D8A" w:rsidRDefault="000568A0" w:rsidP="009B3FF6">
            <w:pPr>
              <w:jc w:val="right"/>
              <w:rPr>
                <w:szCs w:val="22"/>
              </w:rPr>
            </w:pPr>
            <w:r w:rsidRPr="00627D8A">
              <w:rPr>
                <w:szCs w:val="22"/>
              </w:rPr>
              <w:t>1,692</w:t>
            </w:r>
          </w:p>
        </w:tc>
        <w:tc>
          <w:tcPr>
            <w:tcW w:w="0" w:type="auto"/>
          </w:tcPr>
          <w:p w14:paraId="67CE74F3" w14:textId="77777777" w:rsidR="000568A0" w:rsidRPr="00627D8A" w:rsidRDefault="000568A0" w:rsidP="009B3FF6">
            <w:pPr>
              <w:jc w:val="right"/>
              <w:rPr>
                <w:szCs w:val="22"/>
              </w:rPr>
            </w:pPr>
            <w:r w:rsidRPr="00627D8A">
              <w:rPr>
                <w:szCs w:val="22"/>
              </w:rPr>
              <w:t>9,212</w:t>
            </w:r>
          </w:p>
        </w:tc>
        <w:tc>
          <w:tcPr>
            <w:tcW w:w="2632" w:type="dxa"/>
          </w:tcPr>
          <w:p w14:paraId="76698D47" w14:textId="77777777" w:rsidR="000568A0" w:rsidRPr="00627D8A" w:rsidRDefault="000568A0" w:rsidP="009B3FF6">
            <w:pPr>
              <w:jc w:val="right"/>
              <w:rPr>
                <w:szCs w:val="22"/>
              </w:rPr>
            </w:pPr>
            <w:r w:rsidRPr="00627D8A">
              <w:rPr>
                <w:szCs w:val="22"/>
              </w:rPr>
              <w:t>2,538</w:t>
            </w:r>
          </w:p>
        </w:tc>
      </w:tr>
      <w:tr w:rsidR="000568A0" w14:paraId="73E28989" w14:textId="77777777">
        <w:tc>
          <w:tcPr>
            <w:tcW w:w="0" w:type="auto"/>
          </w:tcPr>
          <w:p w14:paraId="0D449C5A" w14:textId="77777777" w:rsidR="000568A0" w:rsidRPr="00627D8A" w:rsidRDefault="0025276C" w:rsidP="001E7984">
            <w:pPr>
              <w:jc w:val="center"/>
              <w:rPr>
                <w:szCs w:val="22"/>
              </w:rPr>
            </w:pPr>
            <w:r>
              <w:rPr>
                <w:szCs w:val="22"/>
              </w:rPr>
              <w:t>2019</w:t>
            </w:r>
          </w:p>
        </w:tc>
        <w:tc>
          <w:tcPr>
            <w:tcW w:w="0" w:type="auto"/>
          </w:tcPr>
          <w:p w14:paraId="1C2ED881" w14:textId="3DF093E3" w:rsidR="000568A0" w:rsidRPr="00627D8A" w:rsidRDefault="000568A0" w:rsidP="002B6F4D">
            <w:pPr>
              <w:jc w:val="right"/>
              <w:rPr>
                <w:szCs w:val="22"/>
              </w:rPr>
            </w:pPr>
            <w:r w:rsidRPr="00627D8A">
              <w:rPr>
                <w:strike/>
                <w:szCs w:val="22"/>
              </w:rPr>
              <w:t>2,</w:t>
            </w:r>
            <w:r w:rsidRPr="0047381B">
              <w:rPr>
                <w:strike/>
                <w:szCs w:val="22"/>
              </w:rPr>
              <w:t xml:space="preserve">538 </w:t>
            </w:r>
            <w:r w:rsidR="00C67789" w:rsidRPr="00766794">
              <w:rPr>
                <w:strike/>
                <w:szCs w:val="22"/>
              </w:rPr>
              <w:t>×</w:t>
            </w:r>
            <w:r w:rsidRPr="0047381B">
              <w:rPr>
                <w:strike/>
                <w:szCs w:val="22"/>
              </w:rPr>
              <w:t xml:space="preserve"> 2/</w:t>
            </w:r>
            <w:r w:rsidRPr="00627D8A">
              <w:rPr>
                <w:strike/>
                <w:szCs w:val="22"/>
              </w:rPr>
              <w:t>5</w:t>
            </w:r>
            <w:r w:rsidRPr="00627D8A">
              <w:rPr>
                <w:szCs w:val="22"/>
              </w:rPr>
              <w:br/>
              <w:t>2,538 – 1,750</w:t>
            </w:r>
          </w:p>
        </w:tc>
        <w:tc>
          <w:tcPr>
            <w:tcW w:w="0" w:type="auto"/>
          </w:tcPr>
          <w:p w14:paraId="4C347BFE" w14:textId="77777777" w:rsidR="000568A0" w:rsidRPr="00627D8A" w:rsidRDefault="000568A0" w:rsidP="009B3FF6">
            <w:pPr>
              <w:jc w:val="right"/>
              <w:rPr>
                <w:szCs w:val="22"/>
              </w:rPr>
            </w:pPr>
            <w:r w:rsidRPr="00627D8A">
              <w:rPr>
                <w:szCs w:val="22"/>
              </w:rPr>
              <w:t xml:space="preserve">788 </w:t>
            </w:r>
            <w:r w:rsidRPr="00627D8A">
              <w:rPr>
                <w:strike/>
                <w:szCs w:val="22"/>
              </w:rPr>
              <w:t>1,015</w:t>
            </w:r>
          </w:p>
        </w:tc>
        <w:tc>
          <w:tcPr>
            <w:tcW w:w="0" w:type="auto"/>
          </w:tcPr>
          <w:p w14:paraId="1485A2C8" w14:textId="77777777" w:rsidR="000568A0" w:rsidRPr="00627D8A" w:rsidRDefault="000568A0" w:rsidP="009B3FF6">
            <w:pPr>
              <w:jc w:val="right"/>
              <w:rPr>
                <w:szCs w:val="22"/>
              </w:rPr>
            </w:pPr>
            <w:r w:rsidRPr="00627D8A">
              <w:rPr>
                <w:szCs w:val="22"/>
              </w:rPr>
              <w:t xml:space="preserve"> 10,000 </w:t>
            </w:r>
            <w:r w:rsidRPr="00627D8A">
              <w:rPr>
                <w:strike/>
                <w:szCs w:val="22"/>
              </w:rPr>
              <w:t>10,227</w:t>
            </w:r>
          </w:p>
        </w:tc>
        <w:tc>
          <w:tcPr>
            <w:tcW w:w="2632" w:type="dxa"/>
          </w:tcPr>
          <w:p w14:paraId="65C28E86" w14:textId="77777777" w:rsidR="000568A0" w:rsidRPr="00627D8A" w:rsidRDefault="000568A0" w:rsidP="009B3FF6">
            <w:pPr>
              <w:jc w:val="right"/>
              <w:rPr>
                <w:szCs w:val="22"/>
              </w:rPr>
            </w:pPr>
            <w:r w:rsidRPr="00627D8A">
              <w:rPr>
                <w:szCs w:val="22"/>
              </w:rPr>
              <w:t xml:space="preserve"> 1,750 </w:t>
            </w:r>
            <w:r w:rsidRPr="00627D8A">
              <w:rPr>
                <w:strike/>
                <w:szCs w:val="22"/>
              </w:rPr>
              <w:t>1,448</w:t>
            </w:r>
          </w:p>
        </w:tc>
      </w:tr>
      <w:tr w:rsidR="000568A0" w14:paraId="1AC62AF4" w14:textId="77777777">
        <w:tc>
          <w:tcPr>
            <w:tcW w:w="0" w:type="auto"/>
          </w:tcPr>
          <w:p w14:paraId="54C34B53" w14:textId="77777777" w:rsidR="000568A0" w:rsidRPr="00627D8A" w:rsidRDefault="0025276C" w:rsidP="001E7984">
            <w:pPr>
              <w:jc w:val="center"/>
              <w:rPr>
                <w:szCs w:val="22"/>
              </w:rPr>
            </w:pPr>
            <w:r>
              <w:rPr>
                <w:szCs w:val="22"/>
              </w:rPr>
              <w:t>2020</w:t>
            </w:r>
          </w:p>
        </w:tc>
        <w:tc>
          <w:tcPr>
            <w:tcW w:w="0" w:type="auto"/>
          </w:tcPr>
          <w:p w14:paraId="632D810C" w14:textId="51663CD6" w:rsidR="000568A0" w:rsidRPr="00627D8A" w:rsidRDefault="000568A0" w:rsidP="002B6F4D">
            <w:pPr>
              <w:jc w:val="right"/>
              <w:rPr>
                <w:strike/>
                <w:szCs w:val="22"/>
              </w:rPr>
            </w:pPr>
            <w:r w:rsidRPr="00627D8A">
              <w:rPr>
                <w:strike/>
                <w:szCs w:val="22"/>
              </w:rPr>
              <w:t xml:space="preserve">1,448 </w:t>
            </w:r>
            <w:r w:rsidR="0047381B" w:rsidRPr="00766794">
              <w:rPr>
                <w:strike/>
                <w:szCs w:val="22"/>
              </w:rPr>
              <w:t>×</w:t>
            </w:r>
            <w:r w:rsidRPr="00627D8A">
              <w:rPr>
                <w:strike/>
                <w:szCs w:val="22"/>
              </w:rPr>
              <w:t xml:space="preserve"> 2/5</w:t>
            </w:r>
          </w:p>
        </w:tc>
        <w:tc>
          <w:tcPr>
            <w:tcW w:w="0" w:type="auto"/>
          </w:tcPr>
          <w:p w14:paraId="63BC97A7" w14:textId="77777777" w:rsidR="000568A0" w:rsidRPr="00627D8A" w:rsidRDefault="000568A0" w:rsidP="009B3FF6">
            <w:pPr>
              <w:jc w:val="right"/>
              <w:rPr>
                <w:strike/>
                <w:szCs w:val="22"/>
              </w:rPr>
            </w:pPr>
            <w:r w:rsidRPr="00627D8A">
              <w:rPr>
                <w:szCs w:val="22"/>
              </w:rPr>
              <w:t xml:space="preserve">0 </w:t>
            </w:r>
            <w:r w:rsidRPr="00627D8A">
              <w:rPr>
                <w:strike/>
                <w:szCs w:val="22"/>
              </w:rPr>
              <w:t>579</w:t>
            </w:r>
          </w:p>
        </w:tc>
        <w:tc>
          <w:tcPr>
            <w:tcW w:w="0" w:type="auto"/>
          </w:tcPr>
          <w:p w14:paraId="5512C9E4" w14:textId="77777777" w:rsidR="000568A0" w:rsidRPr="00627D8A" w:rsidRDefault="000568A0" w:rsidP="009B3FF6">
            <w:pPr>
              <w:jc w:val="right"/>
              <w:rPr>
                <w:szCs w:val="22"/>
              </w:rPr>
            </w:pPr>
            <w:r w:rsidRPr="00627D8A">
              <w:rPr>
                <w:szCs w:val="22"/>
              </w:rPr>
              <w:t xml:space="preserve">0 </w:t>
            </w:r>
            <w:r w:rsidRPr="00627D8A">
              <w:rPr>
                <w:strike/>
                <w:szCs w:val="22"/>
              </w:rPr>
              <w:t>10,806</w:t>
            </w:r>
          </w:p>
        </w:tc>
        <w:tc>
          <w:tcPr>
            <w:tcW w:w="2632" w:type="dxa"/>
          </w:tcPr>
          <w:p w14:paraId="4CD82311" w14:textId="77777777" w:rsidR="000568A0" w:rsidRPr="00627D8A" w:rsidRDefault="000568A0" w:rsidP="009B3FF6">
            <w:pPr>
              <w:jc w:val="right"/>
              <w:rPr>
                <w:strike/>
                <w:szCs w:val="22"/>
              </w:rPr>
            </w:pPr>
            <w:r w:rsidRPr="00627D8A">
              <w:rPr>
                <w:szCs w:val="22"/>
              </w:rPr>
              <w:t xml:space="preserve">1,750 </w:t>
            </w:r>
            <w:r w:rsidRPr="00627D8A">
              <w:rPr>
                <w:strike/>
                <w:szCs w:val="22"/>
              </w:rPr>
              <w:t>944</w:t>
            </w:r>
          </w:p>
        </w:tc>
      </w:tr>
    </w:tbl>
    <w:p w14:paraId="3F6A9C12" w14:textId="77777777" w:rsidR="009B3FF6" w:rsidRDefault="009B3FF6" w:rsidP="00627D8A">
      <w:pPr>
        <w:rPr>
          <w:szCs w:val="22"/>
        </w:rPr>
      </w:pPr>
    </w:p>
    <w:p w14:paraId="77F238AD" w14:textId="77777777" w:rsidR="00627D8A" w:rsidRDefault="00627D8A" w:rsidP="00627D8A">
      <w:pPr>
        <w:rPr>
          <w:szCs w:val="22"/>
        </w:rPr>
      </w:pPr>
      <w:r>
        <w:rPr>
          <w:szCs w:val="22"/>
        </w:rPr>
        <w:t>Part 3</w:t>
      </w:r>
    </w:p>
    <w:p w14:paraId="22753265" w14:textId="5A38C19F" w:rsidR="00627D8A" w:rsidRPr="000568A0" w:rsidRDefault="00627D8A" w:rsidP="00627D8A">
      <w:pPr>
        <w:rPr>
          <w:szCs w:val="22"/>
        </w:rPr>
      </w:pPr>
      <w:r w:rsidRPr="000568A0">
        <w:rPr>
          <w:szCs w:val="22"/>
        </w:rPr>
        <w:t xml:space="preserve">On December 31, </w:t>
      </w:r>
      <w:r w:rsidR="0025276C">
        <w:rPr>
          <w:szCs w:val="22"/>
        </w:rPr>
        <w:t>2020</w:t>
      </w:r>
      <w:r w:rsidRPr="000568A0">
        <w:rPr>
          <w:szCs w:val="22"/>
        </w:rPr>
        <w:t xml:space="preserve">, </w:t>
      </w:r>
      <w:r w:rsidR="00D27742">
        <w:rPr>
          <w:szCs w:val="22"/>
        </w:rPr>
        <w:t xml:space="preserve">at the end of its useful life, </w:t>
      </w:r>
      <w:r w:rsidRPr="000568A0">
        <w:rPr>
          <w:szCs w:val="22"/>
        </w:rPr>
        <w:t>Joel Harvey sold the truck for $3,000 cash. Compute the gain or loss on sale.</w:t>
      </w:r>
    </w:p>
    <w:p w14:paraId="051B15C0" w14:textId="77777777" w:rsidR="009B3FF6" w:rsidRDefault="009B3FF6" w:rsidP="00627D8A">
      <w:pPr>
        <w:rPr>
          <w:szCs w:val="22"/>
        </w:rPr>
      </w:pPr>
    </w:p>
    <w:p w14:paraId="7B1E1E0B" w14:textId="77777777" w:rsidR="000568A0" w:rsidRPr="00627D8A" w:rsidRDefault="00D27742" w:rsidP="001E7984">
      <w:pPr>
        <w:ind w:left="288"/>
        <w:rPr>
          <w:szCs w:val="22"/>
        </w:rPr>
      </w:pPr>
      <w:r>
        <w:rPr>
          <w:szCs w:val="22"/>
        </w:rPr>
        <w:t xml:space="preserve">Cost of </w:t>
      </w:r>
      <w:r w:rsidR="00627D8A">
        <w:rPr>
          <w:szCs w:val="22"/>
        </w:rPr>
        <w:t xml:space="preserve">$3,000 </w:t>
      </w:r>
      <w:r>
        <w:rPr>
          <w:szCs w:val="22"/>
        </w:rPr>
        <w:t>–</w:t>
      </w:r>
      <w:r w:rsidR="00627D8A">
        <w:rPr>
          <w:szCs w:val="22"/>
        </w:rPr>
        <w:t xml:space="preserve"> </w:t>
      </w:r>
      <w:r>
        <w:rPr>
          <w:szCs w:val="22"/>
        </w:rPr>
        <w:t xml:space="preserve">Accumulated depreciation of </w:t>
      </w:r>
      <w:r w:rsidR="00627D8A">
        <w:rPr>
          <w:szCs w:val="22"/>
        </w:rPr>
        <w:t xml:space="preserve">$1,750 = </w:t>
      </w:r>
      <w:r>
        <w:rPr>
          <w:szCs w:val="22"/>
        </w:rPr>
        <w:t xml:space="preserve">Gain of </w:t>
      </w:r>
      <w:r w:rsidR="00627D8A">
        <w:rPr>
          <w:szCs w:val="22"/>
        </w:rPr>
        <w:t xml:space="preserve">$1,250 </w:t>
      </w:r>
    </w:p>
    <w:p w14:paraId="4D738E25" w14:textId="25EC1F36" w:rsidR="005F41C7" w:rsidRPr="009B3FF6" w:rsidRDefault="005F41C7" w:rsidP="00600597">
      <w:pPr>
        <w:pStyle w:val="Heading1"/>
        <w:spacing w:before="240"/>
      </w:pPr>
      <w:r w:rsidRPr="009B3FF6">
        <w:lastRenderedPageBreak/>
        <w:t xml:space="preserve">HANDOUT </w:t>
      </w:r>
      <w:r w:rsidR="00E416B4">
        <w:t>9</w:t>
      </w:r>
      <w:r w:rsidRPr="009B3FF6">
        <w:t>–</w:t>
      </w:r>
      <w:r w:rsidR="00600597">
        <w:t>2</w:t>
      </w:r>
    </w:p>
    <w:p w14:paraId="65210EE9" w14:textId="77777777" w:rsidR="005F41C7" w:rsidRDefault="005F41C7" w:rsidP="005F41C7">
      <w:pPr>
        <w:pStyle w:val="Heading1"/>
        <w:spacing w:before="240"/>
        <w:jc w:val="center"/>
        <w:rPr>
          <w:u w:val="none"/>
        </w:rPr>
      </w:pPr>
      <w:r>
        <w:rPr>
          <w:u w:val="none"/>
        </w:rPr>
        <w:t>COMPARISON OF DEPRECIATION EXPENSE AND NET BOOK VALUE</w:t>
      </w:r>
    </w:p>
    <w:p w14:paraId="4045E8F2" w14:textId="77777777" w:rsidR="00C264B8" w:rsidRDefault="00535794" w:rsidP="005F41C7">
      <w:r>
        <w:rPr>
          <w:noProof/>
        </w:rPr>
        <w:drawing>
          <wp:inline distT="0" distB="0" distL="0" distR="0" wp14:anchorId="70947921" wp14:editId="0AF7D729">
            <wp:extent cx="5362575" cy="3657600"/>
            <wp:effectExtent l="0" t="0" r="0" b="0"/>
            <wp:docPr id="1" name="Objec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Pr>
          <w:noProof/>
        </w:rPr>
        <w:drawing>
          <wp:inline distT="0" distB="0" distL="0" distR="0" wp14:anchorId="6105F039" wp14:editId="3BDD9A9E">
            <wp:extent cx="5362575" cy="3657600"/>
            <wp:effectExtent l="0" t="0" r="0" b="0"/>
            <wp:docPr id="2" name="Objec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5065FC2" w14:textId="77777777" w:rsidR="004F1C38" w:rsidRDefault="004F1C38" w:rsidP="005F41C7"/>
    <w:sectPr w:rsidR="004F1C38" w:rsidSect="00663285">
      <w:footerReference w:type="even" r:id="rId11"/>
      <w:footerReference w:type="default" r:id="rId12"/>
      <w:pgSz w:w="12240" w:h="15840" w:code="1"/>
      <w:pgMar w:top="1440" w:right="1080" w:bottom="1440" w:left="1800" w:header="720" w:footer="720" w:gutter="0"/>
      <w:pgNumType w:start="1"/>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187609" w14:textId="77777777" w:rsidR="00B948D9" w:rsidRDefault="00B948D9">
      <w:r>
        <w:separator/>
      </w:r>
    </w:p>
  </w:endnote>
  <w:endnote w:type="continuationSeparator" w:id="0">
    <w:p w14:paraId="15EA47D0" w14:textId="77777777" w:rsidR="00B948D9" w:rsidRDefault="00B948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Interstate-Regular">
    <w:altName w:val="Courier"/>
    <w:panose1 w:val="00000000000000000000"/>
    <w:charset w:val="00"/>
    <w:family w:val="auto"/>
    <w:notTrueType/>
    <w:pitch w:val="default"/>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9F8354" w14:textId="77777777" w:rsidR="00B948D9" w:rsidRDefault="00B948D9">
    <w:pPr>
      <w:pStyle w:val="Footer"/>
      <w:tabs>
        <w:tab w:val="clear" w:pos="8640"/>
        <w:tab w:val="right" w:pos="9360"/>
      </w:tabs>
      <w:ind w:right="360"/>
      <w:jc w:val="left"/>
      <w:rPr>
        <w:i/>
        <w:u w:val="single"/>
      </w:rPr>
    </w:pPr>
    <w:r>
      <w:rPr>
        <w:i/>
        <w:u w:val="single"/>
      </w:rPr>
      <w:t>Copyright © 2016 McGraw-Hill Education</w:t>
    </w:r>
    <w:r>
      <w:rPr>
        <w:i/>
        <w:u w:val="single"/>
      </w:rPr>
      <w:tab/>
    </w:r>
    <w:r>
      <w:rPr>
        <w:i/>
        <w:u w:val="single"/>
      </w:rPr>
      <w:tab/>
    </w:r>
  </w:p>
  <w:p w14:paraId="737DE629" w14:textId="77777777" w:rsidR="00B948D9" w:rsidRDefault="00B948D9" w:rsidP="00BC1960">
    <w:pPr>
      <w:pStyle w:val="Footer"/>
      <w:tabs>
        <w:tab w:val="clear" w:pos="8640"/>
        <w:tab w:val="right" w:pos="9360"/>
      </w:tabs>
      <w:ind w:right="360"/>
      <w:jc w:val="left"/>
      <w:rPr>
        <w:i/>
      </w:rPr>
    </w:pPr>
    <w:r>
      <w:rPr>
        <w:rStyle w:val="PageNumber"/>
        <w:i/>
      </w:rPr>
      <w:t>9-</w:t>
    </w:r>
    <w:r>
      <w:rPr>
        <w:rStyle w:val="PageNumber"/>
        <w:i/>
      </w:rPr>
      <w:fldChar w:fldCharType="begin"/>
    </w:r>
    <w:r>
      <w:rPr>
        <w:rStyle w:val="PageNumber"/>
        <w:i/>
      </w:rPr>
      <w:instrText xml:space="preserve"> PAGE </w:instrText>
    </w:r>
    <w:r>
      <w:rPr>
        <w:rStyle w:val="PageNumber"/>
        <w:i/>
      </w:rPr>
      <w:fldChar w:fldCharType="separate"/>
    </w:r>
    <w:r w:rsidR="00343DC5">
      <w:rPr>
        <w:rStyle w:val="PageNumber"/>
        <w:i/>
        <w:noProof/>
      </w:rPr>
      <w:t>16</w:t>
    </w:r>
    <w:r>
      <w:rPr>
        <w:rStyle w:val="PageNumber"/>
        <w:i/>
      </w:rPr>
      <w:fldChar w:fldCharType="end"/>
    </w:r>
    <w:r>
      <w:rPr>
        <w:rStyle w:val="PageNumber"/>
        <w:i/>
      </w:rPr>
      <w:tab/>
    </w:r>
    <w:r>
      <w:rPr>
        <w:rStyle w:val="PageNumber"/>
        <w:i/>
      </w:rPr>
      <w:tab/>
      <w:t>Fundamentals of Financial Accounting, 5/e</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4244D5" w14:textId="77777777" w:rsidR="00B948D9" w:rsidRDefault="00B948D9" w:rsidP="00BC1960">
    <w:pPr>
      <w:pStyle w:val="Footer"/>
      <w:tabs>
        <w:tab w:val="clear" w:pos="8640"/>
        <w:tab w:val="right" w:pos="9360"/>
      </w:tabs>
      <w:ind w:right="360"/>
      <w:jc w:val="left"/>
      <w:rPr>
        <w:i/>
        <w:u w:val="single"/>
      </w:rPr>
    </w:pPr>
    <w:r>
      <w:rPr>
        <w:i/>
        <w:u w:val="single"/>
      </w:rPr>
      <w:tab/>
    </w:r>
    <w:r>
      <w:rPr>
        <w:i/>
        <w:u w:val="single"/>
      </w:rPr>
      <w:tab/>
      <w:t xml:space="preserve">Copyright © 2016 McGraw-Hill Education </w:t>
    </w:r>
  </w:p>
  <w:p w14:paraId="2C578E6D" w14:textId="77777777" w:rsidR="00B948D9" w:rsidRDefault="00B948D9" w:rsidP="007C6E6A">
    <w:pPr>
      <w:pStyle w:val="Footer"/>
      <w:tabs>
        <w:tab w:val="clear" w:pos="8640"/>
        <w:tab w:val="right" w:pos="9360"/>
      </w:tabs>
      <w:jc w:val="left"/>
      <w:rPr>
        <w:i/>
      </w:rPr>
    </w:pPr>
    <w:r>
      <w:rPr>
        <w:i/>
      </w:rPr>
      <w:t>Instructor’s Resource Manual, Chapter 9</w:t>
    </w:r>
    <w:r>
      <w:rPr>
        <w:i/>
      </w:rPr>
      <w:tab/>
    </w:r>
    <w:r>
      <w:rPr>
        <w:i/>
      </w:rPr>
      <w:tab/>
      <w:t>9-</w:t>
    </w:r>
    <w:r>
      <w:rPr>
        <w:rStyle w:val="PageNumber"/>
        <w:i/>
      </w:rPr>
      <w:fldChar w:fldCharType="begin"/>
    </w:r>
    <w:r>
      <w:rPr>
        <w:rStyle w:val="PageNumber"/>
        <w:i/>
      </w:rPr>
      <w:instrText xml:space="preserve"> PAGE </w:instrText>
    </w:r>
    <w:r>
      <w:rPr>
        <w:rStyle w:val="PageNumber"/>
        <w:i/>
      </w:rPr>
      <w:fldChar w:fldCharType="separate"/>
    </w:r>
    <w:r w:rsidR="00343DC5">
      <w:rPr>
        <w:rStyle w:val="PageNumber"/>
        <w:i/>
        <w:noProof/>
      </w:rPr>
      <w:t>19</w:t>
    </w:r>
    <w:r>
      <w:rPr>
        <w:rStyle w:val="PageNumber"/>
        <w:i/>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81660E" w14:textId="77777777" w:rsidR="00B948D9" w:rsidRDefault="00B948D9">
      <w:r>
        <w:separator/>
      </w:r>
    </w:p>
  </w:footnote>
  <w:footnote w:type="continuationSeparator" w:id="0">
    <w:p w14:paraId="2817E2C3" w14:textId="77777777" w:rsidR="00B948D9" w:rsidRDefault="00B948D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20885"/>
    <w:multiLevelType w:val="hybridMultilevel"/>
    <w:tmpl w:val="2780BC22"/>
    <w:lvl w:ilvl="0" w:tplc="04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8000F42"/>
    <w:multiLevelType w:val="hybridMultilevel"/>
    <w:tmpl w:val="2138DF70"/>
    <w:lvl w:ilvl="0" w:tplc="872C4CAE">
      <w:start w:val="1"/>
      <w:numFmt w:val="lowerLetter"/>
      <w:lvlText w:val="%1."/>
      <w:lvlJc w:val="left"/>
      <w:pPr>
        <w:ind w:left="1512" w:hanging="360"/>
      </w:pPr>
      <w:rPr>
        <w:rFonts w:hint="default"/>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2">
    <w:nsid w:val="10F40FCB"/>
    <w:multiLevelType w:val="hybridMultilevel"/>
    <w:tmpl w:val="8CA4D62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EA44D3"/>
    <w:multiLevelType w:val="hybridMultilevel"/>
    <w:tmpl w:val="195680CA"/>
    <w:lvl w:ilvl="0" w:tplc="D076C47E">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
    <w:nsid w:val="1F2B6600"/>
    <w:multiLevelType w:val="hybridMultilevel"/>
    <w:tmpl w:val="DC52B4E4"/>
    <w:lvl w:ilvl="0" w:tplc="0409001B">
      <w:start w:val="1"/>
      <w:numFmt w:val="lowerRoman"/>
      <w:lvlText w:val="%1."/>
      <w:lvlJc w:val="right"/>
      <w:pPr>
        <w:ind w:left="1800" w:hanging="360"/>
      </w:pPr>
      <w:rPr>
        <w:rFonts w:hint="default"/>
      </w:rPr>
    </w:lvl>
    <w:lvl w:ilvl="1" w:tplc="0409000F">
      <w:start w:val="1"/>
      <w:numFmt w:val="decimal"/>
      <w:lvlText w:val="%2."/>
      <w:lvlJc w:val="left"/>
      <w:pPr>
        <w:tabs>
          <w:tab w:val="num" w:pos="2880"/>
        </w:tabs>
        <w:ind w:left="2880" w:hanging="360"/>
      </w:pPr>
      <w:rPr>
        <w:rFonts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5">
    <w:nsid w:val="1F42634E"/>
    <w:multiLevelType w:val="hybridMultilevel"/>
    <w:tmpl w:val="DB3AFCB4"/>
    <w:lvl w:ilvl="0" w:tplc="D076C47E">
      <w:start w:val="1"/>
      <w:numFmt w:val="bullet"/>
      <w:lvlText w:val=""/>
      <w:lvlJc w:val="left"/>
      <w:pPr>
        <w:tabs>
          <w:tab w:val="num" w:pos="2088"/>
        </w:tabs>
        <w:ind w:left="2088" w:hanging="360"/>
      </w:pPr>
      <w:rPr>
        <w:rFonts w:ascii="Wingdings" w:hAnsi="Wingdings" w:hint="default"/>
      </w:rPr>
    </w:lvl>
    <w:lvl w:ilvl="1" w:tplc="04090003">
      <w:start w:val="1"/>
      <w:numFmt w:val="bullet"/>
      <w:lvlText w:val="o"/>
      <w:lvlJc w:val="left"/>
      <w:pPr>
        <w:tabs>
          <w:tab w:val="num" w:pos="3168"/>
        </w:tabs>
        <w:ind w:left="3168" w:hanging="360"/>
      </w:pPr>
      <w:rPr>
        <w:rFonts w:ascii="Courier New" w:hAnsi="Courier New" w:cs="Courier New" w:hint="default"/>
      </w:rPr>
    </w:lvl>
    <w:lvl w:ilvl="2" w:tplc="04090005" w:tentative="1">
      <w:start w:val="1"/>
      <w:numFmt w:val="bullet"/>
      <w:lvlText w:val=""/>
      <w:lvlJc w:val="left"/>
      <w:pPr>
        <w:tabs>
          <w:tab w:val="num" w:pos="3888"/>
        </w:tabs>
        <w:ind w:left="3888" w:hanging="360"/>
      </w:pPr>
      <w:rPr>
        <w:rFonts w:ascii="Wingdings" w:hAnsi="Wingdings" w:hint="default"/>
      </w:rPr>
    </w:lvl>
    <w:lvl w:ilvl="3" w:tplc="04090001" w:tentative="1">
      <w:start w:val="1"/>
      <w:numFmt w:val="bullet"/>
      <w:lvlText w:val=""/>
      <w:lvlJc w:val="left"/>
      <w:pPr>
        <w:tabs>
          <w:tab w:val="num" w:pos="4608"/>
        </w:tabs>
        <w:ind w:left="4608" w:hanging="360"/>
      </w:pPr>
      <w:rPr>
        <w:rFonts w:ascii="Symbol" w:hAnsi="Symbol" w:hint="default"/>
      </w:rPr>
    </w:lvl>
    <w:lvl w:ilvl="4" w:tplc="04090003" w:tentative="1">
      <w:start w:val="1"/>
      <w:numFmt w:val="bullet"/>
      <w:lvlText w:val="o"/>
      <w:lvlJc w:val="left"/>
      <w:pPr>
        <w:tabs>
          <w:tab w:val="num" w:pos="5328"/>
        </w:tabs>
        <w:ind w:left="5328" w:hanging="360"/>
      </w:pPr>
      <w:rPr>
        <w:rFonts w:ascii="Courier New" w:hAnsi="Courier New" w:cs="Courier New" w:hint="default"/>
      </w:rPr>
    </w:lvl>
    <w:lvl w:ilvl="5" w:tplc="04090005" w:tentative="1">
      <w:start w:val="1"/>
      <w:numFmt w:val="bullet"/>
      <w:lvlText w:val=""/>
      <w:lvlJc w:val="left"/>
      <w:pPr>
        <w:tabs>
          <w:tab w:val="num" w:pos="6048"/>
        </w:tabs>
        <w:ind w:left="6048" w:hanging="360"/>
      </w:pPr>
      <w:rPr>
        <w:rFonts w:ascii="Wingdings" w:hAnsi="Wingdings" w:hint="default"/>
      </w:rPr>
    </w:lvl>
    <w:lvl w:ilvl="6" w:tplc="04090001" w:tentative="1">
      <w:start w:val="1"/>
      <w:numFmt w:val="bullet"/>
      <w:lvlText w:val=""/>
      <w:lvlJc w:val="left"/>
      <w:pPr>
        <w:tabs>
          <w:tab w:val="num" w:pos="6768"/>
        </w:tabs>
        <w:ind w:left="6768" w:hanging="360"/>
      </w:pPr>
      <w:rPr>
        <w:rFonts w:ascii="Symbol" w:hAnsi="Symbol" w:hint="default"/>
      </w:rPr>
    </w:lvl>
    <w:lvl w:ilvl="7" w:tplc="04090003" w:tentative="1">
      <w:start w:val="1"/>
      <w:numFmt w:val="bullet"/>
      <w:lvlText w:val="o"/>
      <w:lvlJc w:val="left"/>
      <w:pPr>
        <w:tabs>
          <w:tab w:val="num" w:pos="7488"/>
        </w:tabs>
        <w:ind w:left="7488" w:hanging="360"/>
      </w:pPr>
      <w:rPr>
        <w:rFonts w:ascii="Courier New" w:hAnsi="Courier New" w:cs="Courier New" w:hint="default"/>
      </w:rPr>
    </w:lvl>
    <w:lvl w:ilvl="8" w:tplc="04090005" w:tentative="1">
      <w:start w:val="1"/>
      <w:numFmt w:val="bullet"/>
      <w:lvlText w:val=""/>
      <w:lvlJc w:val="left"/>
      <w:pPr>
        <w:tabs>
          <w:tab w:val="num" w:pos="8208"/>
        </w:tabs>
        <w:ind w:left="8208" w:hanging="360"/>
      </w:pPr>
      <w:rPr>
        <w:rFonts w:ascii="Wingdings" w:hAnsi="Wingdings" w:hint="default"/>
      </w:rPr>
    </w:lvl>
  </w:abstractNum>
  <w:abstractNum w:abstractNumId="6">
    <w:nsid w:val="28266B9F"/>
    <w:multiLevelType w:val="multilevel"/>
    <w:tmpl w:val="DC52B4E4"/>
    <w:lvl w:ilvl="0">
      <w:start w:val="1"/>
      <w:numFmt w:val="lowerRoman"/>
      <w:lvlText w:val="%1."/>
      <w:lvlJc w:val="right"/>
      <w:pPr>
        <w:ind w:left="1800" w:hanging="360"/>
      </w:pPr>
      <w:rPr>
        <w:rFonts w:hint="default"/>
      </w:rPr>
    </w:lvl>
    <w:lvl w:ilvl="1">
      <w:start w:val="1"/>
      <w:numFmt w:val="decimal"/>
      <w:lvlText w:val="%2."/>
      <w:lvlJc w:val="left"/>
      <w:pPr>
        <w:tabs>
          <w:tab w:val="num" w:pos="2880"/>
        </w:tabs>
        <w:ind w:left="2880" w:hanging="360"/>
      </w:pPr>
      <w:rPr>
        <w:rFonts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cs="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cs="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7">
    <w:nsid w:val="28C00647"/>
    <w:multiLevelType w:val="hybridMultilevel"/>
    <w:tmpl w:val="DC52B4E4"/>
    <w:lvl w:ilvl="0" w:tplc="0409001B">
      <w:start w:val="1"/>
      <w:numFmt w:val="lowerRoman"/>
      <w:lvlText w:val="%1."/>
      <w:lvlJc w:val="right"/>
      <w:pPr>
        <w:ind w:left="1800" w:hanging="360"/>
      </w:pPr>
      <w:rPr>
        <w:rFonts w:hint="default"/>
      </w:rPr>
    </w:lvl>
    <w:lvl w:ilvl="1" w:tplc="0409000F">
      <w:start w:val="1"/>
      <w:numFmt w:val="decimal"/>
      <w:lvlText w:val="%2."/>
      <w:lvlJc w:val="left"/>
      <w:pPr>
        <w:tabs>
          <w:tab w:val="num" w:pos="2880"/>
        </w:tabs>
        <w:ind w:left="2880" w:hanging="360"/>
      </w:pPr>
      <w:rPr>
        <w:rFonts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8">
    <w:nsid w:val="33EF2875"/>
    <w:multiLevelType w:val="hybridMultilevel"/>
    <w:tmpl w:val="B52CEC46"/>
    <w:lvl w:ilvl="0" w:tplc="7B666C1A">
      <w:start w:val="2"/>
      <w:numFmt w:val="lowerLetter"/>
      <w:lvlText w:val="%1."/>
      <w:lvlJc w:val="left"/>
      <w:pPr>
        <w:tabs>
          <w:tab w:val="num" w:pos="1512"/>
        </w:tabs>
        <w:ind w:left="1512" w:hanging="360"/>
      </w:pPr>
      <w:rPr>
        <w:rFonts w:hint="default"/>
      </w:rPr>
    </w:lvl>
    <w:lvl w:ilvl="1" w:tplc="04090019" w:tentative="1">
      <w:start w:val="1"/>
      <w:numFmt w:val="lowerLetter"/>
      <w:lvlText w:val="%2."/>
      <w:lvlJc w:val="left"/>
      <w:pPr>
        <w:tabs>
          <w:tab w:val="num" w:pos="2232"/>
        </w:tabs>
        <w:ind w:left="2232" w:hanging="360"/>
      </w:pPr>
    </w:lvl>
    <w:lvl w:ilvl="2" w:tplc="0409001B" w:tentative="1">
      <w:start w:val="1"/>
      <w:numFmt w:val="lowerRoman"/>
      <w:lvlText w:val="%3."/>
      <w:lvlJc w:val="right"/>
      <w:pPr>
        <w:tabs>
          <w:tab w:val="num" w:pos="2952"/>
        </w:tabs>
        <w:ind w:left="2952" w:hanging="180"/>
      </w:pPr>
    </w:lvl>
    <w:lvl w:ilvl="3" w:tplc="0409000F" w:tentative="1">
      <w:start w:val="1"/>
      <w:numFmt w:val="decimal"/>
      <w:lvlText w:val="%4."/>
      <w:lvlJc w:val="left"/>
      <w:pPr>
        <w:tabs>
          <w:tab w:val="num" w:pos="3672"/>
        </w:tabs>
        <w:ind w:left="3672" w:hanging="360"/>
      </w:pPr>
    </w:lvl>
    <w:lvl w:ilvl="4" w:tplc="04090019" w:tentative="1">
      <w:start w:val="1"/>
      <w:numFmt w:val="lowerLetter"/>
      <w:lvlText w:val="%5."/>
      <w:lvlJc w:val="left"/>
      <w:pPr>
        <w:tabs>
          <w:tab w:val="num" w:pos="4392"/>
        </w:tabs>
        <w:ind w:left="4392" w:hanging="360"/>
      </w:pPr>
    </w:lvl>
    <w:lvl w:ilvl="5" w:tplc="0409001B" w:tentative="1">
      <w:start w:val="1"/>
      <w:numFmt w:val="lowerRoman"/>
      <w:lvlText w:val="%6."/>
      <w:lvlJc w:val="right"/>
      <w:pPr>
        <w:tabs>
          <w:tab w:val="num" w:pos="5112"/>
        </w:tabs>
        <w:ind w:left="5112" w:hanging="180"/>
      </w:pPr>
    </w:lvl>
    <w:lvl w:ilvl="6" w:tplc="0409000F" w:tentative="1">
      <w:start w:val="1"/>
      <w:numFmt w:val="decimal"/>
      <w:lvlText w:val="%7."/>
      <w:lvlJc w:val="left"/>
      <w:pPr>
        <w:tabs>
          <w:tab w:val="num" w:pos="5832"/>
        </w:tabs>
        <w:ind w:left="5832" w:hanging="360"/>
      </w:pPr>
    </w:lvl>
    <w:lvl w:ilvl="7" w:tplc="04090019" w:tentative="1">
      <w:start w:val="1"/>
      <w:numFmt w:val="lowerLetter"/>
      <w:lvlText w:val="%8."/>
      <w:lvlJc w:val="left"/>
      <w:pPr>
        <w:tabs>
          <w:tab w:val="num" w:pos="6552"/>
        </w:tabs>
        <w:ind w:left="6552" w:hanging="360"/>
      </w:pPr>
    </w:lvl>
    <w:lvl w:ilvl="8" w:tplc="0409001B" w:tentative="1">
      <w:start w:val="1"/>
      <w:numFmt w:val="lowerRoman"/>
      <w:lvlText w:val="%9."/>
      <w:lvlJc w:val="right"/>
      <w:pPr>
        <w:tabs>
          <w:tab w:val="num" w:pos="7272"/>
        </w:tabs>
        <w:ind w:left="7272" w:hanging="180"/>
      </w:pPr>
    </w:lvl>
  </w:abstractNum>
  <w:abstractNum w:abstractNumId="9">
    <w:nsid w:val="36354DB1"/>
    <w:multiLevelType w:val="hybridMultilevel"/>
    <w:tmpl w:val="0BB813EE"/>
    <w:lvl w:ilvl="0" w:tplc="0409001B">
      <w:start w:val="1"/>
      <w:numFmt w:val="lowerRoman"/>
      <w:lvlText w:val="%1."/>
      <w:lvlJc w:val="right"/>
      <w:pPr>
        <w:ind w:left="1800" w:hanging="360"/>
      </w:pPr>
      <w:rPr>
        <w:rFonts w:hint="default"/>
      </w:rPr>
    </w:lvl>
    <w:lvl w:ilvl="1" w:tplc="0409000F">
      <w:start w:val="1"/>
      <w:numFmt w:val="decimal"/>
      <w:lvlText w:val="%2."/>
      <w:lvlJc w:val="left"/>
      <w:pPr>
        <w:tabs>
          <w:tab w:val="num" w:pos="2880"/>
        </w:tabs>
        <w:ind w:left="2880" w:hanging="360"/>
      </w:pPr>
      <w:rPr>
        <w:rFonts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0">
    <w:nsid w:val="3B322DC0"/>
    <w:multiLevelType w:val="hybridMultilevel"/>
    <w:tmpl w:val="C4907ED8"/>
    <w:lvl w:ilvl="0" w:tplc="0409000F">
      <w:start w:val="1"/>
      <w:numFmt w:val="decimal"/>
      <w:lvlText w:val="%1."/>
      <w:lvlJc w:val="left"/>
      <w:pPr>
        <w:ind w:left="1800" w:hanging="360"/>
      </w:pPr>
      <w:rPr>
        <w:rFonts w:hint="default"/>
      </w:rPr>
    </w:lvl>
    <w:lvl w:ilvl="1" w:tplc="0409000F">
      <w:start w:val="1"/>
      <w:numFmt w:val="decimal"/>
      <w:lvlText w:val="%2."/>
      <w:lvlJc w:val="left"/>
      <w:pPr>
        <w:tabs>
          <w:tab w:val="num" w:pos="2880"/>
        </w:tabs>
        <w:ind w:left="2880" w:hanging="360"/>
      </w:pPr>
      <w:rPr>
        <w:rFonts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1">
    <w:nsid w:val="41A92A18"/>
    <w:multiLevelType w:val="hybridMultilevel"/>
    <w:tmpl w:val="0D12CD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1F52651"/>
    <w:multiLevelType w:val="hybridMultilevel"/>
    <w:tmpl w:val="A4166C74"/>
    <w:lvl w:ilvl="0" w:tplc="17AEF2A8">
      <w:start w:val="1"/>
      <w:numFmt w:val="bullet"/>
      <w:lvlText w:val="-"/>
      <w:lvlJc w:val="left"/>
      <w:pPr>
        <w:ind w:left="720" w:hanging="360"/>
      </w:pPr>
      <w:rPr>
        <w:rFonts w:ascii="Calibri" w:eastAsia="Calibri" w:hAnsi="Calibri" w:cs="Times New Roman"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13">
    <w:nsid w:val="42AC0D0F"/>
    <w:multiLevelType w:val="hybridMultilevel"/>
    <w:tmpl w:val="45BA56D8"/>
    <w:lvl w:ilvl="0" w:tplc="D076C47E">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4">
    <w:nsid w:val="462C4D47"/>
    <w:multiLevelType w:val="hybridMultilevel"/>
    <w:tmpl w:val="A426D482"/>
    <w:lvl w:ilvl="0" w:tplc="A8E87890">
      <w:start w:val="1"/>
      <w:numFmt w:val="bullet"/>
      <w:lvlText w:val=""/>
      <w:lvlJc w:val="left"/>
      <w:pPr>
        <w:tabs>
          <w:tab w:val="num" w:pos="648"/>
        </w:tabs>
        <w:ind w:left="648" w:hanging="360"/>
      </w:pPr>
      <w:rPr>
        <w:rFonts w:ascii="Symbol" w:hAnsi="Symbol" w:hint="default"/>
      </w:rPr>
    </w:lvl>
    <w:lvl w:ilvl="1" w:tplc="04090003" w:tentative="1">
      <w:start w:val="1"/>
      <w:numFmt w:val="bullet"/>
      <w:lvlText w:val="o"/>
      <w:lvlJc w:val="left"/>
      <w:pPr>
        <w:tabs>
          <w:tab w:val="num" w:pos="1368"/>
        </w:tabs>
        <w:ind w:left="1368" w:hanging="360"/>
      </w:pPr>
      <w:rPr>
        <w:rFonts w:ascii="Courier New" w:hAnsi="Courier New" w:cs="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cs="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cs="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15">
    <w:nsid w:val="4A183F26"/>
    <w:multiLevelType w:val="hybridMultilevel"/>
    <w:tmpl w:val="DC52B4E4"/>
    <w:lvl w:ilvl="0" w:tplc="0409001B">
      <w:start w:val="1"/>
      <w:numFmt w:val="lowerRoman"/>
      <w:lvlText w:val="%1."/>
      <w:lvlJc w:val="right"/>
      <w:pPr>
        <w:ind w:left="1800" w:hanging="360"/>
      </w:pPr>
      <w:rPr>
        <w:rFonts w:hint="default"/>
      </w:rPr>
    </w:lvl>
    <w:lvl w:ilvl="1" w:tplc="0409000F">
      <w:start w:val="1"/>
      <w:numFmt w:val="decimal"/>
      <w:lvlText w:val="%2."/>
      <w:lvlJc w:val="left"/>
      <w:pPr>
        <w:tabs>
          <w:tab w:val="num" w:pos="2880"/>
        </w:tabs>
        <w:ind w:left="2880" w:hanging="360"/>
      </w:pPr>
      <w:rPr>
        <w:rFonts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6">
    <w:nsid w:val="4FAE0EB9"/>
    <w:multiLevelType w:val="hybridMultilevel"/>
    <w:tmpl w:val="FBDE1A74"/>
    <w:lvl w:ilvl="0" w:tplc="D076C47E">
      <w:start w:val="1"/>
      <w:numFmt w:val="bullet"/>
      <w:lvlText w:val=""/>
      <w:lvlJc w:val="left"/>
      <w:pPr>
        <w:tabs>
          <w:tab w:val="num" w:pos="1800"/>
        </w:tabs>
        <w:ind w:left="1800" w:hanging="360"/>
      </w:pPr>
      <w:rPr>
        <w:rFonts w:ascii="Wingdings" w:hAnsi="Wingdings"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7">
    <w:nsid w:val="508C4AD4"/>
    <w:multiLevelType w:val="hybridMultilevel"/>
    <w:tmpl w:val="C03C5DB0"/>
    <w:lvl w:ilvl="0" w:tplc="04090001">
      <w:start w:val="1"/>
      <w:numFmt w:val="bulle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368"/>
        </w:tabs>
        <w:ind w:left="1368" w:hanging="360"/>
      </w:pPr>
      <w:rPr>
        <w:rFonts w:ascii="Courier New" w:hAnsi="Courier New" w:cs="Courier New" w:hint="default"/>
      </w:rPr>
    </w:lvl>
    <w:lvl w:ilvl="2" w:tplc="04090005">
      <w:start w:val="1"/>
      <w:numFmt w:val="bullet"/>
      <w:lvlText w:val=""/>
      <w:lvlJc w:val="left"/>
      <w:pPr>
        <w:tabs>
          <w:tab w:val="num" w:pos="2088"/>
        </w:tabs>
        <w:ind w:left="2088" w:hanging="360"/>
      </w:pPr>
      <w:rPr>
        <w:rFonts w:ascii="Wingdings" w:hAnsi="Wingdings" w:hint="default"/>
      </w:rPr>
    </w:lvl>
    <w:lvl w:ilvl="3" w:tplc="04090001">
      <w:start w:val="1"/>
      <w:numFmt w:val="bullet"/>
      <w:lvlText w:val=""/>
      <w:lvlJc w:val="left"/>
      <w:pPr>
        <w:tabs>
          <w:tab w:val="num" w:pos="2808"/>
        </w:tabs>
        <w:ind w:left="2808" w:hanging="360"/>
      </w:pPr>
      <w:rPr>
        <w:rFonts w:ascii="Symbol" w:hAnsi="Symbol" w:hint="default"/>
      </w:rPr>
    </w:lvl>
    <w:lvl w:ilvl="4" w:tplc="04090003">
      <w:start w:val="1"/>
      <w:numFmt w:val="bullet"/>
      <w:lvlText w:val="o"/>
      <w:lvlJc w:val="left"/>
      <w:pPr>
        <w:tabs>
          <w:tab w:val="num" w:pos="3528"/>
        </w:tabs>
        <w:ind w:left="3528" w:hanging="360"/>
      </w:pPr>
      <w:rPr>
        <w:rFonts w:ascii="Courier New" w:hAnsi="Courier New" w:cs="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cs="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18">
    <w:nsid w:val="56CC25AB"/>
    <w:multiLevelType w:val="hybridMultilevel"/>
    <w:tmpl w:val="2676D1C2"/>
    <w:lvl w:ilvl="0" w:tplc="6504AD5C">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58F16513"/>
    <w:multiLevelType w:val="hybridMultilevel"/>
    <w:tmpl w:val="FF82C8E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BFE6A44"/>
    <w:multiLevelType w:val="hybridMultilevel"/>
    <w:tmpl w:val="962479B2"/>
    <w:lvl w:ilvl="0" w:tplc="8B90824A">
      <w:start w:val="1"/>
      <w:numFmt w:val="bullet"/>
      <w:lvlText w:val=""/>
      <w:lvlJc w:val="left"/>
      <w:pPr>
        <w:tabs>
          <w:tab w:val="num" w:pos="1656"/>
        </w:tabs>
        <w:ind w:left="1656" w:hanging="360"/>
      </w:pPr>
      <w:rPr>
        <w:rFonts w:ascii="Symbol" w:hAnsi="Symbol" w:hint="default"/>
      </w:rPr>
    </w:lvl>
    <w:lvl w:ilvl="1" w:tplc="04090003" w:tentative="1">
      <w:start w:val="1"/>
      <w:numFmt w:val="bullet"/>
      <w:lvlText w:val="o"/>
      <w:lvlJc w:val="left"/>
      <w:pPr>
        <w:tabs>
          <w:tab w:val="num" w:pos="2016"/>
        </w:tabs>
        <w:ind w:left="2016" w:hanging="360"/>
      </w:pPr>
      <w:rPr>
        <w:rFonts w:ascii="Courier New" w:hAnsi="Courier New" w:cs="Courier New" w:hint="default"/>
      </w:rPr>
    </w:lvl>
    <w:lvl w:ilvl="2" w:tplc="04090005" w:tentative="1">
      <w:start w:val="1"/>
      <w:numFmt w:val="bullet"/>
      <w:lvlText w:val=""/>
      <w:lvlJc w:val="left"/>
      <w:pPr>
        <w:tabs>
          <w:tab w:val="num" w:pos="2736"/>
        </w:tabs>
        <w:ind w:left="2736" w:hanging="360"/>
      </w:pPr>
      <w:rPr>
        <w:rFonts w:ascii="Wingdings" w:hAnsi="Wingdings" w:hint="default"/>
      </w:rPr>
    </w:lvl>
    <w:lvl w:ilvl="3" w:tplc="04090001" w:tentative="1">
      <w:start w:val="1"/>
      <w:numFmt w:val="bullet"/>
      <w:lvlText w:val=""/>
      <w:lvlJc w:val="left"/>
      <w:pPr>
        <w:tabs>
          <w:tab w:val="num" w:pos="3456"/>
        </w:tabs>
        <w:ind w:left="3456" w:hanging="360"/>
      </w:pPr>
      <w:rPr>
        <w:rFonts w:ascii="Symbol" w:hAnsi="Symbol" w:hint="default"/>
      </w:rPr>
    </w:lvl>
    <w:lvl w:ilvl="4" w:tplc="04090003" w:tentative="1">
      <w:start w:val="1"/>
      <w:numFmt w:val="bullet"/>
      <w:lvlText w:val="o"/>
      <w:lvlJc w:val="left"/>
      <w:pPr>
        <w:tabs>
          <w:tab w:val="num" w:pos="4176"/>
        </w:tabs>
        <w:ind w:left="4176" w:hanging="360"/>
      </w:pPr>
      <w:rPr>
        <w:rFonts w:ascii="Courier New" w:hAnsi="Courier New" w:cs="Courier New" w:hint="default"/>
      </w:rPr>
    </w:lvl>
    <w:lvl w:ilvl="5" w:tplc="04090005" w:tentative="1">
      <w:start w:val="1"/>
      <w:numFmt w:val="bullet"/>
      <w:lvlText w:val=""/>
      <w:lvlJc w:val="left"/>
      <w:pPr>
        <w:tabs>
          <w:tab w:val="num" w:pos="4896"/>
        </w:tabs>
        <w:ind w:left="4896" w:hanging="360"/>
      </w:pPr>
      <w:rPr>
        <w:rFonts w:ascii="Wingdings" w:hAnsi="Wingdings" w:hint="default"/>
      </w:rPr>
    </w:lvl>
    <w:lvl w:ilvl="6" w:tplc="04090001" w:tentative="1">
      <w:start w:val="1"/>
      <w:numFmt w:val="bullet"/>
      <w:lvlText w:val=""/>
      <w:lvlJc w:val="left"/>
      <w:pPr>
        <w:tabs>
          <w:tab w:val="num" w:pos="5616"/>
        </w:tabs>
        <w:ind w:left="5616" w:hanging="360"/>
      </w:pPr>
      <w:rPr>
        <w:rFonts w:ascii="Symbol" w:hAnsi="Symbol" w:hint="default"/>
      </w:rPr>
    </w:lvl>
    <w:lvl w:ilvl="7" w:tplc="04090003" w:tentative="1">
      <w:start w:val="1"/>
      <w:numFmt w:val="bullet"/>
      <w:lvlText w:val="o"/>
      <w:lvlJc w:val="left"/>
      <w:pPr>
        <w:tabs>
          <w:tab w:val="num" w:pos="6336"/>
        </w:tabs>
        <w:ind w:left="6336" w:hanging="360"/>
      </w:pPr>
      <w:rPr>
        <w:rFonts w:ascii="Courier New" w:hAnsi="Courier New" w:cs="Courier New" w:hint="default"/>
      </w:rPr>
    </w:lvl>
    <w:lvl w:ilvl="8" w:tplc="04090005" w:tentative="1">
      <w:start w:val="1"/>
      <w:numFmt w:val="bullet"/>
      <w:lvlText w:val=""/>
      <w:lvlJc w:val="left"/>
      <w:pPr>
        <w:tabs>
          <w:tab w:val="num" w:pos="7056"/>
        </w:tabs>
        <w:ind w:left="7056" w:hanging="360"/>
      </w:pPr>
      <w:rPr>
        <w:rFonts w:ascii="Wingdings" w:hAnsi="Wingdings" w:hint="default"/>
      </w:rPr>
    </w:lvl>
  </w:abstractNum>
  <w:abstractNum w:abstractNumId="21">
    <w:nsid w:val="5C3C3D1D"/>
    <w:multiLevelType w:val="multilevel"/>
    <w:tmpl w:val="C4907ED8"/>
    <w:lvl w:ilvl="0">
      <w:start w:val="1"/>
      <w:numFmt w:val="decimal"/>
      <w:lvlText w:val="%1."/>
      <w:lvlJc w:val="left"/>
      <w:pPr>
        <w:ind w:left="1800" w:hanging="360"/>
      </w:pPr>
      <w:rPr>
        <w:rFonts w:hint="default"/>
      </w:rPr>
    </w:lvl>
    <w:lvl w:ilvl="1">
      <w:start w:val="1"/>
      <w:numFmt w:val="decimal"/>
      <w:lvlText w:val="%2."/>
      <w:lvlJc w:val="left"/>
      <w:pPr>
        <w:tabs>
          <w:tab w:val="num" w:pos="2880"/>
        </w:tabs>
        <w:ind w:left="2880" w:hanging="360"/>
      </w:pPr>
      <w:rPr>
        <w:rFonts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cs="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cs="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22">
    <w:nsid w:val="6F4C1374"/>
    <w:multiLevelType w:val="hybridMultilevel"/>
    <w:tmpl w:val="F94ED424"/>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72F62931"/>
    <w:multiLevelType w:val="hybridMultilevel"/>
    <w:tmpl w:val="FD50AEA4"/>
    <w:lvl w:ilvl="0" w:tplc="88DCF4C6">
      <w:start w:val="1"/>
      <w:numFmt w:val="decimal"/>
      <w:lvlText w:val="%1. "/>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7464763B"/>
    <w:multiLevelType w:val="hybridMultilevel"/>
    <w:tmpl w:val="2C88BA14"/>
    <w:lvl w:ilvl="0" w:tplc="0409001B">
      <w:start w:val="1"/>
      <w:numFmt w:val="lowerRoman"/>
      <w:lvlText w:val="%1."/>
      <w:lvlJc w:val="right"/>
      <w:pPr>
        <w:ind w:left="2160" w:hanging="360"/>
      </w:pPr>
      <w:rPr>
        <w:rFont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5">
    <w:nsid w:val="7D3E09D5"/>
    <w:multiLevelType w:val="multilevel"/>
    <w:tmpl w:val="C1F451C8"/>
    <w:lvl w:ilvl="0">
      <w:start w:val="1"/>
      <w:numFmt w:val="lowerRoman"/>
      <w:lvlText w:val="%1."/>
      <w:lvlJc w:val="right"/>
      <w:pPr>
        <w:ind w:left="1800" w:hanging="360"/>
      </w:pPr>
      <w:rPr>
        <w:rFonts w:hint="default"/>
      </w:rPr>
    </w:lvl>
    <w:lvl w:ilvl="1">
      <w:start w:val="1"/>
      <w:numFmt w:val="decimal"/>
      <w:lvlText w:val="%2."/>
      <w:lvlJc w:val="left"/>
      <w:pPr>
        <w:tabs>
          <w:tab w:val="num" w:pos="2880"/>
        </w:tabs>
        <w:ind w:left="2880" w:hanging="360"/>
      </w:pPr>
      <w:rPr>
        <w:rFonts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cs="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cs="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26">
    <w:nsid w:val="7E303965"/>
    <w:multiLevelType w:val="hybridMultilevel"/>
    <w:tmpl w:val="091A88BA"/>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14"/>
  </w:num>
  <w:num w:numId="2">
    <w:abstractNumId w:val="16"/>
  </w:num>
  <w:num w:numId="3">
    <w:abstractNumId w:val="10"/>
  </w:num>
  <w:num w:numId="4">
    <w:abstractNumId w:val="13"/>
  </w:num>
  <w:num w:numId="5">
    <w:abstractNumId w:val="3"/>
  </w:num>
  <w:num w:numId="6">
    <w:abstractNumId w:val="5"/>
  </w:num>
  <w:num w:numId="7">
    <w:abstractNumId w:val="8"/>
  </w:num>
  <w:num w:numId="8">
    <w:abstractNumId w:val="20"/>
  </w:num>
  <w:num w:numId="9">
    <w:abstractNumId w:val="11"/>
  </w:num>
  <w:num w:numId="10">
    <w:abstractNumId w:val="19"/>
  </w:num>
  <w:num w:numId="11">
    <w:abstractNumId w:val="23"/>
  </w:num>
  <w:num w:numId="12">
    <w:abstractNumId w:val="17"/>
  </w:num>
  <w:num w:numId="13">
    <w:abstractNumId w:val="0"/>
  </w:num>
  <w:num w:numId="14">
    <w:abstractNumId w:val="2"/>
  </w:num>
  <w:num w:numId="15">
    <w:abstractNumId w:val="18"/>
  </w:num>
  <w:num w:numId="16">
    <w:abstractNumId w:val="12"/>
  </w:num>
  <w:num w:numId="17">
    <w:abstractNumId w:val="1"/>
  </w:num>
  <w:num w:numId="18">
    <w:abstractNumId w:val="21"/>
  </w:num>
  <w:num w:numId="19">
    <w:abstractNumId w:val="15"/>
  </w:num>
  <w:num w:numId="20">
    <w:abstractNumId w:val="22"/>
  </w:num>
  <w:num w:numId="21">
    <w:abstractNumId w:val="26"/>
  </w:num>
  <w:num w:numId="22">
    <w:abstractNumId w:val="24"/>
  </w:num>
  <w:num w:numId="23">
    <w:abstractNumId w:val="25"/>
  </w:num>
  <w:num w:numId="24">
    <w:abstractNumId w:val="7"/>
  </w:num>
  <w:num w:numId="25">
    <w:abstractNumId w:val="9"/>
  </w:num>
  <w:num w:numId="26">
    <w:abstractNumId w:val="6"/>
  </w:num>
  <w:num w:numId="27">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activeWritingStyle w:appName="MSWord" w:lang="en-US" w:vendorID="64" w:dllVersion="131078" w:nlCheck="1" w:checkStyle="1"/>
  <w:attachedTemplate r:id="rId1"/>
  <w:linkStyles/>
  <w:defaultTabStop w:val="288"/>
  <w:evenAndOddHeaders/>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B2B"/>
    <w:rsid w:val="00020627"/>
    <w:rsid w:val="000266C6"/>
    <w:rsid w:val="00035FD6"/>
    <w:rsid w:val="00044975"/>
    <w:rsid w:val="000478D7"/>
    <w:rsid w:val="00051D40"/>
    <w:rsid w:val="00051DB9"/>
    <w:rsid w:val="00053381"/>
    <w:rsid w:val="0005490F"/>
    <w:rsid w:val="000566A8"/>
    <w:rsid w:val="000568A0"/>
    <w:rsid w:val="00056FD4"/>
    <w:rsid w:val="00057928"/>
    <w:rsid w:val="0006038F"/>
    <w:rsid w:val="00060810"/>
    <w:rsid w:val="00064AFB"/>
    <w:rsid w:val="00066542"/>
    <w:rsid w:val="00066DBD"/>
    <w:rsid w:val="000707F3"/>
    <w:rsid w:val="0007201C"/>
    <w:rsid w:val="0007436D"/>
    <w:rsid w:val="00076617"/>
    <w:rsid w:val="00082CE6"/>
    <w:rsid w:val="00086067"/>
    <w:rsid w:val="000868B6"/>
    <w:rsid w:val="00090F4B"/>
    <w:rsid w:val="000A0187"/>
    <w:rsid w:val="000A10CE"/>
    <w:rsid w:val="000A114E"/>
    <w:rsid w:val="000A3A85"/>
    <w:rsid w:val="000B573E"/>
    <w:rsid w:val="000C4AAD"/>
    <w:rsid w:val="000C62CD"/>
    <w:rsid w:val="000D10E7"/>
    <w:rsid w:val="000D1B86"/>
    <w:rsid w:val="000E1BA8"/>
    <w:rsid w:val="000E35C4"/>
    <w:rsid w:val="000E6194"/>
    <w:rsid w:val="000E79BA"/>
    <w:rsid w:val="000F46BA"/>
    <w:rsid w:val="00101CB5"/>
    <w:rsid w:val="001039A8"/>
    <w:rsid w:val="001103C4"/>
    <w:rsid w:val="00116354"/>
    <w:rsid w:val="001212FA"/>
    <w:rsid w:val="00122122"/>
    <w:rsid w:val="0012366D"/>
    <w:rsid w:val="00134744"/>
    <w:rsid w:val="0013655F"/>
    <w:rsid w:val="00144E6F"/>
    <w:rsid w:val="00150621"/>
    <w:rsid w:val="00150AB9"/>
    <w:rsid w:val="00162AE0"/>
    <w:rsid w:val="00173244"/>
    <w:rsid w:val="001822E4"/>
    <w:rsid w:val="001838A3"/>
    <w:rsid w:val="001A03D4"/>
    <w:rsid w:val="001B014A"/>
    <w:rsid w:val="001B36F5"/>
    <w:rsid w:val="001C1E64"/>
    <w:rsid w:val="001C2B41"/>
    <w:rsid w:val="001C2D55"/>
    <w:rsid w:val="001C5B0F"/>
    <w:rsid w:val="001C602C"/>
    <w:rsid w:val="001D2A98"/>
    <w:rsid w:val="001E6CEC"/>
    <w:rsid w:val="001E7984"/>
    <w:rsid w:val="00201BE7"/>
    <w:rsid w:val="00201EF0"/>
    <w:rsid w:val="002114D8"/>
    <w:rsid w:val="00212B7B"/>
    <w:rsid w:val="00220B82"/>
    <w:rsid w:val="0023446F"/>
    <w:rsid w:val="00241083"/>
    <w:rsid w:val="00243402"/>
    <w:rsid w:val="00246C6F"/>
    <w:rsid w:val="0025276C"/>
    <w:rsid w:val="00253458"/>
    <w:rsid w:val="002579F9"/>
    <w:rsid w:val="0026211F"/>
    <w:rsid w:val="00264619"/>
    <w:rsid w:val="002665EF"/>
    <w:rsid w:val="002741ED"/>
    <w:rsid w:val="00282678"/>
    <w:rsid w:val="00286FF9"/>
    <w:rsid w:val="0029661D"/>
    <w:rsid w:val="00296986"/>
    <w:rsid w:val="002B2CC3"/>
    <w:rsid w:val="002B6C50"/>
    <w:rsid w:val="002B6D54"/>
    <w:rsid w:val="002B6F4D"/>
    <w:rsid w:val="002C27FE"/>
    <w:rsid w:val="002C6F11"/>
    <w:rsid w:val="002D2059"/>
    <w:rsid w:val="002D2E8A"/>
    <w:rsid w:val="002D518A"/>
    <w:rsid w:val="002E392E"/>
    <w:rsid w:val="002F07A6"/>
    <w:rsid w:val="002F0F52"/>
    <w:rsid w:val="002F122C"/>
    <w:rsid w:val="00300374"/>
    <w:rsid w:val="00300851"/>
    <w:rsid w:val="00304D1D"/>
    <w:rsid w:val="00313B2D"/>
    <w:rsid w:val="003168B2"/>
    <w:rsid w:val="00316E29"/>
    <w:rsid w:val="003236E3"/>
    <w:rsid w:val="00323D60"/>
    <w:rsid w:val="00336712"/>
    <w:rsid w:val="00342106"/>
    <w:rsid w:val="00343DC5"/>
    <w:rsid w:val="003441E8"/>
    <w:rsid w:val="003636BA"/>
    <w:rsid w:val="0036578B"/>
    <w:rsid w:val="00374D17"/>
    <w:rsid w:val="003807E7"/>
    <w:rsid w:val="00384F21"/>
    <w:rsid w:val="00387F52"/>
    <w:rsid w:val="00396826"/>
    <w:rsid w:val="003A7B3D"/>
    <w:rsid w:val="003C0C5C"/>
    <w:rsid w:val="003C535B"/>
    <w:rsid w:val="003C5492"/>
    <w:rsid w:val="003D6861"/>
    <w:rsid w:val="003D7EAA"/>
    <w:rsid w:val="003F0535"/>
    <w:rsid w:val="003F4D27"/>
    <w:rsid w:val="00400842"/>
    <w:rsid w:val="0041057B"/>
    <w:rsid w:val="00415F28"/>
    <w:rsid w:val="0043101B"/>
    <w:rsid w:val="00441A1A"/>
    <w:rsid w:val="00443203"/>
    <w:rsid w:val="00443FC0"/>
    <w:rsid w:val="00450DBE"/>
    <w:rsid w:val="00456E30"/>
    <w:rsid w:val="0047381B"/>
    <w:rsid w:val="00476464"/>
    <w:rsid w:val="00482B11"/>
    <w:rsid w:val="00493A12"/>
    <w:rsid w:val="00497B89"/>
    <w:rsid w:val="004A79AB"/>
    <w:rsid w:val="004B02B1"/>
    <w:rsid w:val="004B05FA"/>
    <w:rsid w:val="004B380B"/>
    <w:rsid w:val="004B4FD1"/>
    <w:rsid w:val="004B5136"/>
    <w:rsid w:val="004B6037"/>
    <w:rsid w:val="004C3465"/>
    <w:rsid w:val="004D3C61"/>
    <w:rsid w:val="004D41CF"/>
    <w:rsid w:val="004D459F"/>
    <w:rsid w:val="004D4A47"/>
    <w:rsid w:val="004D5488"/>
    <w:rsid w:val="004E075F"/>
    <w:rsid w:val="004F1C38"/>
    <w:rsid w:val="0050083C"/>
    <w:rsid w:val="00504E9B"/>
    <w:rsid w:val="00506BDE"/>
    <w:rsid w:val="00507ED2"/>
    <w:rsid w:val="00513000"/>
    <w:rsid w:val="005139C0"/>
    <w:rsid w:val="00517EB7"/>
    <w:rsid w:val="00530CF7"/>
    <w:rsid w:val="005320A5"/>
    <w:rsid w:val="005330BC"/>
    <w:rsid w:val="00533480"/>
    <w:rsid w:val="00535794"/>
    <w:rsid w:val="0053653A"/>
    <w:rsid w:val="00536CDA"/>
    <w:rsid w:val="00552686"/>
    <w:rsid w:val="00563A51"/>
    <w:rsid w:val="005676B4"/>
    <w:rsid w:val="0057409B"/>
    <w:rsid w:val="005825F5"/>
    <w:rsid w:val="00592DB6"/>
    <w:rsid w:val="005A29AB"/>
    <w:rsid w:val="005B0976"/>
    <w:rsid w:val="005B7AFA"/>
    <w:rsid w:val="005C4337"/>
    <w:rsid w:val="005D314D"/>
    <w:rsid w:val="005E5552"/>
    <w:rsid w:val="005F3814"/>
    <w:rsid w:val="005F41C7"/>
    <w:rsid w:val="005F5217"/>
    <w:rsid w:val="00600597"/>
    <w:rsid w:val="00611414"/>
    <w:rsid w:val="00614CF8"/>
    <w:rsid w:val="00621B9A"/>
    <w:rsid w:val="006275E8"/>
    <w:rsid w:val="00627D8A"/>
    <w:rsid w:val="00630231"/>
    <w:rsid w:val="0063172D"/>
    <w:rsid w:val="00640C37"/>
    <w:rsid w:val="00662B55"/>
    <w:rsid w:val="00663285"/>
    <w:rsid w:val="00670E52"/>
    <w:rsid w:val="006C5A02"/>
    <w:rsid w:val="006D155E"/>
    <w:rsid w:val="006D5889"/>
    <w:rsid w:val="006D6A20"/>
    <w:rsid w:val="006F2407"/>
    <w:rsid w:val="007044AC"/>
    <w:rsid w:val="00705596"/>
    <w:rsid w:val="007133D7"/>
    <w:rsid w:val="00717E3A"/>
    <w:rsid w:val="00727D7B"/>
    <w:rsid w:val="00737E4B"/>
    <w:rsid w:val="0074672F"/>
    <w:rsid w:val="0076136E"/>
    <w:rsid w:val="00766794"/>
    <w:rsid w:val="00777249"/>
    <w:rsid w:val="00786427"/>
    <w:rsid w:val="0079387C"/>
    <w:rsid w:val="007938CF"/>
    <w:rsid w:val="00793D25"/>
    <w:rsid w:val="00795C67"/>
    <w:rsid w:val="007B0168"/>
    <w:rsid w:val="007B1877"/>
    <w:rsid w:val="007B528A"/>
    <w:rsid w:val="007B5A05"/>
    <w:rsid w:val="007B7F6F"/>
    <w:rsid w:val="007C6E6A"/>
    <w:rsid w:val="008064A7"/>
    <w:rsid w:val="00807295"/>
    <w:rsid w:val="008105BF"/>
    <w:rsid w:val="00811E4F"/>
    <w:rsid w:val="00813E2F"/>
    <w:rsid w:val="00822723"/>
    <w:rsid w:val="00844D11"/>
    <w:rsid w:val="00845EE5"/>
    <w:rsid w:val="00852C29"/>
    <w:rsid w:val="00874052"/>
    <w:rsid w:val="00880B25"/>
    <w:rsid w:val="00885744"/>
    <w:rsid w:val="00886535"/>
    <w:rsid w:val="00887C9D"/>
    <w:rsid w:val="00892343"/>
    <w:rsid w:val="00896D1A"/>
    <w:rsid w:val="00896D27"/>
    <w:rsid w:val="008974B1"/>
    <w:rsid w:val="008B3E32"/>
    <w:rsid w:val="008B7706"/>
    <w:rsid w:val="008C07B1"/>
    <w:rsid w:val="008C4D72"/>
    <w:rsid w:val="008C56BA"/>
    <w:rsid w:val="008E7556"/>
    <w:rsid w:val="008E7ABE"/>
    <w:rsid w:val="008F7F49"/>
    <w:rsid w:val="00900A05"/>
    <w:rsid w:val="00903E1D"/>
    <w:rsid w:val="00913FC1"/>
    <w:rsid w:val="00920A53"/>
    <w:rsid w:val="009238C8"/>
    <w:rsid w:val="00923EBF"/>
    <w:rsid w:val="00932DE3"/>
    <w:rsid w:val="00935C8F"/>
    <w:rsid w:val="009429EA"/>
    <w:rsid w:val="0094509B"/>
    <w:rsid w:val="00945938"/>
    <w:rsid w:val="00946E69"/>
    <w:rsid w:val="00955BFC"/>
    <w:rsid w:val="009630AB"/>
    <w:rsid w:val="00970351"/>
    <w:rsid w:val="0097500E"/>
    <w:rsid w:val="0098274B"/>
    <w:rsid w:val="00982827"/>
    <w:rsid w:val="009944A8"/>
    <w:rsid w:val="009A0727"/>
    <w:rsid w:val="009A16E4"/>
    <w:rsid w:val="009B1AD8"/>
    <w:rsid w:val="009B1BDD"/>
    <w:rsid w:val="009B3FF6"/>
    <w:rsid w:val="009D0D1A"/>
    <w:rsid w:val="009D3434"/>
    <w:rsid w:val="009E0CA3"/>
    <w:rsid w:val="009E520B"/>
    <w:rsid w:val="009E6A69"/>
    <w:rsid w:val="009F240B"/>
    <w:rsid w:val="00A01E24"/>
    <w:rsid w:val="00A0288D"/>
    <w:rsid w:val="00A131B6"/>
    <w:rsid w:val="00A17A93"/>
    <w:rsid w:val="00A25EC2"/>
    <w:rsid w:val="00A33E81"/>
    <w:rsid w:val="00A36D4F"/>
    <w:rsid w:val="00A44C8E"/>
    <w:rsid w:val="00A51F31"/>
    <w:rsid w:val="00A546B2"/>
    <w:rsid w:val="00A565B3"/>
    <w:rsid w:val="00A62223"/>
    <w:rsid w:val="00A70481"/>
    <w:rsid w:val="00A712A2"/>
    <w:rsid w:val="00A76C3C"/>
    <w:rsid w:val="00A823ED"/>
    <w:rsid w:val="00A82C85"/>
    <w:rsid w:val="00A844A6"/>
    <w:rsid w:val="00AA5048"/>
    <w:rsid w:val="00AB48ED"/>
    <w:rsid w:val="00AB67B7"/>
    <w:rsid w:val="00AC4B49"/>
    <w:rsid w:val="00AE06F1"/>
    <w:rsid w:val="00AE50D3"/>
    <w:rsid w:val="00AF75C6"/>
    <w:rsid w:val="00B11A10"/>
    <w:rsid w:val="00B1456C"/>
    <w:rsid w:val="00B16AE8"/>
    <w:rsid w:val="00B2557A"/>
    <w:rsid w:val="00B25D16"/>
    <w:rsid w:val="00B31160"/>
    <w:rsid w:val="00B35464"/>
    <w:rsid w:val="00B37ED4"/>
    <w:rsid w:val="00B41C31"/>
    <w:rsid w:val="00B43796"/>
    <w:rsid w:val="00B43DAE"/>
    <w:rsid w:val="00B52A70"/>
    <w:rsid w:val="00B62870"/>
    <w:rsid w:val="00B62ADA"/>
    <w:rsid w:val="00B6382A"/>
    <w:rsid w:val="00B77786"/>
    <w:rsid w:val="00B81153"/>
    <w:rsid w:val="00B81763"/>
    <w:rsid w:val="00B948D9"/>
    <w:rsid w:val="00B95C07"/>
    <w:rsid w:val="00BB0F57"/>
    <w:rsid w:val="00BC044B"/>
    <w:rsid w:val="00BC16A0"/>
    <w:rsid w:val="00BC1960"/>
    <w:rsid w:val="00BC2B2D"/>
    <w:rsid w:val="00BC6E7F"/>
    <w:rsid w:val="00BD4FAE"/>
    <w:rsid w:val="00BE3764"/>
    <w:rsid w:val="00BF4656"/>
    <w:rsid w:val="00C0498F"/>
    <w:rsid w:val="00C2186D"/>
    <w:rsid w:val="00C264B8"/>
    <w:rsid w:val="00C40DE0"/>
    <w:rsid w:val="00C45729"/>
    <w:rsid w:val="00C47851"/>
    <w:rsid w:val="00C5392C"/>
    <w:rsid w:val="00C55467"/>
    <w:rsid w:val="00C57DE3"/>
    <w:rsid w:val="00C60A4F"/>
    <w:rsid w:val="00C6331A"/>
    <w:rsid w:val="00C6499E"/>
    <w:rsid w:val="00C67789"/>
    <w:rsid w:val="00C70A1D"/>
    <w:rsid w:val="00C83903"/>
    <w:rsid w:val="00C91E7F"/>
    <w:rsid w:val="00C92585"/>
    <w:rsid w:val="00CB03E4"/>
    <w:rsid w:val="00CB2246"/>
    <w:rsid w:val="00CB2DB3"/>
    <w:rsid w:val="00CC5EC6"/>
    <w:rsid w:val="00CC6672"/>
    <w:rsid w:val="00CC7C1C"/>
    <w:rsid w:val="00CD2C4D"/>
    <w:rsid w:val="00CD30FF"/>
    <w:rsid w:val="00CD480D"/>
    <w:rsid w:val="00CF18FE"/>
    <w:rsid w:val="00CF5980"/>
    <w:rsid w:val="00CF7B4B"/>
    <w:rsid w:val="00D0460B"/>
    <w:rsid w:val="00D04B84"/>
    <w:rsid w:val="00D057E1"/>
    <w:rsid w:val="00D1756F"/>
    <w:rsid w:val="00D2435C"/>
    <w:rsid w:val="00D27742"/>
    <w:rsid w:val="00D35CA2"/>
    <w:rsid w:val="00D37559"/>
    <w:rsid w:val="00D64AB8"/>
    <w:rsid w:val="00D66B52"/>
    <w:rsid w:val="00D71FAC"/>
    <w:rsid w:val="00D77A32"/>
    <w:rsid w:val="00D82A7E"/>
    <w:rsid w:val="00D867A2"/>
    <w:rsid w:val="00D86ED9"/>
    <w:rsid w:val="00D8730F"/>
    <w:rsid w:val="00D91447"/>
    <w:rsid w:val="00D94747"/>
    <w:rsid w:val="00DA4C36"/>
    <w:rsid w:val="00DA6394"/>
    <w:rsid w:val="00DB1D8D"/>
    <w:rsid w:val="00DB3296"/>
    <w:rsid w:val="00DB6071"/>
    <w:rsid w:val="00DC593E"/>
    <w:rsid w:val="00DD4FA4"/>
    <w:rsid w:val="00DD77CB"/>
    <w:rsid w:val="00DF481D"/>
    <w:rsid w:val="00DF5CEC"/>
    <w:rsid w:val="00E02929"/>
    <w:rsid w:val="00E05725"/>
    <w:rsid w:val="00E07871"/>
    <w:rsid w:val="00E1016D"/>
    <w:rsid w:val="00E37C96"/>
    <w:rsid w:val="00E416B4"/>
    <w:rsid w:val="00E4171E"/>
    <w:rsid w:val="00E5196C"/>
    <w:rsid w:val="00E75B30"/>
    <w:rsid w:val="00E77F48"/>
    <w:rsid w:val="00E810D5"/>
    <w:rsid w:val="00E9106B"/>
    <w:rsid w:val="00E91B6A"/>
    <w:rsid w:val="00E91FE1"/>
    <w:rsid w:val="00EA524B"/>
    <w:rsid w:val="00EC0510"/>
    <w:rsid w:val="00EC1E5C"/>
    <w:rsid w:val="00EC2E37"/>
    <w:rsid w:val="00EE029E"/>
    <w:rsid w:val="00EE6F06"/>
    <w:rsid w:val="00EF6B2B"/>
    <w:rsid w:val="00F06094"/>
    <w:rsid w:val="00F137EF"/>
    <w:rsid w:val="00F20819"/>
    <w:rsid w:val="00F239C1"/>
    <w:rsid w:val="00F26D74"/>
    <w:rsid w:val="00F343B1"/>
    <w:rsid w:val="00F34C21"/>
    <w:rsid w:val="00F379CC"/>
    <w:rsid w:val="00F40A35"/>
    <w:rsid w:val="00F5265F"/>
    <w:rsid w:val="00F6094B"/>
    <w:rsid w:val="00F645CC"/>
    <w:rsid w:val="00F66336"/>
    <w:rsid w:val="00F733C0"/>
    <w:rsid w:val="00FA0EC3"/>
    <w:rsid w:val="00FC3AC8"/>
    <w:rsid w:val="00FD22BE"/>
    <w:rsid w:val="00FE2A3F"/>
    <w:rsid w:val="00FE3652"/>
    <w:rsid w:val="00FF0738"/>
    <w:rsid w:val="00FF58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09EA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aliases w:val="Heading 1A,Heading A1"/>
    <w:next w:val="BodyText"/>
    <w:link w:val="Heading1Char"/>
    <w:qFormat/>
    <w:pPr>
      <w:keepNext/>
      <w:spacing w:before="120" w:after="120"/>
      <w:outlineLvl w:val="0"/>
    </w:pPr>
    <w:rPr>
      <w:rFonts w:ascii="Arial" w:hAnsi="Arial"/>
      <w:b/>
      <w:kern w:val="28"/>
      <w:sz w:val="24"/>
      <w:u w:val="single"/>
    </w:rPr>
  </w:style>
  <w:style w:type="paragraph" w:styleId="Heading2">
    <w:name w:val="heading 2"/>
    <w:next w:val="BodyText"/>
    <w:qFormat/>
    <w:pPr>
      <w:keepNext/>
      <w:tabs>
        <w:tab w:val="left" w:pos="360"/>
      </w:tabs>
      <w:spacing w:before="60" w:after="120"/>
      <w:outlineLvl w:val="1"/>
    </w:pPr>
    <w:rPr>
      <w:b/>
      <w:sz w:val="22"/>
    </w:rPr>
  </w:style>
  <w:style w:type="paragraph" w:styleId="Heading3">
    <w:name w:val="heading 3"/>
    <w:basedOn w:val="Normal"/>
    <w:next w:val="Normal"/>
    <w:qFormat/>
    <w:pPr>
      <w:keepNext/>
      <w:spacing w:before="60" w:after="120"/>
      <w:outlineLvl w:val="2"/>
    </w:pPr>
    <w:rPr>
      <w:rFonts w:ascii="Arial" w:hAnsi="Arial"/>
    </w:rPr>
  </w:style>
  <w:style w:type="paragraph" w:styleId="Heading4">
    <w:name w:val="heading 4"/>
    <w:basedOn w:val="Normal"/>
    <w:next w:val="Normal"/>
    <w:qFormat/>
    <w:pPr>
      <w:keepNext/>
      <w:outlineLvl w:val="3"/>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pPr>
      <w:spacing w:after="240"/>
      <w:jc w:val="both"/>
    </w:pPr>
    <w:rPr>
      <w:sz w:val="22"/>
    </w:rPr>
  </w:style>
  <w:style w:type="paragraph" w:customStyle="1" w:styleId="chapternumber">
    <w:name w:val="chapter number"/>
    <w:basedOn w:val="Normal"/>
    <w:next w:val="Normal"/>
    <w:pPr>
      <w:pageBreakBefore/>
      <w:jc w:val="right"/>
    </w:pPr>
    <w:rPr>
      <w:rFonts w:ascii="Arial" w:hAnsi="Arial"/>
      <w:b/>
      <w:caps/>
      <w:sz w:val="32"/>
    </w:rPr>
  </w:style>
  <w:style w:type="paragraph" w:styleId="Header">
    <w:name w:val="header"/>
    <w:pPr>
      <w:tabs>
        <w:tab w:val="center" w:pos="4320"/>
        <w:tab w:val="right" w:pos="8640"/>
      </w:tabs>
    </w:pPr>
  </w:style>
  <w:style w:type="paragraph" w:customStyle="1" w:styleId="chaptertitle">
    <w:name w:val="chapter title"/>
    <w:next w:val="Heading1"/>
    <w:pPr>
      <w:spacing w:after="480"/>
      <w:jc w:val="right"/>
    </w:pPr>
    <w:rPr>
      <w:rFonts w:ascii="Arial" w:hAnsi="Arial"/>
      <w:b/>
      <w:caps/>
      <w:sz w:val="32"/>
    </w:rPr>
  </w:style>
  <w:style w:type="paragraph" w:styleId="ListNumber">
    <w:name w:val="List Number"/>
    <w:pPr>
      <w:spacing w:after="120"/>
      <w:ind w:left="576" w:hanging="576"/>
      <w:outlineLvl w:val="0"/>
    </w:pPr>
    <w:rPr>
      <w:sz w:val="22"/>
    </w:rPr>
  </w:style>
  <w:style w:type="paragraph" w:styleId="ListBullet2">
    <w:name w:val="List Bullet 2"/>
    <w:autoRedefine/>
    <w:pPr>
      <w:spacing w:before="60" w:after="120"/>
      <w:ind w:left="720" w:hanging="360"/>
    </w:pPr>
    <w:rPr>
      <w:sz w:val="22"/>
    </w:rPr>
  </w:style>
  <w:style w:type="paragraph" w:styleId="ListNumber2">
    <w:name w:val="List Number 2"/>
    <w:pPr>
      <w:spacing w:before="60" w:after="120"/>
      <w:ind w:left="936" w:hanging="360"/>
      <w:outlineLvl w:val="1"/>
    </w:pPr>
  </w:style>
  <w:style w:type="paragraph" w:styleId="ListContinue">
    <w:name w:val="List Continue"/>
    <w:pPr>
      <w:spacing w:before="60" w:after="120"/>
      <w:ind w:left="360"/>
    </w:pPr>
  </w:style>
  <w:style w:type="paragraph" w:styleId="Footer">
    <w:name w:val="footer"/>
    <w:pPr>
      <w:tabs>
        <w:tab w:val="center" w:pos="4320"/>
        <w:tab w:val="right" w:pos="8640"/>
      </w:tabs>
      <w:jc w:val="center"/>
    </w:pPr>
  </w:style>
  <w:style w:type="paragraph" w:customStyle="1" w:styleId="Equation2a">
    <w:name w:val="Equation2a"/>
    <w:basedOn w:val="Obj2"/>
    <w:pPr>
      <w:tabs>
        <w:tab w:val="left" w:pos="72"/>
      </w:tabs>
      <w:ind w:left="2880"/>
    </w:pPr>
  </w:style>
  <w:style w:type="paragraph" w:customStyle="1" w:styleId="Obj2">
    <w:name w:val="Obj2"/>
    <w:basedOn w:val="Normal"/>
    <w:pPr>
      <w:widowControl w:val="0"/>
      <w:spacing w:before="100" w:after="100"/>
      <w:ind w:left="864"/>
    </w:pPr>
  </w:style>
  <w:style w:type="paragraph" w:customStyle="1" w:styleId="Question">
    <w:name w:val="Question"/>
    <w:pPr>
      <w:tabs>
        <w:tab w:val="left" w:pos="360"/>
      </w:tabs>
      <w:spacing w:before="60" w:after="120"/>
      <w:ind w:left="360" w:hanging="360"/>
    </w:pPr>
  </w:style>
  <w:style w:type="paragraph" w:customStyle="1" w:styleId="Answer">
    <w:name w:val="Answer"/>
    <w:pPr>
      <w:spacing w:after="120"/>
      <w:ind w:left="360"/>
      <w:jc w:val="both"/>
    </w:pPr>
    <w:rPr>
      <w:kern w:val="18"/>
    </w:rPr>
  </w:style>
  <w:style w:type="paragraph" w:customStyle="1" w:styleId="BibliographyEntry">
    <w:name w:val="Bibliography Entry"/>
    <w:pPr>
      <w:keepLines/>
      <w:spacing w:after="120"/>
    </w:pPr>
  </w:style>
  <w:style w:type="paragraph" w:customStyle="1" w:styleId="Misc">
    <w:name w:val="Misc"/>
    <w:pPr>
      <w:keepLines/>
    </w:pPr>
  </w:style>
  <w:style w:type="paragraph" w:customStyle="1" w:styleId="Table">
    <w:name w:val="Table"/>
    <w:aliases w:val="Financial"/>
    <w:pPr>
      <w:keepLines/>
      <w:tabs>
        <w:tab w:val="left" w:pos="288"/>
        <w:tab w:val="left" w:pos="576"/>
        <w:tab w:val="left" w:pos="864"/>
        <w:tab w:val="left" w:pos="1152"/>
        <w:tab w:val="left" w:pos="1440"/>
      </w:tabs>
    </w:pPr>
  </w:style>
  <w:style w:type="paragraph" w:customStyle="1" w:styleId="TableBody">
    <w:name w:val="Table Body"/>
    <w:rPr>
      <w:sz w:val="22"/>
    </w:rPr>
  </w:style>
  <w:style w:type="paragraph" w:customStyle="1" w:styleId="Newspaperbody">
    <w:name w:val="Newspaper body"/>
    <w:pPr>
      <w:spacing w:after="120"/>
      <w:ind w:left="720" w:right="720"/>
      <w:jc w:val="both"/>
    </w:pPr>
    <w:rPr>
      <w:rFonts w:ascii="Arial" w:hAnsi="Arial"/>
      <w:sz w:val="18"/>
    </w:rPr>
  </w:style>
  <w:style w:type="paragraph" w:customStyle="1" w:styleId="Newspaperheader">
    <w:name w:val="Newspaper header"/>
    <w:pPr>
      <w:keepNext/>
      <w:tabs>
        <w:tab w:val="left" w:pos="720"/>
      </w:tabs>
      <w:ind w:left="1440" w:hanging="1440"/>
    </w:pPr>
    <w:rPr>
      <w:rFonts w:ascii="Arial" w:hAnsi="Arial"/>
      <w:sz w:val="18"/>
    </w:rPr>
  </w:style>
  <w:style w:type="paragraph" w:customStyle="1" w:styleId="Newspapercopyright">
    <w:name w:val="Newspaper copyright"/>
    <w:pPr>
      <w:keepNext/>
      <w:spacing w:before="120" w:after="120"/>
      <w:jc w:val="center"/>
    </w:pPr>
    <w:rPr>
      <w:rFonts w:ascii="Arial" w:hAnsi="Arial"/>
      <w:sz w:val="18"/>
    </w:rPr>
  </w:style>
  <w:style w:type="paragraph" w:customStyle="1" w:styleId="TableExhibitTitle">
    <w:name w:val="Table Exhibit Title"/>
    <w:next w:val="TableBody"/>
    <w:pPr>
      <w:keepNext/>
      <w:pBdr>
        <w:bottom w:val="single" w:sz="12" w:space="2" w:color="auto"/>
      </w:pBdr>
      <w:tabs>
        <w:tab w:val="left" w:pos="1440"/>
      </w:tabs>
      <w:spacing w:before="240" w:after="120"/>
      <w:ind w:left="360"/>
    </w:pPr>
    <w:rPr>
      <w:rFonts w:ascii="Arial" w:hAnsi="Arial"/>
      <w:b/>
      <w:sz w:val="18"/>
    </w:rPr>
  </w:style>
  <w:style w:type="paragraph" w:customStyle="1" w:styleId="GraphicExhibitTitleLine">
    <w:name w:val="Graphic Exhibit Title Line"/>
    <w:pPr>
      <w:keepNext/>
      <w:pBdr>
        <w:bottom w:val="single" w:sz="18" w:space="3" w:color="0000FF"/>
      </w:pBdr>
      <w:tabs>
        <w:tab w:val="left" w:pos="3600"/>
      </w:tabs>
      <w:spacing w:before="240" w:after="120"/>
    </w:pPr>
  </w:style>
  <w:style w:type="paragraph" w:customStyle="1" w:styleId="SuggestedReadings">
    <w:name w:val="Suggested Readings"/>
    <w:pPr>
      <w:keepLines/>
      <w:ind w:left="288" w:hanging="288"/>
    </w:pPr>
  </w:style>
  <w:style w:type="paragraph" w:customStyle="1" w:styleId="Newspaperbody2">
    <w:name w:val="Newspaper body 2"/>
    <w:basedOn w:val="BodyText"/>
    <w:pPr>
      <w:spacing w:after="0"/>
      <w:ind w:firstLine="360"/>
    </w:pPr>
    <w:rPr>
      <w:sz w:val="18"/>
    </w:rPr>
  </w:style>
  <w:style w:type="paragraph" w:customStyle="1" w:styleId="titlepagetitle">
    <w:name w:val="title page title"/>
    <w:basedOn w:val="Normal"/>
    <w:next w:val="titlepageta"/>
    <w:pPr>
      <w:spacing w:before="960" w:after="240"/>
      <w:jc w:val="center"/>
    </w:pPr>
    <w:rPr>
      <w:b/>
      <w:caps/>
      <w:sz w:val="40"/>
    </w:rPr>
  </w:style>
  <w:style w:type="paragraph" w:customStyle="1" w:styleId="titlepageta">
    <w:name w:val="title page t/a"/>
    <w:basedOn w:val="Normal"/>
    <w:next w:val="titlepagebooktitle"/>
    <w:pPr>
      <w:spacing w:after="600"/>
      <w:jc w:val="center"/>
    </w:pPr>
    <w:rPr>
      <w:i/>
      <w:sz w:val="24"/>
    </w:rPr>
  </w:style>
  <w:style w:type="paragraph" w:customStyle="1" w:styleId="titlepagebooktitle">
    <w:name w:val="title page book title"/>
    <w:basedOn w:val="Normal"/>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pPr>
      <w:spacing w:after="360"/>
      <w:jc w:val="center"/>
    </w:pPr>
    <w:rPr>
      <w:sz w:val="28"/>
    </w:rPr>
  </w:style>
  <w:style w:type="paragraph" w:customStyle="1" w:styleId="titlepageauthorname">
    <w:name w:val="title page author name"/>
    <w:basedOn w:val="Normal"/>
    <w:next w:val="titlepageschool"/>
    <w:pPr>
      <w:jc w:val="center"/>
    </w:pPr>
    <w:rPr>
      <w:b/>
      <w:sz w:val="36"/>
    </w:rPr>
  </w:style>
  <w:style w:type="paragraph" w:customStyle="1" w:styleId="titlepageschool">
    <w:name w:val="title page school"/>
    <w:basedOn w:val="Normal"/>
    <w:next w:val="BodyText"/>
    <w:pPr>
      <w:jc w:val="center"/>
    </w:pPr>
    <w:rPr>
      <w:i/>
      <w:sz w:val="24"/>
    </w:rPr>
  </w:style>
  <w:style w:type="paragraph" w:customStyle="1" w:styleId="cenarialcaps14">
    <w:name w:val="cen arial caps 14"/>
    <w:basedOn w:val="Normal"/>
    <w:next w:val="bodytextarial11"/>
    <w:pPr>
      <w:spacing w:after="240"/>
      <w:jc w:val="center"/>
    </w:pPr>
    <w:rPr>
      <w:rFonts w:ascii="Arial" w:hAnsi="Arial"/>
      <w:caps/>
      <w:sz w:val="28"/>
    </w:rPr>
  </w:style>
  <w:style w:type="paragraph" w:customStyle="1" w:styleId="bodytextarial11">
    <w:name w:val="body text arial 11"/>
    <w:basedOn w:val="Normal"/>
    <w:next w:val="Normal"/>
    <w:rPr>
      <w:rFonts w:ascii="Arial" w:hAnsi="Arial"/>
    </w:rPr>
  </w:style>
  <w:style w:type="paragraph" w:customStyle="1" w:styleId="Footerfirstpageonly">
    <w:name w:val="Footer (first page only)"/>
    <w:basedOn w:val="BodyText"/>
    <w:pPr>
      <w:spacing w:before="240" w:after="0"/>
      <w:jc w:val="center"/>
    </w:pPr>
    <w:rPr>
      <w:rFonts w:ascii="Arial" w:hAnsi="Arial"/>
      <w:sz w:val="18"/>
    </w:rPr>
  </w:style>
  <w:style w:type="paragraph" w:customStyle="1" w:styleId="T-acctsmentryline">
    <w:name w:val="T-acct sm entry line"/>
    <w:basedOn w:val="Normal"/>
    <w:pPr>
      <w:tabs>
        <w:tab w:val="right" w:pos="1620"/>
        <w:tab w:val="bar" w:pos="1800"/>
        <w:tab w:val="left" w:pos="1980"/>
        <w:tab w:val="right" w:pos="3690"/>
      </w:tabs>
    </w:pPr>
    <w:rPr>
      <w:rFonts w:ascii="Arial" w:hAnsi="Arial"/>
      <w:sz w:val="18"/>
    </w:rPr>
  </w:style>
  <w:style w:type="paragraph" w:customStyle="1" w:styleId="cenarialunderline">
    <w:name w:val="cen arial underline"/>
    <w:basedOn w:val="cenarialcaps14"/>
    <w:next w:val="BodyText"/>
    <w:pPr>
      <w:spacing w:before="240"/>
    </w:pPr>
    <w:rPr>
      <w:u w:val="single"/>
    </w:rPr>
  </w:style>
  <w:style w:type="paragraph" w:customStyle="1" w:styleId="Evenpageheader">
    <w:name w:val="Even page header"/>
    <w:pPr>
      <w:tabs>
        <w:tab w:val="right" w:pos="7099"/>
        <w:tab w:val="right" w:pos="9259"/>
      </w:tabs>
      <w:ind w:left="-2160"/>
    </w:pPr>
    <w:rPr>
      <w:rFonts w:ascii="Arial" w:hAnsi="Arial"/>
      <w:b/>
      <w:caps/>
    </w:rPr>
  </w:style>
  <w:style w:type="paragraph" w:customStyle="1" w:styleId="Oddpageheader">
    <w:name w:val="Odd page header"/>
    <w:basedOn w:val="Evenpageheader"/>
    <w:pPr>
      <w:tabs>
        <w:tab w:val="clear" w:pos="7099"/>
      </w:tabs>
      <w:ind w:left="0"/>
    </w:pPr>
  </w:style>
  <w:style w:type="paragraph" w:styleId="FootnoteText">
    <w:name w:val="footnote text"/>
    <w:basedOn w:val="Normal"/>
    <w:semiHidden/>
    <w:rPr>
      <w:rFonts w:ascii="Arial" w:hAnsi="Arial"/>
      <w:sz w:val="18"/>
    </w:rPr>
  </w:style>
  <w:style w:type="character" w:styleId="FootnoteReference">
    <w:name w:val="footnote reference"/>
    <w:semiHidden/>
    <w:rPr>
      <w:vertAlign w:val="superscript"/>
    </w:rPr>
  </w:style>
  <w:style w:type="paragraph" w:customStyle="1" w:styleId="Quoterightleftindent">
    <w:name w:val="Quote (right/left indent)"/>
    <w:next w:val="Normal"/>
    <w:pPr>
      <w:spacing w:after="120"/>
      <w:ind w:left="720" w:right="720"/>
      <w:jc w:val="both"/>
    </w:pPr>
    <w:rPr>
      <w:i/>
    </w:rPr>
  </w:style>
  <w:style w:type="paragraph" w:customStyle="1" w:styleId="Capsboldhead">
    <w:name w:val="Caps bold head"/>
    <w:basedOn w:val="Normal"/>
    <w:next w:val="BodyText"/>
    <w:pPr>
      <w:spacing w:before="240" w:after="120"/>
      <w:ind w:firstLine="720"/>
    </w:pPr>
    <w:rPr>
      <w:b/>
      <w:smallCaps/>
    </w:rPr>
  </w:style>
  <w:style w:type="paragraph" w:customStyle="1" w:styleId="Listbullet1">
    <w:name w:val="List bullet 1"/>
    <w:basedOn w:val="ListBullet2"/>
    <w:pPr>
      <w:spacing w:after="0"/>
    </w:pPr>
  </w:style>
  <w:style w:type="paragraph" w:customStyle="1" w:styleId="tableheads">
    <w:name w:val="table heads"/>
    <w:basedOn w:val="TableBody"/>
    <w:next w:val="TableBody"/>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pPr>
      <w:pBdr>
        <w:top w:val="double" w:sz="6" w:space="3" w:color="auto"/>
        <w:left w:val="double" w:sz="6" w:space="3" w:color="auto"/>
        <w:bottom w:val="double" w:sz="6" w:space="3" w:color="auto"/>
        <w:right w:val="double" w:sz="6" w:space="3" w:color="auto"/>
      </w:pBdr>
      <w:spacing w:before="120" w:after="120"/>
      <w:ind w:left="202"/>
      <w:jc w:val="both"/>
    </w:pPr>
  </w:style>
  <w:style w:type="paragraph" w:customStyle="1" w:styleId="boxhead">
    <w:name w:val="box head"/>
    <w:basedOn w:val="Normal"/>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pPr>
      <w:spacing w:before="60"/>
      <w:jc w:val="right"/>
    </w:pPr>
    <w:rPr>
      <w:rFonts w:ascii="Arial" w:hAnsi="Arial"/>
      <w:sz w:val="16"/>
    </w:rPr>
  </w:style>
  <w:style w:type="paragraph" w:customStyle="1" w:styleId="tablebodyfinal">
    <w:name w:val="table body final"/>
    <w:basedOn w:val="TableBody"/>
    <w:next w:val="BodyText"/>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pPr>
      <w:spacing w:after="60"/>
      <w:jc w:val="center"/>
    </w:pPr>
    <w:rPr>
      <w:rFonts w:ascii="Arial" w:hAnsi="Arial"/>
      <w:b/>
    </w:rPr>
  </w:style>
  <w:style w:type="paragraph" w:customStyle="1" w:styleId="tablespanhead">
    <w:name w:val="table span head"/>
    <w:basedOn w:val="Table"/>
    <w:next w:val="tableheads"/>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pPr>
      <w:tabs>
        <w:tab w:val="center" w:pos="1800"/>
        <w:tab w:val="right" w:pos="3870"/>
      </w:tabs>
    </w:pPr>
    <w:rPr>
      <w:rFonts w:ascii="Arial" w:hAnsi="Arial"/>
      <w:sz w:val="18"/>
      <w:u w:val="single"/>
    </w:rPr>
  </w:style>
  <w:style w:type="paragraph" w:customStyle="1" w:styleId="T-acctsmnoteline">
    <w:name w:val="T-acct sm note line"/>
    <w:basedOn w:val="Normal"/>
    <w:pPr>
      <w:tabs>
        <w:tab w:val="center" w:pos="810"/>
        <w:tab w:val="bar" w:pos="1800"/>
        <w:tab w:val="center" w:pos="2880"/>
      </w:tabs>
    </w:pPr>
    <w:rPr>
      <w:rFonts w:ascii="Arial" w:hAnsi="Arial"/>
      <w:b/>
      <w:sz w:val="18"/>
    </w:rPr>
  </w:style>
  <w:style w:type="paragraph" w:customStyle="1" w:styleId="T-acctsmtotalline">
    <w:name w:val="T-acct sm total line"/>
    <w:basedOn w:val="Normal"/>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pPr>
      <w:tabs>
        <w:tab w:val="right" w:pos="4500"/>
      </w:tabs>
      <w:ind w:left="810" w:right="-22" w:hanging="90"/>
    </w:pPr>
    <w:rPr>
      <w:rFonts w:ascii="Arial" w:hAnsi="Arial"/>
      <w:sz w:val="18"/>
    </w:rPr>
  </w:style>
  <w:style w:type="paragraph" w:customStyle="1" w:styleId="t-acctlgcreditside">
    <w:name w:val="t-acct lg credit side"/>
    <w:basedOn w:val="Normal"/>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pPr>
      <w:pBdr>
        <w:bottom w:val="single" w:sz="6" w:space="1" w:color="auto"/>
      </w:pBdr>
      <w:ind w:left="720" w:right="893"/>
      <w:jc w:val="center"/>
    </w:pPr>
    <w:rPr>
      <w:rFonts w:ascii="Arial" w:hAnsi="Arial"/>
      <w:sz w:val="18"/>
    </w:rPr>
  </w:style>
  <w:style w:type="paragraph" w:customStyle="1" w:styleId="tablefootnote">
    <w:name w:val="table footnote"/>
    <w:basedOn w:val="tablebodyfinal"/>
    <w:pPr>
      <w:keepLines/>
      <w:tabs>
        <w:tab w:val="right" w:pos="7200"/>
      </w:tabs>
      <w:spacing w:after="240"/>
    </w:pPr>
    <w:rPr>
      <w:sz w:val="16"/>
    </w:rPr>
  </w:style>
  <w:style w:type="paragraph" w:customStyle="1" w:styleId="tablesourceline">
    <w:name w:val="table source line"/>
    <w:basedOn w:val="Normal"/>
    <w:next w:val="Normal"/>
    <w:pPr>
      <w:spacing w:after="240"/>
      <w:ind w:firstLine="720"/>
    </w:pPr>
    <w:rPr>
      <w:rFonts w:ascii="Arial" w:hAnsi="Arial"/>
      <w:sz w:val="16"/>
    </w:rPr>
  </w:style>
  <w:style w:type="paragraph" w:customStyle="1" w:styleId="Italicsheading">
    <w:name w:val="Italics heading"/>
    <w:basedOn w:val="Normal"/>
    <w:next w:val="BodyText"/>
    <w:pPr>
      <w:spacing w:after="120"/>
    </w:pPr>
    <w:rPr>
      <w:i/>
    </w:rPr>
  </w:style>
  <w:style w:type="paragraph" w:customStyle="1" w:styleId="listquestion">
    <w:name w:val="list question"/>
    <w:basedOn w:val="BodyText"/>
    <w:pPr>
      <w:spacing w:after="0"/>
      <w:ind w:left="1080" w:hanging="360"/>
    </w:pPr>
  </w:style>
  <w:style w:type="paragraph" w:customStyle="1" w:styleId="listquesfinal">
    <w:name w:val="list ques final"/>
    <w:basedOn w:val="BodyText"/>
    <w:next w:val="BodyText"/>
    <w:pPr>
      <w:ind w:left="1080" w:hanging="360"/>
    </w:pPr>
  </w:style>
  <w:style w:type="paragraph" w:customStyle="1" w:styleId="quotesourceline">
    <w:name w:val="quote source line"/>
    <w:basedOn w:val="Normal"/>
    <w:pPr>
      <w:tabs>
        <w:tab w:val="right" w:pos="4320"/>
        <w:tab w:val="right" w:pos="5490"/>
      </w:tabs>
      <w:ind w:left="810" w:hanging="90"/>
      <w:jc w:val="right"/>
    </w:pPr>
    <w:rPr>
      <w:sz w:val="18"/>
    </w:rPr>
  </w:style>
  <w:style w:type="paragraph" w:customStyle="1" w:styleId="GJNameLine">
    <w:name w:val="GJ Name Line"/>
    <w:basedOn w:val="Normal"/>
    <w:next w:val="GJHeadLine1"/>
    <w:pPr>
      <w:pBdr>
        <w:bottom w:val="single" w:sz="6" w:space="1" w:color="auto"/>
      </w:pBdr>
      <w:spacing w:after="60"/>
      <w:ind w:right="2059"/>
      <w:jc w:val="center"/>
    </w:pPr>
    <w:rPr>
      <w:sz w:val="18"/>
    </w:rPr>
  </w:style>
  <w:style w:type="paragraph" w:customStyle="1" w:styleId="GJHeadLine1">
    <w:name w:val="GJ Head Line1"/>
    <w:basedOn w:val="Normal"/>
    <w:next w:val="GJHeadLine2"/>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pPr>
      <w:pBdr>
        <w:top w:val="single" w:sz="6" w:space="1" w:color="auto"/>
      </w:pBdr>
    </w:pPr>
  </w:style>
  <w:style w:type="paragraph" w:customStyle="1" w:styleId="ListNumberfinal">
    <w:name w:val="List Number final"/>
    <w:basedOn w:val="ListNumber"/>
    <w:pPr>
      <w:spacing w:after="240"/>
    </w:pPr>
  </w:style>
  <w:style w:type="paragraph" w:customStyle="1" w:styleId="ListNumber2final">
    <w:name w:val="List Number 2final"/>
    <w:basedOn w:val="ListNumber2"/>
    <w:pPr>
      <w:spacing w:after="240"/>
      <w:ind w:hanging="576"/>
    </w:pPr>
  </w:style>
  <w:style w:type="paragraph" w:customStyle="1" w:styleId="L3">
    <w:name w:val="L#3"/>
    <w:basedOn w:val="ListNumber"/>
    <w:pPr>
      <w:keepLines/>
      <w:spacing w:before="60" w:after="60"/>
      <w:ind w:left="1152"/>
    </w:pPr>
    <w:rPr>
      <w:sz w:val="20"/>
    </w:rPr>
  </w:style>
  <w:style w:type="paragraph" w:customStyle="1" w:styleId="MarginBox">
    <w:name w:val="Margin Box"/>
    <w:basedOn w:val="BodyText"/>
    <w:pPr>
      <w:framePr w:w="1310" w:h="3125" w:hRule="exact" w:hSpace="360" w:vSpace="360" w:wrap="around" w:vAnchor="text" w:hAnchor="page" w:xAlign="outside" w:y="1"/>
      <w:jc w:val="left"/>
    </w:pPr>
    <w:rPr>
      <w:b/>
      <w:sz w:val="18"/>
    </w:rPr>
  </w:style>
  <w:style w:type="paragraph" w:customStyle="1" w:styleId="TableBody9">
    <w:name w:val="Table Body 9"/>
    <w:basedOn w:val="TableBody"/>
    <w:rPr>
      <w:sz w:val="18"/>
    </w:rPr>
  </w:style>
  <w:style w:type="paragraph" w:customStyle="1" w:styleId="Obj1">
    <w:name w:val="Obj1"/>
    <w:basedOn w:val="Obj2"/>
    <w:pPr>
      <w:tabs>
        <w:tab w:val="left" w:pos="-720"/>
      </w:tabs>
      <w:suppressAutoHyphens/>
      <w:ind w:left="0"/>
      <w:jc w:val="center"/>
    </w:pPr>
    <w:rPr>
      <w:spacing w:val="-2"/>
      <w:kern w:val="22"/>
    </w:rPr>
  </w:style>
  <w:style w:type="paragraph" w:customStyle="1" w:styleId="L4">
    <w:name w:val="L#4"/>
    <w:basedOn w:val="L3"/>
    <w:pPr>
      <w:ind w:left="1512" w:hanging="360"/>
    </w:pPr>
  </w:style>
  <w:style w:type="paragraph" w:customStyle="1" w:styleId="BodyTextOutline">
    <w:name w:val="Body Text Outline"/>
    <w:basedOn w:val="Normal"/>
    <w:pPr>
      <w:ind w:left="720"/>
    </w:pPr>
  </w:style>
  <w:style w:type="paragraph" w:customStyle="1" w:styleId="MarginText">
    <w:name w:val="Margin Text"/>
    <w:basedOn w:val="BodyText"/>
    <w:pPr>
      <w:framePr w:w="1310" w:h="3125" w:hRule="exact" w:hSpace="360" w:vSpace="360" w:wrap="around" w:vAnchor="text" w:hAnchor="page" w:xAlign="outside" w:y="1"/>
      <w:jc w:val="left"/>
    </w:pPr>
    <w:rPr>
      <w:b/>
      <w:sz w:val="18"/>
    </w:rPr>
  </w:style>
  <w:style w:type="paragraph" w:customStyle="1" w:styleId="Outline1">
    <w:name w:val="Outline 1"/>
    <w:pPr>
      <w:tabs>
        <w:tab w:val="left" w:pos="720"/>
        <w:tab w:val="left" w:pos="1080"/>
        <w:tab w:val="left" w:pos="1440"/>
        <w:tab w:val="left" w:pos="1800"/>
        <w:tab w:val="left" w:pos="2160"/>
        <w:tab w:val="left" w:pos="2520"/>
        <w:tab w:val="left" w:pos="2880"/>
        <w:tab w:val="left" w:pos="3240"/>
      </w:tabs>
      <w:spacing w:before="60"/>
      <w:ind w:left="720" w:hanging="720"/>
      <w:outlineLvl w:val="0"/>
    </w:pPr>
    <w:rPr>
      <w:sz w:val="22"/>
    </w:rPr>
  </w:style>
  <w:style w:type="paragraph" w:customStyle="1" w:styleId="Outline2">
    <w:name w:val="Outline 2"/>
    <w:basedOn w:val="Outline1"/>
    <w:pPr>
      <w:ind w:left="1080" w:hanging="360"/>
      <w:outlineLvl w:val="1"/>
    </w:pPr>
  </w:style>
  <w:style w:type="paragraph" w:customStyle="1" w:styleId="Outline3">
    <w:name w:val="Outline 3"/>
    <w:basedOn w:val="Outline1"/>
    <w:pPr>
      <w:ind w:left="1440" w:hanging="360"/>
      <w:outlineLvl w:val="2"/>
    </w:pPr>
    <w:rPr>
      <w:iCs/>
    </w:rPr>
  </w:style>
  <w:style w:type="paragraph" w:customStyle="1" w:styleId="Outline4">
    <w:name w:val="Outline 4"/>
    <w:basedOn w:val="Outline1"/>
    <w:pPr>
      <w:tabs>
        <w:tab w:val="left" w:pos="3600"/>
      </w:tabs>
      <w:ind w:left="1800" w:hanging="360"/>
      <w:outlineLvl w:val="3"/>
    </w:pPr>
  </w:style>
  <w:style w:type="paragraph" w:customStyle="1" w:styleId="Outline5">
    <w:name w:val="Outline 5"/>
    <w:basedOn w:val="Outline1"/>
    <w:pPr>
      <w:tabs>
        <w:tab w:val="left" w:pos="0"/>
        <w:tab w:val="left" w:pos="600"/>
        <w:tab w:val="left" w:pos="1560"/>
        <w:tab w:val="left" w:pos="2040"/>
      </w:tabs>
      <w:suppressAutoHyphens/>
      <w:ind w:left="2160" w:hanging="360"/>
      <w:outlineLvl w:val="4"/>
    </w:pPr>
  </w:style>
  <w:style w:type="paragraph" w:customStyle="1" w:styleId="Outline6">
    <w:name w:val="Outline 6"/>
    <w:basedOn w:val="Outline1"/>
    <w:pPr>
      <w:ind w:left="2520" w:hanging="360"/>
      <w:outlineLvl w:val="5"/>
    </w:pPr>
  </w:style>
  <w:style w:type="paragraph" w:customStyle="1" w:styleId="OutlineIndent">
    <w:name w:val="Outline Indent"/>
    <w:basedOn w:val="BodyTextIndent"/>
    <w:pPr>
      <w:spacing w:before="60"/>
      <w:ind w:left="720"/>
    </w:pPr>
  </w:style>
  <w:style w:type="paragraph" w:styleId="BodyTextIndent">
    <w:name w:val="Body Text Indent"/>
    <w:basedOn w:val="Normal"/>
    <w:pPr>
      <w:spacing w:after="120"/>
      <w:ind w:left="360"/>
      <w:jc w:val="both"/>
    </w:pPr>
  </w:style>
  <w:style w:type="paragraph" w:customStyle="1" w:styleId="titlepagepreparedby">
    <w:name w:val="title page prepared by"/>
    <w:basedOn w:val="titlepageedition"/>
    <w:pPr>
      <w:spacing w:before="720" w:after="0"/>
    </w:pPr>
  </w:style>
  <w:style w:type="paragraph" w:styleId="ListNumber3">
    <w:name w:val="List Number 3"/>
    <w:basedOn w:val="Normal"/>
    <w:pPr>
      <w:spacing w:after="60"/>
      <w:ind w:left="1080" w:hanging="360"/>
      <w:outlineLvl w:val="2"/>
    </w:pPr>
  </w:style>
  <w:style w:type="paragraph" w:customStyle="1" w:styleId="AnswerSpace">
    <w:name w:val="AnswerSpace"/>
    <w:basedOn w:val="Normal"/>
    <w:pPr>
      <w:spacing w:after="1800"/>
    </w:pPr>
  </w:style>
  <w:style w:type="paragraph" w:customStyle="1" w:styleId="Equation2">
    <w:name w:val="Equation2"/>
    <w:basedOn w:val="Normal"/>
    <w:pPr>
      <w:widowControl w:val="0"/>
      <w:spacing w:before="100" w:after="100"/>
      <w:ind w:left="864"/>
    </w:pPr>
  </w:style>
  <w:style w:type="paragraph" w:customStyle="1" w:styleId="Equation1">
    <w:name w:val="Equation 1"/>
    <w:basedOn w:val="Equation2"/>
    <w:pPr>
      <w:tabs>
        <w:tab w:val="left" w:pos="-720"/>
      </w:tabs>
      <w:suppressAutoHyphens/>
      <w:ind w:left="0"/>
      <w:jc w:val="center"/>
    </w:pPr>
    <w:rPr>
      <w:rFonts w:ascii="CG Times" w:hAnsi="CG Times"/>
      <w:spacing w:val="-2"/>
      <w:kern w:val="1"/>
    </w:rPr>
  </w:style>
  <w:style w:type="character" w:styleId="PageNumber">
    <w:name w:val="page number"/>
    <w:basedOn w:val="DefaultParagraphFont"/>
  </w:style>
  <w:style w:type="paragraph" w:customStyle="1" w:styleId="BodyTextArial13">
    <w:name w:val="Body Text Arial 13"/>
    <w:basedOn w:val="bodytextarial11"/>
    <w:autoRedefine/>
    <w:rPr>
      <w:b/>
      <w:sz w:val="26"/>
    </w:rPr>
  </w:style>
  <w:style w:type="paragraph" w:customStyle="1" w:styleId="TableBodyArial13">
    <w:name w:val="Table Body Arial 13"/>
    <w:basedOn w:val="TableBody9"/>
    <w:autoRedefine/>
    <w:rPr>
      <w:rFonts w:ascii="Arial" w:hAnsi="Arial"/>
      <w:b/>
      <w:sz w:val="26"/>
    </w:rPr>
  </w:style>
  <w:style w:type="paragraph" w:customStyle="1" w:styleId="TableBodyArial11">
    <w:name w:val="Table Body Arial 11"/>
    <w:basedOn w:val="BodyTextArial13"/>
    <w:autoRedefine/>
    <w:rPr>
      <w:sz w:val="22"/>
    </w:rPr>
  </w:style>
  <w:style w:type="paragraph" w:styleId="BalloonText">
    <w:name w:val="Balloon Text"/>
    <w:basedOn w:val="Normal"/>
    <w:semiHidden/>
    <w:rsid w:val="00970351"/>
    <w:rPr>
      <w:rFonts w:ascii="Tahoma" w:hAnsi="Tahoma" w:cs="Tahoma"/>
      <w:sz w:val="16"/>
      <w:szCs w:val="16"/>
    </w:rPr>
  </w:style>
  <w:style w:type="table" w:styleId="TableGrid">
    <w:name w:val="Table Grid"/>
    <w:basedOn w:val="TableNormal"/>
    <w:rsid w:val="00507E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semiHidden/>
    <w:rsid w:val="005320A5"/>
    <w:pPr>
      <w:shd w:val="clear" w:color="auto" w:fill="000080"/>
    </w:pPr>
    <w:rPr>
      <w:rFonts w:ascii="Tahoma" w:hAnsi="Tahoma" w:cs="Tahoma"/>
    </w:rPr>
  </w:style>
  <w:style w:type="character" w:customStyle="1" w:styleId="Heading1Char">
    <w:name w:val="Heading 1 Char"/>
    <w:aliases w:val="Heading 1A Char,Heading A1 Char"/>
    <w:link w:val="Heading1"/>
    <w:rsid w:val="006C5A02"/>
    <w:rPr>
      <w:rFonts w:ascii="Arial" w:hAnsi="Arial"/>
      <w:b/>
      <w:kern w:val="28"/>
      <w:sz w:val="24"/>
      <w:u w:val="single"/>
      <w:lang w:val="en-US" w:eastAsia="en-US" w:bidi="ar-SA"/>
    </w:rPr>
  </w:style>
  <w:style w:type="character" w:customStyle="1" w:styleId="BodyTextChar">
    <w:name w:val="Body Text Char"/>
    <w:link w:val="BodyText"/>
    <w:rsid w:val="00246C6F"/>
    <w:rPr>
      <w:sz w:val="22"/>
      <w:lang w:val="en-US" w:eastAsia="en-US" w:bidi="ar-SA"/>
    </w:rPr>
  </w:style>
  <w:style w:type="paragraph" w:styleId="ListParagraph">
    <w:name w:val="List Paragraph"/>
    <w:basedOn w:val="Normal"/>
    <w:uiPriority w:val="34"/>
    <w:qFormat/>
    <w:rsid w:val="00CB2DB3"/>
    <w:pPr>
      <w:ind w:left="720" w:hanging="576"/>
      <w:contextualSpacing/>
      <w:jc w:val="both"/>
    </w:pPr>
    <w:rPr>
      <w:rFonts w:eastAsia="Calibri"/>
      <w:bCs/>
      <w:sz w:val="24"/>
      <w:szCs w:val="24"/>
    </w:rPr>
  </w:style>
  <w:style w:type="character" w:styleId="CommentReference">
    <w:name w:val="annotation reference"/>
    <w:basedOn w:val="DefaultParagraphFont"/>
    <w:uiPriority w:val="99"/>
    <w:semiHidden/>
    <w:unhideWhenUsed/>
    <w:rsid w:val="00AF75C6"/>
    <w:rPr>
      <w:sz w:val="18"/>
      <w:szCs w:val="18"/>
    </w:rPr>
  </w:style>
  <w:style w:type="paragraph" w:styleId="CommentText">
    <w:name w:val="annotation text"/>
    <w:basedOn w:val="Normal"/>
    <w:link w:val="CommentTextChar"/>
    <w:uiPriority w:val="99"/>
    <w:semiHidden/>
    <w:unhideWhenUsed/>
    <w:rsid w:val="00AF75C6"/>
    <w:rPr>
      <w:sz w:val="24"/>
      <w:szCs w:val="24"/>
    </w:rPr>
  </w:style>
  <w:style w:type="character" w:customStyle="1" w:styleId="CommentTextChar">
    <w:name w:val="Comment Text Char"/>
    <w:basedOn w:val="DefaultParagraphFont"/>
    <w:link w:val="CommentText"/>
    <w:uiPriority w:val="99"/>
    <w:semiHidden/>
    <w:rsid w:val="00AF75C6"/>
    <w:rPr>
      <w:sz w:val="24"/>
      <w:szCs w:val="24"/>
    </w:rPr>
  </w:style>
  <w:style w:type="paragraph" w:styleId="CommentSubject">
    <w:name w:val="annotation subject"/>
    <w:basedOn w:val="CommentText"/>
    <w:next w:val="CommentText"/>
    <w:link w:val="CommentSubjectChar"/>
    <w:uiPriority w:val="99"/>
    <w:semiHidden/>
    <w:unhideWhenUsed/>
    <w:rsid w:val="00AF75C6"/>
    <w:rPr>
      <w:b/>
      <w:bCs/>
      <w:sz w:val="20"/>
      <w:szCs w:val="20"/>
    </w:rPr>
  </w:style>
  <w:style w:type="character" w:customStyle="1" w:styleId="CommentSubjectChar">
    <w:name w:val="Comment Subject Char"/>
    <w:basedOn w:val="CommentTextChar"/>
    <w:link w:val="CommentSubject"/>
    <w:uiPriority w:val="99"/>
    <w:semiHidden/>
    <w:rsid w:val="00AF75C6"/>
    <w:rPr>
      <w:b/>
      <w:bCs/>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aliases w:val="Heading 1A,Heading A1"/>
    <w:next w:val="BodyText"/>
    <w:link w:val="Heading1Char"/>
    <w:qFormat/>
    <w:pPr>
      <w:keepNext/>
      <w:spacing w:before="120" w:after="120"/>
      <w:outlineLvl w:val="0"/>
    </w:pPr>
    <w:rPr>
      <w:rFonts w:ascii="Arial" w:hAnsi="Arial"/>
      <w:b/>
      <w:kern w:val="28"/>
      <w:sz w:val="24"/>
      <w:u w:val="single"/>
    </w:rPr>
  </w:style>
  <w:style w:type="paragraph" w:styleId="Heading2">
    <w:name w:val="heading 2"/>
    <w:next w:val="BodyText"/>
    <w:qFormat/>
    <w:pPr>
      <w:keepNext/>
      <w:tabs>
        <w:tab w:val="left" w:pos="360"/>
      </w:tabs>
      <w:spacing w:before="60" w:after="120"/>
      <w:outlineLvl w:val="1"/>
    </w:pPr>
    <w:rPr>
      <w:b/>
      <w:sz w:val="22"/>
    </w:rPr>
  </w:style>
  <w:style w:type="paragraph" w:styleId="Heading3">
    <w:name w:val="heading 3"/>
    <w:basedOn w:val="Normal"/>
    <w:next w:val="Normal"/>
    <w:qFormat/>
    <w:pPr>
      <w:keepNext/>
      <w:spacing w:before="60" w:after="120"/>
      <w:outlineLvl w:val="2"/>
    </w:pPr>
    <w:rPr>
      <w:rFonts w:ascii="Arial" w:hAnsi="Arial"/>
    </w:rPr>
  </w:style>
  <w:style w:type="paragraph" w:styleId="Heading4">
    <w:name w:val="heading 4"/>
    <w:basedOn w:val="Normal"/>
    <w:next w:val="Normal"/>
    <w:qFormat/>
    <w:pPr>
      <w:keepNext/>
      <w:outlineLvl w:val="3"/>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pPr>
      <w:spacing w:after="240"/>
      <w:jc w:val="both"/>
    </w:pPr>
    <w:rPr>
      <w:sz w:val="22"/>
    </w:rPr>
  </w:style>
  <w:style w:type="paragraph" w:customStyle="1" w:styleId="chapternumber">
    <w:name w:val="chapter number"/>
    <w:basedOn w:val="Normal"/>
    <w:next w:val="Normal"/>
    <w:pPr>
      <w:pageBreakBefore/>
      <w:jc w:val="right"/>
    </w:pPr>
    <w:rPr>
      <w:rFonts w:ascii="Arial" w:hAnsi="Arial"/>
      <w:b/>
      <w:caps/>
      <w:sz w:val="32"/>
    </w:rPr>
  </w:style>
  <w:style w:type="paragraph" w:styleId="Header">
    <w:name w:val="header"/>
    <w:pPr>
      <w:tabs>
        <w:tab w:val="center" w:pos="4320"/>
        <w:tab w:val="right" w:pos="8640"/>
      </w:tabs>
    </w:pPr>
  </w:style>
  <w:style w:type="paragraph" w:customStyle="1" w:styleId="chaptertitle">
    <w:name w:val="chapter title"/>
    <w:next w:val="Heading1"/>
    <w:pPr>
      <w:spacing w:after="480"/>
      <w:jc w:val="right"/>
    </w:pPr>
    <w:rPr>
      <w:rFonts w:ascii="Arial" w:hAnsi="Arial"/>
      <w:b/>
      <w:caps/>
      <w:sz w:val="32"/>
    </w:rPr>
  </w:style>
  <w:style w:type="paragraph" w:styleId="ListNumber">
    <w:name w:val="List Number"/>
    <w:pPr>
      <w:spacing w:after="120"/>
      <w:ind w:left="576" w:hanging="576"/>
      <w:outlineLvl w:val="0"/>
    </w:pPr>
    <w:rPr>
      <w:sz w:val="22"/>
    </w:rPr>
  </w:style>
  <w:style w:type="paragraph" w:styleId="ListBullet2">
    <w:name w:val="List Bullet 2"/>
    <w:autoRedefine/>
    <w:pPr>
      <w:spacing w:before="60" w:after="120"/>
      <w:ind w:left="720" w:hanging="360"/>
    </w:pPr>
    <w:rPr>
      <w:sz w:val="22"/>
    </w:rPr>
  </w:style>
  <w:style w:type="paragraph" w:styleId="ListNumber2">
    <w:name w:val="List Number 2"/>
    <w:pPr>
      <w:spacing w:before="60" w:after="120"/>
      <w:ind w:left="936" w:hanging="360"/>
      <w:outlineLvl w:val="1"/>
    </w:pPr>
  </w:style>
  <w:style w:type="paragraph" w:styleId="ListContinue">
    <w:name w:val="List Continue"/>
    <w:pPr>
      <w:spacing w:before="60" w:after="120"/>
      <w:ind w:left="360"/>
    </w:pPr>
  </w:style>
  <w:style w:type="paragraph" w:styleId="Footer">
    <w:name w:val="footer"/>
    <w:pPr>
      <w:tabs>
        <w:tab w:val="center" w:pos="4320"/>
        <w:tab w:val="right" w:pos="8640"/>
      </w:tabs>
      <w:jc w:val="center"/>
    </w:pPr>
  </w:style>
  <w:style w:type="paragraph" w:customStyle="1" w:styleId="Equation2a">
    <w:name w:val="Equation2a"/>
    <w:basedOn w:val="Obj2"/>
    <w:pPr>
      <w:tabs>
        <w:tab w:val="left" w:pos="72"/>
      </w:tabs>
      <w:ind w:left="2880"/>
    </w:pPr>
  </w:style>
  <w:style w:type="paragraph" w:customStyle="1" w:styleId="Obj2">
    <w:name w:val="Obj2"/>
    <w:basedOn w:val="Normal"/>
    <w:pPr>
      <w:widowControl w:val="0"/>
      <w:spacing w:before="100" w:after="100"/>
      <w:ind w:left="864"/>
    </w:pPr>
  </w:style>
  <w:style w:type="paragraph" w:customStyle="1" w:styleId="Question">
    <w:name w:val="Question"/>
    <w:pPr>
      <w:tabs>
        <w:tab w:val="left" w:pos="360"/>
      </w:tabs>
      <w:spacing w:before="60" w:after="120"/>
      <w:ind w:left="360" w:hanging="360"/>
    </w:pPr>
  </w:style>
  <w:style w:type="paragraph" w:customStyle="1" w:styleId="Answer">
    <w:name w:val="Answer"/>
    <w:pPr>
      <w:spacing w:after="120"/>
      <w:ind w:left="360"/>
      <w:jc w:val="both"/>
    </w:pPr>
    <w:rPr>
      <w:kern w:val="18"/>
    </w:rPr>
  </w:style>
  <w:style w:type="paragraph" w:customStyle="1" w:styleId="BibliographyEntry">
    <w:name w:val="Bibliography Entry"/>
    <w:pPr>
      <w:keepLines/>
      <w:spacing w:after="120"/>
    </w:pPr>
  </w:style>
  <w:style w:type="paragraph" w:customStyle="1" w:styleId="Misc">
    <w:name w:val="Misc"/>
    <w:pPr>
      <w:keepLines/>
    </w:pPr>
  </w:style>
  <w:style w:type="paragraph" w:customStyle="1" w:styleId="Table">
    <w:name w:val="Table"/>
    <w:aliases w:val="Financial"/>
    <w:pPr>
      <w:keepLines/>
      <w:tabs>
        <w:tab w:val="left" w:pos="288"/>
        <w:tab w:val="left" w:pos="576"/>
        <w:tab w:val="left" w:pos="864"/>
        <w:tab w:val="left" w:pos="1152"/>
        <w:tab w:val="left" w:pos="1440"/>
      </w:tabs>
    </w:pPr>
  </w:style>
  <w:style w:type="paragraph" w:customStyle="1" w:styleId="TableBody">
    <w:name w:val="Table Body"/>
    <w:rPr>
      <w:sz w:val="22"/>
    </w:rPr>
  </w:style>
  <w:style w:type="paragraph" w:customStyle="1" w:styleId="Newspaperbody">
    <w:name w:val="Newspaper body"/>
    <w:pPr>
      <w:spacing w:after="120"/>
      <w:ind w:left="720" w:right="720"/>
      <w:jc w:val="both"/>
    </w:pPr>
    <w:rPr>
      <w:rFonts w:ascii="Arial" w:hAnsi="Arial"/>
      <w:sz w:val="18"/>
    </w:rPr>
  </w:style>
  <w:style w:type="paragraph" w:customStyle="1" w:styleId="Newspaperheader">
    <w:name w:val="Newspaper header"/>
    <w:pPr>
      <w:keepNext/>
      <w:tabs>
        <w:tab w:val="left" w:pos="720"/>
      </w:tabs>
      <w:ind w:left="1440" w:hanging="1440"/>
    </w:pPr>
    <w:rPr>
      <w:rFonts w:ascii="Arial" w:hAnsi="Arial"/>
      <w:sz w:val="18"/>
    </w:rPr>
  </w:style>
  <w:style w:type="paragraph" w:customStyle="1" w:styleId="Newspapercopyright">
    <w:name w:val="Newspaper copyright"/>
    <w:pPr>
      <w:keepNext/>
      <w:spacing w:before="120" w:after="120"/>
      <w:jc w:val="center"/>
    </w:pPr>
    <w:rPr>
      <w:rFonts w:ascii="Arial" w:hAnsi="Arial"/>
      <w:sz w:val="18"/>
    </w:rPr>
  </w:style>
  <w:style w:type="paragraph" w:customStyle="1" w:styleId="TableExhibitTitle">
    <w:name w:val="Table Exhibit Title"/>
    <w:next w:val="TableBody"/>
    <w:pPr>
      <w:keepNext/>
      <w:pBdr>
        <w:bottom w:val="single" w:sz="12" w:space="2" w:color="auto"/>
      </w:pBdr>
      <w:tabs>
        <w:tab w:val="left" w:pos="1440"/>
      </w:tabs>
      <w:spacing w:before="240" w:after="120"/>
      <w:ind w:left="360"/>
    </w:pPr>
    <w:rPr>
      <w:rFonts w:ascii="Arial" w:hAnsi="Arial"/>
      <w:b/>
      <w:sz w:val="18"/>
    </w:rPr>
  </w:style>
  <w:style w:type="paragraph" w:customStyle="1" w:styleId="GraphicExhibitTitleLine">
    <w:name w:val="Graphic Exhibit Title Line"/>
    <w:pPr>
      <w:keepNext/>
      <w:pBdr>
        <w:bottom w:val="single" w:sz="18" w:space="3" w:color="0000FF"/>
      </w:pBdr>
      <w:tabs>
        <w:tab w:val="left" w:pos="3600"/>
      </w:tabs>
      <w:spacing w:before="240" w:after="120"/>
    </w:pPr>
  </w:style>
  <w:style w:type="paragraph" w:customStyle="1" w:styleId="SuggestedReadings">
    <w:name w:val="Suggested Readings"/>
    <w:pPr>
      <w:keepLines/>
      <w:ind w:left="288" w:hanging="288"/>
    </w:pPr>
  </w:style>
  <w:style w:type="paragraph" w:customStyle="1" w:styleId="Newspaperbody2">
    <w:name w:val="Newspaper body 2"/>
    <w:basedOn w:val="BodyText"/>
    <w:pPr>
      <w:spacing w:after="0"/>
      <w:ind w:firstLine="360"/>
    </w:pPr>
    <w:rPr>
      <w:sz w:val="18"/>
    </w:rPr>
  </w:style>
  <w:style w:type="paragraph" w:customStyle="1" w:styleId="titlepagetitle">
    <w:name w:val="title page title"/>
    <w:basedOn w:val="Normal"/>
    <w:next w:val="titlepageta"/>
    <w:pPr>
      <w:spacing w:before="960" w:after="240"/>
      <w:jc w:val="center"/>
    </w:pPr>
    <w:rPr>
      <w:b/>
      <w:caps/>
      <w:sz w:val="40"/>
    </w:rPr>
  </w:style>
  <w:style w:type="paragraph" w:customStyle="1" w:styleId="titlepageta">
    <w:name w:val="title page t/a"/>
    <w:basedOn w:val="Normal"/>
    <w:next w:val="titlepagebooktitle"/>
    <w:pPr>
      <w:spacing w:after="600"/>
      <w:jc w:val="center"/>
    </w:pPr>
    <w:rPr>
      <w:i/>
      <w:sz w:val="24"/>
    </w:rPr>
  </w:style>
  <w:style w:type="paragraph" w:customStyle="1" w:styleId="titlepagebooktitle">
    <w:name w:val="title page book title"/>
    <w:basedOn w:val="Normal"/>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pPr>
      <w:spacing w:after="360"/>
      <w:jc w:val="center"/>
    </w:pPr>
    <w:rPr>
      <w:sz w:val="28"/>
    </w:rPr>
  </w:style>
  <w:style w:type="paragraph" w:customStyle="1" w:styleId="titlepageauthorname">
    <w:name w:val="title page author name"/>
    <w:basedOn w:val="Normal"/>
    <w:next w:val="titlepageschool"/>
    <w:pPr>
      <w:jc w:val="center"/>
    </w:pPr>
    <w:rPr>
      <w:b/>
      <w:sz w:val="36"/>
    </w:rPr>
  </w:style>
  <w:style w:type="paragraph" w:customStyle="1" w:styleId="titlepageschool">
    <w:name w:val="title page school"/>
    <w:basedOn w:val="Normal"/>
    <w:next w:val="BodyText"/>
    <w:pPr>
      <w:jc w:val="center"/>
    </w:pPr>
    <w:rPr>
      <w:i/>
      <w:sz w:val="24"/>
    </w:rPr>
  </w:style>
  <w:style w:type="paragraph" w:customStyle="1" w:styleId="cenarialcaps14">
    <w:name w:val="cen arial caps 14"/>
    <w:basedOn w:val="Normal"/>
    <w:next w:val="bodytextarial11"/>
    <w:pPr>
      <w:spacing w:after="240"/>
      <w:jc w:val="center"/>
    </w:pPr>
    <w:rPr>
      <w:rFonts w:ascii="Arial" w:hAnsi="Arial"/>
      <w:caps/>
      <w:sz w:val="28"/>
    </w:rPr>
  </w:style>
  <w:style w:type="paragraph" w:customStyle="1" w:styleId="bodytextarial11">
    <w:name w:val="body text arial 11"/>
    <w:basedOn w:val="Normal"/>
    <w:next w:val="Normal"/>
    <w:rPr>
      <w:rFonts w:ascii="Arial" w:hAnsi="Arial"/>
    </w:rPr>
  </w:style>
  <w:style w:type="paragraph" w:customStyle="1" w:styleId="Footerfirstpageonly">
    <w:name w:val="Footer (first page only)"/>
    <w:basedOn w:val="BodyText"/>
    <w:pPr>
      <w:spacing w:before="240" w:after="0"/>
      <w:jc w:val="center"/>
    </w:pPr>
    <w:rPr>
      <w:rFonts w:ascii="Arial" w:hAnsi="Arial"/>
      <w:sz w:val="18"/>
    </w:rPr>
  </w:style>
  <w:style w:type="paragraph" w:customStyle="1" w:styleId="T-acctsmentryline">
    <w:name w:val="T-acct sm entry line"/>
    <w:basedOn w:val="Normal"/>
    <w:pPr>
      <w:tabs>
        <w:tab w:val="right" w:pos="1620"/>
        <w:tab w:val="bar" w:pos="1800"/>
        <w:tab w:val="left" w:pos="1980"/>
        <w:tab w:val="right" w:pos="3690"/>
      </w:tabs>
    </w:pPr>
    <w:rPr>
      <w:rFonts w:ascii="Arial" w:hAnsi="Arial"/>
      <w:sz w:val="18"/>
    </w:rPr>
  </w:style>
  <w:style w:type="paragraph" w:customStyle="1" w:styleId="cenarialunderline">
    <w:name w:val="cen arial underline"/>
    <w:basedOn w:val="cenarialcaps14"/>
    <w:next w:val="BodyText"/>
    <w:pPr>
      <w:spacing w:before="240"/>
    </w:pPr>
    <w:rPr>
      <w:u w:val="single"/>
    </w:rPr>
  </w:style>
  <w:style w:type="paragraph" w:customStyle="1" w:styleId="Evenpageheader">
    <w:name w:val="Even page header"/>
    <w:pPr>
      <w:tabs>
        <w:tab w:val="right" w:pos="7099"/>
        <w:tab w:val="right" w:pos="9259"/>
      </w:tabs>
      <w:ind w:left="-2160"/>
    </w:pPr>
    <w:rPr>
      <w:rFonts w:ascii="Arial" w:hAnsi="Arial"/>
      <w:b/>
      <w:caps/>
    </w:rPr>
  </w:style>
  <w:style w:type="paragraph" w:customStyle="1" w:styleId="Oddpageheader">
    <w:name w:val="Odd page header"/>
    <w:basedOn w:val="Evenpageheader"/>
    <w:pPr>
      <w:tabs>
        <w:tab w:val="clear" w:pos="7099"/>
      </w:tabs>
      <w:ind w:left="0"/>
    </w:pPr>
  </w:style>
  <w:style w:type="paragraph" w:styleId="FootnoteText">
    <w:name w:val="footnote text"/>
    <w:basedOn w:val="Normal"/>
    <w:semiHidden/>
    <w:rPr>
      <w:rFonts w:ascii="Arial" w:hAnsi="Arial"/>
      <w:sz w:val="18"/>
    </w:rPr>
  </w:style>
  <w:style w:type="character" w:styleId="FootnoteReference">
    <w:name w:val="footnote reference"/>
    <w:semiHidden/>
    <w:rPr>
      <w:vertAlign w:val="superscript"/>
    </w:rPr>
  </w:style>
  <w:style w:type="paragraph" w:customStyle="1" w:styleId="Quoterightleftindent">
    <w:name w:val="Quote (right/left indent)"/>
    <w:next w:val="Normal"/>
    <w:pPr>
      <w:spacing w:after="120"/>
      <w:ind w:left="720" w:right="720"/>
      <w:jc w:val="both"/>
    </w:pPr>
    <w:rPr>
      <w:i/>
    </w:rPr>
  </w:style>
  <w:style w:type="paragraph" w:customStyle="1" w:styleId="Capsboldhead">
    <w:name w:val="Caps bold head"/>
    <w:basedOn w:val="Normal"/>
    <w:next w:val="BodyText"/>
    <w:pPr>
      <w:spacing w:before="240" w:after="120"/>
      <w:ind w:firstLine="720"/>
    </w:pPr>
    <w:rPr>
      <w:b/>
      <w:smallCaps/>
    </w:rPr>
  </w:style>
  <w:style w:type="paragraph" w:customStyle="1" w:styleId="Listbullet1">
    <w:name w:val="List bullet 1"/>
    <w:basedOn w:val="ListBullet2"/>
    <w:pPr>
      <w:spacing w:after="0"/>
    </w:pPr>
  </w:style>
  <w:style w:type="paragraph" w:customStyle="1" w:styleId="tableheads">
    <w:name w:val="table heads"/>
    <w:basedOn w:val="TableBody"/>
    <w:next w:val="TableBody"/>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pPr>
      <w:pBdr>
        <w:top w:val="double" w:sz="6" w:space="3" w:color="auto"/>
        <w:left w:val="double" w:sz="6" w:space="3" w:color="auto"/>
        <w:bottom w:val="double" w:sz="6" w:space="3" w:color="auto"/>
        <w:right w:val="double" w:sz="6" w:space="3" w:color="auto"/>
      </w:pBdr>
      <w:spacing w:before="120" w:after="120"/>
      <w:ind w:left="202"/>
      <w:jc w:val="both"/>
    </w:pPr>
  </w:style>
  <w:style w:type="paragraph" w:customStyle="1" w:styleId="boxhead">
    <w:name w:val="box head"/>
    <w:basedOn w:val="Normal"/>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pPr>
      <w:spacing w:before="60"/>
      <w:jc w:val="right"/>
    </w:pPr>
    <w:rPr>
      <w:rFonts w:ascii="Arial" w:hAnsi="Arial"/>
      <w:sz w:val="16"/>
    </w:rPr>
  </w:style>
  <w:style w:type="paragraph" w:customStyle="1" w:styleId="tablebodyfinal">
    <w:name w:val="table body final"/>
    <w:basedOn w:val="TableBody"/>
    <w:next w:val="BodyText"/>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pPr>
      <w:spacing w:after="60"/>
      <w:jc w:val="center"/>
    </w:pPr>
    <w:rPr>
      <w:rFonts w:ascii="Arial" w:hAnsi="Arial"/>
      <w:b/>
    </w:rPr>
  </w:style>
  <w:style w:type="paragraph" w:customStyle="1" w:styleId="tablespanhead">
    <w:name w:val="table span head"/>
    <w:basedOn w:val="Table"/>
    <w:next w:val="tableheads"/>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pPr>
      <w:tabs>
        <w:tab w:val="center" w:pos="1800"/>
        <w:tab w:val="right" w:pos="3870"/>
      </w:tabs>
    </w:pPr>
    <w:rPr>
      <w:rFonts w:ascii="Arial" w:hAnsi="Arial"/>
      <w:sz w:val="18"/>
      <w:u w:val="single"/>
    </w:rPr>
  </w:style>
  <w:style w:type="paragraph" w:customStyle="1" w:styleId="T-acctsmnoteline">
    <w:name w:val="T-acct sm note line"/>
    <w:basedOn w:val="Normal"/>
    <w:pPr>
      <w:tabs>
        <w:tab w:val="center" w:pos="810"/>
        <w:tab w:val="bar" w:pos="1800"/>
        <w:tab w:val="center" w:pos="2880"/>
      </w:tabs>
    </w:pPr>
    <w:rPr>
      <w:rFonts w:ascii="Arial" w:hAnsi="Arial"/>
      <w:b/>
      <w:sz w:val="18"/>
    </w:rPr>
  </w:style>
  <w:style w:type="paragraph" w:customStyle="1" w:styleId="T-acctsmtotalline">
    <w:name w:val="T-acct sm total line"/>
    <w:basedOn w:val="Normal"/>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pPr>
      <w:tabs>
        <w:tab w:val="right" w:pos="4500"/>
      </w:tabs>
      <w:ind w:left="810" w:right="-22" w:hanging="90"/>
    </w:pPr>
    <w:rPr>
      <w:rFonts w:ascii="Arial" w:hAnsi="Arial"/>
      <w:sz w:val="18"/>
    </w:rPr>
  </w:style>
  <w:style w:type="paragraph" w:customStyle="1" w:styleId="t-acctlgcreditside">
    <w:name w:val="t-acct lg credit side"/>
    <w:basedOn w:val="Normal"/>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pPr>
      <w:pBdr>
        <w:bottom w:val="single" w:sz="6" w:space="1" w:color="auto"/>
      </w:pBdr>
      <w:ind w:left="720" w:right="893"/>
      <w:jc w:val="center"/>
    </w:pPr>
    <w:rPr>
      <w:rFonts w:ascii="Arial" w:hAnsi="Arial"/>
      <w:sz w:val="18"/>
    </w:rPr>
  </w:style>
  <w:style w:type="paragraph" w:customStyle="1" w:styleId="tablefootnote">
    <w:name w:val="table footnote"/>
    <w:basedOn w:val="tablebodyfinal"/>
    <w:pPr>
      <w:keepLines/>
      <w:tabs>
        <w:tab w:val="right" w:pos="7200"/>
      </w:tabs>
      <w:spacing w:after="240"/>
    </w:pPr>
    <w:rPr>
      <w:sz w:val="16"/>
    </w:rPr>
  </w:style>
  <w:style w:type="paragraph" w:customStyle="1" w:styleId="tablesourceline">
    <w:name w:val="table source line"/>
    <w:basedOn w:val="Normal"/>
    <w:next w:val="Normal"/>
    <w:pPr>
      <w:spacing w:after="240"/>
      <w:ind w:firstLine="720"/>
    </w:pPr>
    <w:rPr>
      <w:rFonts w:ascii="Arial" w:hAnsi="Arial"/>
      <w:sz w:val="16"/>
    </w:rPr>
  </w:style>
  <w:style w:type="paragraph" w:customStyle="1" w:styleId="Italicsheading">
    <w:name w:val="Italics heading"/>
    <w:basedOn w:val="Normal"/>
    <w:next w:val="BodyText"/>
    <w:pPr>
      <w:spacing w:after="120"/>
    </w:pPr>
    <w:rPr>
      <w:i/>
    </w:rPr>
  </w:style>
  <w:style w:type="paragraph" w:customStyle="1" w:styleId="listquestion">
    <w:name w:val="list question"/>
    <w:basedOn w:val="BodyText"/>
    <w:pPr>
      <w:spacing w:after="0"/>
      <w:ind w:left="1080" w:hanging="360"/>
    </w:pPr>
  </w:style>
  <w:style w:type="paragraph" w:customStyle="1" w:styleId="listquesfinal">
    <w:name w:val="list ques final"/>
    <w:basedOn w:val="BodyText"/>
    <w:next w:val="BodyText"/>
    <w:pPr>
      <w:ind w:left="1080" w:hanging="360"/>
    </w:pPr>
  </w:style>
  <w:style w:type="paragraph" w:customStyle="1" w:styleId="quotesourceline">
    <w:name w:val="quote source line"/>
    <w:basedOn w:val="Normal"/>
    <w:pPr>
      <w:tabs>
        <w:tab w:val="right" w:pos="4320"/>
        <w:tab w:val="right" w:pos="5490"/>
      </w:tabs>
      <w:ind w:left="810" w:hanging="90"/>
      <w:jc w:val="right"/>
    </w:pPr>
    <w:rPr>
      <w:sz w:val="18"/>
    </w:rPr>
  </w:style>
  <w:style w:type="paragraph" w:customStyle="1" w:styleId="GJNameLine">
    <w:name w:val="GJ Name Line"/>
    <w:basedOn w:val="Normal"/>
    <w:next w:val="GJHeadLine1"/>
    <w:pPr>
      <w:pBdr>
        <w:bottom w:val="single" w:sz="6" w:space="1" w:color="auto"/>
      </w:pBdr>
      <w:spacing w:after="60"/>
      <w:ind w:right="2059"/>
      <w:jc w:val="center"/>
    </w:pPr>
    <w:rPr>
      <w:sz w:val="18"/>
    </w:rPr>
  </w:style>
  <w:style w:type="paragraph" w:customStyle="1" w:styleId="GJHeadLine1">
    <w:name w:val="GJ Head Line1"/>
    <w:basedOn w:val="Normal"/>
    <w:next w:val="GJHeadLine2"/>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pPr>
      <w:pBdr>
        <w:top w:val="single" w:sz="6" w:space="1" w:color="auto"/>
      </w:pBdr>
    </w:pPr>
  </w:style>
  <w:style w:type="paragraph" w:customStyle="1" w:styleId="ListNumberfinal">
    <w:name w:val="List Number final"/>
    <w:basedOn w:val="ListNumber"/>
    <w:pPr>
      <w:spacing w:after="240"/>
    </w:pPr>
  </w:style>
  <w:style w:type="paragraph" w:customStyle="1" w:styleId="ListNumber2final">
    <w:name w:val="List Number 2final"/>
    <w:basedOn w:val="ListNumber2"/>
    <w:pPr>
      <w:spacing w:after="240"/>
      <w:ind w:hanging="576"/>
    </w:pPr>
  </w:style>
  <w:style w:type="paragraph" w:customStyle="1" w:styleId="L3">
    <w:name w:val="L#3"/>
    <w:basedOn w:val="ListNumber"/>
    <w:pPr>
      <w:keepLines/>
      <w:spacing w:before="60" w:after="60"/>
      <w:ind w:left="1152"/>
    </w:pPr>
    <w:rPr>
      <w:sz w:val="20"/>
    </w:rPr>
  </w:style>
  <w:style w:type="paragraph" w:customStyle="1" w:styleId="MarginBox">
    <w:name w:val="Margin Box"/>
    <w:basedOn w:val="BodyText"/>
    <w:pPr>
      <w:framePr w:w="1310" w:h="3125" w:hRule="exact" w:hSpace="360" w:vSpace="360" w:wrap="around" w:vAnchor="text" w:hAnchor="page" w:xAlign="outside" w:y="1"/>
      <w:jc w:val="left"/>
    </w:pPr>
    <w:rPr>
      <w:b/>
      <w:sz w:val="18"/>
    </w:rPr>
  </w:style>
  <w:style w:type="paragraph" w:customStyle="1" w:styleId="TableBody9">
    <w:name w:val="Table Body 9"/>
    <w:basedOn w:val="TableBody"/>
    <w:rPr>
      <w:sz w:val="18"/>
    </w:rPr>
  </w:style>
  <w:style w:type="paragraph" w:customStyle="1" w:styleId="Obj1">
    <w:name w:val="Obj1"/>
    <w:basedOn w:val="Obj2"/>
    <w:pPr>
      <w:tabs>
        <w:tab w:val="left" w:pos="-720"/>
      </w:tabs>
      <w:suppressAutoHyphens/>
      <w:ind w:left="0"/>
      <w:jc w:val="center"/>
    </w:pPr>
    <w:rPr>
      <w:spacing w:val="-2"/>
      <w:kern w:val="22"/>
    </w:rPr>
  </w:style>
  <w:style w:type="paragraph" w:customStyle="1" w:styleId="L4">
    <w:name w:val="L#4"/>
    <w:basedOn w:val="L3"/>
    <w:pPr>
      <w:ind w:left="1512" w:hanging="360"/>
    </w:pPr>
  </w:style>
  <w:style w:type="paragraph" w:customStyle="1" w:styleId="BodyTextOutline">
    <w:name w:val="Body Text Outline"/>
    <w:basedOn w:val="Normal"/>
    <w:pPr>
      <w:ind w:left="720"/>
    </w:pPr>
  </w:style>
  <w:style w:type="paragraph" w:customStyle="1" w:styleId="MarginText">
    <w:name w:val="Margin Text"/>
    <w:basedOn w:val="BodyText"/>
    <w:pPr>
      <w:framePr w:w="1310" w:h="3125" w:hRule="exact" w:hSpace="360" w:vSpace="360" w:wrap="around" w:vAnchor="text" w:hAnchor="page" w:xAlign="outside" w:y="1"/>
      <w:jc w:val="left"/>
    </w:pPr>
    <w:rPr>
      <w:b/>
      <w:sz w:val="18"/>
    </w:rPr>
  </w:style>
  <w:style w:type="paragraph" w:customStyle="1" w:styleId="Outline1">
    <w:name w:val="Outline 1"/>
    <w:pPr>
      <w:tabs>
        <w:tab w:val="left" w:pos="720"/>
        <w:tab w:val="left" w:pos="1080"/>
        <w:tab w:val="left" w:pos="1440"/>
        <w:tab w:val="left" w:pos="1800"/>
        <w:tab w:val="left" w:pos="2160"/>
        <w:tab w:val="left" w:pos="2520"/>
        <w:tab w:val="left" w:pos="2880"/>
        <w:tab w:val="left" w:pos="3240"/>
      </w:tabs>
      <w:spacing w:before="60"/>
      <w:ind w:left="720" w:hanging="720"/>
      <w:outlineLvl w:val="0"/>
    </w:pPr>
    <w:rPr>
      <w:sz w:val="22"/>
    </w:rPr>
  </w:style>
  <w:style w:type="paragraph" w:customStyle="1" w:styleId="Outline2">
    <w:name w:val="Outline 2"/>
    <w:basedOn w:val="Outline1"/>
    <w:pPr>
      <w:ind w:left="1080" w:hanging="360"/>
      <w:outlineLvl w:val="1"/>
    </w:pPr>
  </w:style>
  <w:style w:type="paragraph" w:customStyle="1" w:styleId="Outline3">
    <w:name w:val="Outline 3"/>
    <w:basedOn w:val="Outline1"/>
    <w:pPr>
      <w:ind w:left="1440" w:hanging="360"/>
      <w:outlineLvl w:val="2"/>
    </w:pPr>
    <w:rPr>
      <w:iCs/>
    </w:rPr>
  </w:style>
  <w:style w:type="paragraph" w:customStyle="1" w:styleId="Outline4">
    <w:name w:val="Outline 4"/>
    <w:basedOn w:val="Outline1"/>
    <w:pPr>
      <w:tabs>
        <w:tab w:val="left" w:pos="3600"/>
      </w:tabs>
      <w:ind w:left="1800" w:hanging="360"/>
      <w:outlineLvl w:val="3"/>
    </w:pPr>
  </w:style>
  <w:style w:type="paragraph" w:customStyle="1" w:styleId="Outline5">
    <w:name w:val="Outline 5"/>
    <w:basedOn w:val="Outline1"/>
    <w:pPr>
      <w:tabs>
        <w:tab w:val="left" w:pos="0"/>
        <w:tab w:val="left" w:pos="600"/>
        <w:tab w:val="left" w:pos="1560"/>
        <w:tab w:val="left" w:pos="2040"/>
      </w:tabs>
      <w:suppressAutoHyphens/>
      <w:ind w:left="2160" w:hanging="360"/>
      <w:outlineLvl w:val="4"/>
    </w:pPr>
  </w:style>
  <w:style w:type="paragraph" w:customStyle="1" w:styleId="Outline6">
    <w:name w:val="Outline 6"/>
    <w:basedOn w:val="Outline1"/>
    <w:pPr>
      <w:ind w:left="2520" w:hanging="360"/>
      <w:outlineLvl w:val="5"/>
    </w:pPr>
  </w:style>
  <w:style w:type="paragraph" w:customStyle="1" w:styleId="OutlineIndent">
    <w:name w:val="Outline Indent"/>
    <w:basedOn w:val="BodyTextIndent"/>
    <w:pPr>
      <w:spacing w:before="60"/>
      <w:ind w:left="720"/>
    </w:pPr>
  </w:style>
  <w:style w:type="paragraph" w:styleId="BodyTextIndent">
    <w:name w:val="Body Text Indent"/>
    <w:basedOn w:val="Normal"/>
    <w:pPr>
      <w:spacing w:after="120"/>
      <w:ind w:left="360"/>
      <w:jc w:val="both"/>
    </w:pPr>
  </w:style>
  <w:style w:type="paragraph" w:customStyle="1" w:styleId="titlepagepreparedby">
    <w:name w:val="title page prepared by"/>
    <w:basedOn w:val="titlepageedition"/>
    <w:pPr>
      <w:spacing w:before="720" w:after="0"/>
    </w:pPr>
  </w:style>
  <w:style w:type="paragraph" w:styleId="ListNumber3">
    <w:name w:val="List Number 3"/>
    <w:basedOn w:val="Normal"/>
    <w:pPr>
      <w:spacing w:after="60"/>
      <w:ind w:left="1080" w:hanging="360"/>
      <w:outlineLvl w:val="2"/>
    </w:pPr>
  </w:style>
  <w:style w:type="paragraph" w:customStyle="1" w:styleId="AnswerSpace">
    <w:name w:val="AnswerSpace"/>
    <w:basedOn w:val="Normal"/>
    <w:pPr>
      <w:spacing w:after="1800"/>
    </w:pPr>
  </w:style>
  <w:style w:type="paragraph" w:customStyle="1" w:styleId="Equation2">
    <w:name w:val="Equation2"/>
    <w:basedOn w:val="Normal"/>
    <w:pPr>
      <w:widowControl w:val="0"/>
      <w:spacing w:before="100" w:after="100"/>
      <w:ind w:left="864"/>
    </w:pPr>
  </w:style>
  <w:style w:type="paragraph" w:customStyle="1" w:styleId="Equation1">
    <w:name w:val="Equation 1"/>
    <w:basedOn w:val="Equation2"/>
    <w:pPr>
      <w:tabs>
        <w:tab w:val="left" w:pos="-720"/>
      </w:tabs>
      <w:suppressAutoHyphens/>
      <w:ind w:left="0"/>
      <w:jc w:val="center"/>
    </w:pPr>
    <w:rPr>
      <w:rFonts w:ascii="CG Times" w:hAnsi="CG Times"/>
      <w:spacing w:val="-2"/>
      <w:kern w:val="1"/>
    </w:rPr>
  </w:style>
  <w:style w:type="character" w:styleId="PageNumber">
    <w:name w:val="page number"/>
    <w:basedOn w:val="DefaultParagraphFont"/>
  </w:style>
  <w:style w:type="paragraph" w:customStyle="1" w:styleId="BodyTextArial13">
    <w:name w:val="Body Text Arial 13"/>
    <w:basedOn w:val="bodytextarial11"/>
    <w:autoRedefine/>
    <w:rPr>
      <w:b/>
      <w:sz w:val="26"/>
    </w:rPr>
  </w:style>
  <w:style w:type="paragraph" w:customStyle="1" w:styleId="TableBodyArial13">
    <w:name w:val="Table Body Arial 13"/>
    <w:basedOn w:val="TableBody9"/>
    <w:autoRedefine/>
    <w:rPr>
      <w:rFonts w:ascii="Arial" w:hAnsi="Arial"/>
      <w:b/>
      <w:sz w:val="26"/>
    </w:rPr>
  </w:style>
  <w:style w:type="paragraph" w:customStyle="1" w:styleId="TableBodyArial11">
    <w:name w:val="Table Body Arial 11"/>
    <w:basedOn w:val="BodyTextArial13"/>
    <w:autoRedefine/>
    <w:rPr>
      <w:sz w:val="22"/>
    </w:rPr>
  </w:style>
  <w:style w:type="paragraph" w:styleId="BalloonText">
    <w:name w:val="Balloon Text"/>
    <w:basedOn w:val="Normal"/>
    <w:semiHidden/>
    <w:rsid w:val="00970351"/>
    <w:rPr>
      <w:rFonts w:ascii="Tahoma" w:hAnsi="Tahoma" w:cs="Tahoma"/>
      <w:sz w:val="16"/>
      <w:szCs w:val="16"/>
    </w:rPr>
  </w:style>
  <w:style w:type="table" w:styleId="TableGrid">
    <w:name w:val="Table Grid"/>
    <w:basedOn w:val="TableNormal"/>
    <w:rsid w:val="00507E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semiHidden/>
    <w:rsid w:val="005320A5"/>
    <w:pPr>
      <w:shd w:val="clear" w:color="auto" w:fill="000080"/>
    </w:pPr>
    <w:rPr>
      <w:rFonts w:ascii="Tahoma" w:hAnsi="Tahoma" w:cs="Tahoma"/>
    </w:rPr>
  </w:style>
  <w:style w:type="character" w:customStyle="1" w:styleId="Heading1Char">
    <w:name w:val="Heading 1 Char"/>
    <w:aliases w:val="Heading 1A Char,Heading A1 Char"/>
    <w:link w:val="Heading1"/>
    <w:rsid w:val="006C5A02"/>
    <w:rPr>
      <w:rFonts w:ascii="Arial" w:hAnsi="Arial"/>
      <w:b/>
      <w:kern w:val="28"/>
      <w:sz w:val="24"/>
      <w:u w:val="single"/>
      <w:lang w:val="en-US" w:eastAsia="en-US" w:bidi="ar-SA"/>
    </w:rPr>
  </w:style>
  <w:style w:type="character" w:customStyle="1" w:styleId="BodyTextChar">
    <w:name w:val="Body Text Char"/>
    <w:link w:val="BodyText"/>
    <w:rsid w:val="00246C6F"/>
    <w:rPr>
      <w:sz w:val="22"/>
      <w:lang w:val="en-US" w:eastAsia="en-US" w:bidi="ar-SA"/>
    </w:rPr>
  </w:style>
  <w:style w:type="paragraph" w:styleId="ListParagraph">
    <w:name w:val="List Paragraph"/>
    <w:basedOn w:val="Normal"/>
    <w:uiPriority w:val="34"/>
    <w:qFormat/>
    <w:rsid w:val="00CB2DB3"/>
    <w:pPr>
      <w:ind w:left="720" w:hanging="576"/>
      <w:contextualSpacing/>
      <w:jc w:val="both"/>
    </w:pPr>
    <w:rPr>
      <w:rFonts w:eastAsia="Calibri"/>
      <w:bCs/>
      <w:sz w:val="24"/>
      <w:szCs w:val="24"/>
    </w:rPr>
  </w:style>
  <w:style w:type="character" w:styleId="CommentReference">
    <w:name w:val="annotation reference"/>
    <w:basedOn w:val="DefaultParagraphFont"/>
    <w:uiPriority w:val="99"/>
    <w:semiHidden/>
    <w:unhideWhenUsed/>
    <w:rsid w:val="00AF75C6"/>
    <w:rPr>
      <w:sz w:val="18"/>
      <w:szCs w:val="18"/>
    </w:rPr>
  </w:style>
  <w:style w:type="paragraph" w:styleId="CommentText">
    <w:name w:val="annotation text"/>
    <w:basedOn w:val="Normal"/>
    <w:link w:val="CommentTextChar"/>
    <w:uiPriority w:val="99"/>
    <w:semiHidden/>
    <w:unhideWhenUsed/>
    <w:rsid w:val="00AF75C6"/>
    <w:rPr>
      <w:sz w:val="24"/>
      <w:szCs w:val="24"/>
    </w:rPr>
  </w:style>
  <w:style w:type="character" w:customStyle="1" w:styleId="CommentTextChar">
    <w:name w:val="Comment Text Char"/>
    <w:basedOn w:val="DefaultParagraphFont"/>
    <w:link w:val="CommentText"/>
    <w:uiPriority w:val="99"/>
    <w:semiHidden/>
    <w:rsid w:val="00AF75C6"/>
    <w:rPr>
      <w:sz w:val="24"/>
      <w:szCs w:val="24"/>
    </w:rPr>
  </w:style>
  <w:style w:type="paragraph" w:styleId="CommentSubject">
    <w:name w:val="annotation subject"/>
    <w:basedOn w:val="CommentText"/>
    <w:next w:val="CommentText"/>
    <w:link w:val="CommentSubjectChar"/>
    <w:uiPriority w:val="99"/>
    <w:semiHidden/>
    <w:unhideWhenUsed/>
    <w:rsid w:val="00AF75C6"/>
    <w:rPr>
      <w:b/>
      <w:bCs/>
      <w:sz w:val="20"/>
      <w:szCs w:val="20"/>
    </w:rPr>
  </w:style>
  <w:style w:type="character" w:customStyle="1" w:styleId="CommentSubjectChar">
    <w:name w:val="Comment Subject Char"/>
    <w:basedOn w:val="CommentTextChar"/>
    <w:link w:val="CommentSubject"/>
    <w:uiPriority w:val="99"/>
    <w:semiHidden/>
    <w:rsid w:val="00AF75C6"/>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54127">
      <w:bodyDiv w:val="1"/>
      <w:marLeft w:val="0"/>
      <w:marRight w:val="0"/>
      <w:marTop w:val="0"/>
      <w:marBottom w:val="0"/>
      <w:divBdr>
        <w:top w:val="none" w:sz="0" w:space="0" w:color="auto"/>
        <w:left w:val="none" w:sz="0" w:space="0" w:color="auto"/>
        <w:bottom w:val="none" w:sz="0" w:space="0" w:color="auto"/>
        <w:right w:val="none" w:sz="0" w:space="0" w:color="auto"/>
      </w:divBdr>
    </w:div>
    <w:div w:id="60445445">
      <w:bodyDiv w:val="1"/>
      <w:marLeft w:val="0"/>
      <w:marRight w:val="0"/>
      <w:marTop w:val="0"/>
      <w:marBottom w:val="0"/>
      <w:divBdr>
        <w:top w:val="none" w:sz="0" w:space="0" w:color="auto"/>
        <w:left w:val="none" w:sz="0" w:space="0" w:color="auto"/>
        <w:bottom w:val="none" w:sz="0" w:space="0" w:color="auto"/>
        <w:right w:val="none" w:sz="0" w:space="0" w:color="auto"/>
      </w:divBdr>
    </w:div>
    <w:div w:id="686758869">
      <w:bodyDiv w:val="1"/>
      <w:marLeft w:val="0"/>
      <w:marRight w:val="0"/>
      <w:marTop w:val="0"/>
      <w:marBottom w:val="0"/>
      <w:divBdr>
        <w:top w:val="none" w:sz="0" w:space="0" w:color="auto"/>
        <w:left w:val="none" w:sz="0" w:space="0" w:color="auto"/>
        <w:bottom w:val="none" w:sz="0" w:space="0" w:color="auto"/>
        <w:right w:val="none" w:sz="0" w:space="0" w:color="auto"/>
      </w:divBdr>
    </w:div>
    <w:div w:id="789206357">
      <w:bodyDiv w:val="1"/>
      <w:marLeft w:val="0"/>
      <w:marRight w:val="0"/>
      <w:marTop w:val="0"/>
      <w:marBottom w:val="0"/>
      <w:divBdr>
        <w:top w:val="none" w:sz="0" w:space="0" w:color="auto"/>
        <w:left w:val="none" w:sz="0" w:space="0" w:color="auto"/>
        <w:bottom w:val="none" w:sz="0" w:space="0" w:color="auto"/>
        <w:right w:val="none" w:sz="0" w:space="0" w:color="auto"/>
      </w:divBdr>
    </w:div>
    <w:div w:id="960266200">
      <w:bodyDiv w:val="1"/>
      <w:marLeft w:val="0"/>
      <w:marRight w:val="0"/>
      <w:marTop w:val="0"/>
      <w:marBottom w:val="0"/>
      <w:divBdr>
        <w:top w:val="none" w:sz="0" w:space="0" w:color="auto"/>
        <w:left w:val="none" w:sz="0" w:space="0" w:color="auto"/>
        <w:bottom w:val="none" w:sz="0" w:space="0" w:color="auto"/>
        <w:right w:val="none" w:sz="0" w:space="0" w:color="auto"/>
      </w:divBdr>
    </w:div>
    <w:div w:id="1182667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chart" Target="charts/chart1.xml"/><Relationship Id="rId10" Type="http://schemas.openxmlformats.org/officeDocument/2006/relationships/chart" Target="charts/chart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DESKTOP\Wild%20Ch%201-7\Irwin37b.dot"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597" b="1" i="0" u="none" strike="noStrike" baseline="0">
                <a:solidFill>
                  <a:srgbClr val="000000"/>
                </a:solidFill>
                <a:latin typeface="Arial"/>
                <a:ea typeface="Arial"/>
                <a:cs typeface="Arial"/>
              </a:defRPr>
            </a:pPr>
            <a:r>
              <a:rPr lang="en-US"/>
              <a:t>Depreciation Expense</a:t>
            </a:r>
          </a:p>
        </c:rich>
      </c:tx>
      <c:layout>
        <c:manualLayout>
          <c:xMode val="edge"/>
          <c:yMode val="edge"/>
          <c:x val="0.296028880866426"/>
          <c:y val="0.0187165775401069"/>
        </c:manualLayout>
      </c:layout>
      <c:overlay val="0"/>
      <c:spPr>
        <a:noFill/>
        <a:ln w="25355">
          <a:noFill/>
        </a:ln>
      </c:spPr>
    </c:title>
    <c:autoTitleDeleted val="0"/>
    <c:view3D>
      <c:rotX val="15"/>
      <c:hPercent val="77"/>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22743682310469"/>
          <c:y val="0.157754010695187"/>
          <c:w val="0.628158844765343"/>
          <c:h val="0.72192513368984"/>
        </c:manualLayout>
      </c:layout>
      <c:bar3DChart>
        <c:barDir val="col"/>
        <c:grouping val="clustered"/>
        <c:varyColors val="0"/>
        <c:ser>
          <c:idx val="0"/>
          <c:order val="0"/>
          <c:tx>
            <c:strRef>
              <c:f>Sheet1!$A$2</c:f>
              <c:strCache>
                <c:ptCount val="1"/>
                <c:pt idx="0">
                  <c:v>Straight-line</c:v>
                </c:pt>
              </c:strCache>
            </c:strRef>
          </c:tx>
          <c:spPr>
            <a:pattFill prst="wdDnDiag">
              <a:fgClr>
                <a:srgbClr xmlns:mc="http://schemas.openxmlformats.org/markup-compatibility/2006" xmlns:a14="http://schemas.microsoft.com/office/drawing/2010/main" val="808080" mc:Ignorable="a14" a14:legacySpreadsheetColorIndex="23"/>
              </a:fgClr>
              <a:bgClr>
                <a:srgbClr xmlns:mc="http://schemas.openxmlformats.org/markup-compatibility/2006" xmlns:a14="http://schemas.microsoft.com/office/drawing/2010/main" val="FFFFFF" mc:Ignorable="a14" a14:legacySpreadsheetColorIndex="9"/>
              </a:bgClr>
            </a:pattFill>
            <a:ln w="12677">
              <a:solidFill>
                <a:srgbClr val="000000"/>
              </a:solidFill>
              <a:prstDash val="solid"/>
            </a:ln>
          </c:spPr>
          <c:invertIfNegative val="0"/>
          <c:dLbls>
            <c:numFmt formatCode="\$#,##0" sourceLinked="0"/>
            <c:spPr>
              <a:noFill/>
              <a:ln w="25355">
                <a:noFill/>
              </a:ln>
            </c:spPr>
            <c:txPr>
              <a:bodyPr/>
              <a:lstStyle/>
              <a:p>
                <a:pPr>
                  <a:defRPr sz="898" b="1" i="0" u="none" strike="noStrike" baseline="0">
                    <a:solidFill>
                      <a:srgbClr val="000000"/>
                    </a:solidFill>
                    <a:latin typeface="Arial"/>
                    <a:ea typeface="Arial"/>
                    <a:cs typeface="Arial"/>
                  </a:defRPr>
                </a:pPr>
                <a:endParaRPr lang="en-US"/>
              </a:p>
            </c:txPr>
            <c:showLegendKey val="0"/>
            <c:showVal val="1"/>
            <c:showCatName val="0"/>
            <c:showSerName val="0"/>
            <c:showPercent val="0"/>
            <c:showBubbleSize val="0"/>
            <c:showLeaderLines val="0"/>
          </c:dLbls>
          <c:cat>
            <c:numRef>
              <c:f>Sheet1!$B$1:$F$1</c:f>
              <c:numCache>
                <c:formatCode>General</c:formatCode>
                <c:ptCount val="5"/>
                <c:pt idx="0">
                  <c:v>2016.0</c:v>
                </c:pt>
                <c:pt idx="1">
                  <c:v>2017.0</c:v>
                </c:pt>
                <c:pt idx="2">
                  <c:v>2018.0</c:v>
                </c:pt>
                <c:pt idx="3">
                  <c:v>2019.0</c:v>
                </c:pt>
                <c:pt idx="4">
                  <c:v>2020.0</c:v>
                </c:pt>
              </c:numCache>
            </c:numRef>
          </c:cat>
          <c:val>
            <c:numRef>
              <c:f>Sheet1!$B$2:$F$2</c:f>
              <c:numCache>
                <c:formatCode>General</c:formatCode>
                <c:ptCount val="5"/>
                <c:pt idx="0">
                  <c:v>2000.0</c:v>
                </c:pt>
                <c:pt idx="1">
                  <c:v>2000.0</c:v>
                </c:pt>
                <c:pt idx="2">
                  <c:v>2000.0</c:v>
                </c:pt>
                <c:pt idx="3">
                  <c:v>2000.0</c:v>
                </c:pt>
                <c:pt idx="4">
                  <c:v>2000.0</c:v>
                </c:pt>
              </c:numCache>
            </c:numRef>
          </c:val>
        </c:ser>
        <c:ser>
          <c:idx val="1"/>
          <c:order val="1"/>
          <c:tx>
            <c:strRef>
              <c:f>Sheet1!$A$3</c:f>
              <c:strCache>
                <c:ptCount val="1"/>
                <c:pt idx="0">
                  <c:v>Units-of-production</c:v>
                </c:pt>
              </c:strCache>
            </c:strRef>
          </c:tx>
          <c:spPr>
            <a:pattFill prst="dkVert">
              <a:fgClr>
                <a:srgbClr xmlns:mc="http://schemas.openxmlformats.org/markup-compatibility/2006" xmlns:a14="http://schemas.microsoft.com/office/drawing/2010/main" val="969696" mc:Ignorable="a14" a14:legacySpreadsheetColorIndex="55"/>
              </a:fgClr>
              <a:bgClr>
                <a:srgbClr xmlns:mc="http://schemas.openxmlformats.org/markup-compatibility/2006" xmlns:a14="http://schemas.microsoft.com/office/drawing/2010/main" val="FFFFFF" mc:Ignorable="a14" a14:legacySpreadsheetColorIndex="9"/>
              </a:bgClr>
            </a:pattFill>
            <a:ln w="12677">
              <a:solidFill>
                <a:srgbClr val="000000"/>
              </a:solidFill>
              <a:prstDash val="solid"/>
            </a:ln>
          </c:spPr>
          <c:invertIfNegative val="0"/>
          <c:dLbls>
            <c:numFmt formatCode="\$#,##0" sourceLinked="0"/>
            <c:spPr>
              <a:noFill/>
              <a:ln w="25355">
                <a:noFill/>
              </a:ln>
            </c:spPr>
            <c:txPr>
              <a:bodyPr/>
              <a:lstStyle/>
              <a:p>
                <a:pPr>
                  <a:defRPr sz="898" b="1" i="0" u="none" strike="noStrike" baseline="0">
                    <a:solidFill>
                      <a:srgbClr val="000000"/>
                    </a:solidFill>
                    <a:latin typeface="Arial"/>
                    <a:ea typeface="Arial"/>
                    <a:cs typeface="Arial"/>
                  </a:defRPr>
                </a:pPr>
                <a:endParaRPr lang="en-US"/>
              </a:p>
            </c:txPr>
            <c:showLegendKey val="0"/>
            <c:showVal val="1"/>
            <c:showCatName val="0"/>
            <c:showSerName val="0"/>
            <c:showPercent val="0"/>
            <c:showBubbleSize val="0"/>
            <c:showLeaderLines val="0"/>
          </c:dLbls>
          <c:cat>
            <c:numRef>
              <c:f>Sheet1!$B$1:$F$1</c:f>
              <c:numCache>
                <c:formatCode>General</c:formatCode>
                <c:ptCount val="5"/>
                <c:pt idx="0">
                  <c:v>2016.0</c:v>
                </c:pt>
                <c:pt idx="1">
                  <c:v>2017.0</c:v>
                </c:pt>
                <c:pt idx="2">
                  <c:v>2018.0</c:v>
                </c:pt>
                <c:pt idx="3">
                  <c:v>2019.0</c:v>
                </c:pt>
                <c:pt idx="4">
                  <c:v>2020.0</c:v>
                </c:pt>
              </c:numCache>
            </c:numRef>
          </c:cat>
          <c:val>
            <c:numRef>
              <c:f>Sheet1!$B$3:$F$3</c:f>
              <c:numCache>
                <c:formatCode>General</c:formatCode>
                <c:ptCount val="5"/>
                <c:pt idx="0">
                  <c:v>1500.0</c:v>
                </c:pt>
                <c:pt idx="1">
                  <c:v>2500.0</c:v>
                </c:pt>
                <c:pt idx="2">
                  <c:v>3000.0</c:v>
                </c:pt>
                <c:pt idx="3">
                  <c:v>2500.0</c:v>
                </c:pt>
                <c:pt idx="4">
                  <c:v>500.0</c:v>
                </c:pt>
              </c:numCache>
            </c:numRef>
          </c:val>
        </c:ser>
        <c:ser>
          <c:idx val="2"/>
          <c:order val="2"/>
          <c:tx>
            <c:strRef>
              <c:f>Sheet1!$A$4</c:f>
              <c:strCache>
                <c:ptCount val="1"/>
                <c:pt idx="0">
                  <c:v>Double-declining balance</c:v>
                </c:pt>
              </c:strCache>
            </c:strRef>
          </c:tx>
          <c:spPr>
            <a:pattFill prst="wdUpDiag">
              <a:fgClr>
                <a:srgbClr xmlns:mc="http://schemas.openxmlformats.org/markup-compatibility/2006" xmlns:a14="http://schemas.microsoft.com/office/drawing/2010/main" val="C0C0C0" mc:Ignorable="a14" a14:legacySpreadsheetColorIndex="22"/>
              </a:fgClr>
              <a:bgClr>
                <a:srgbClr xmlns:mc="http://schemas.openxmlformats.org/markup-compatibility/2006" xmlns:a14="http://schemas.microsoft.com/office/drawing/2010/main" val="FFFFFF" mc:Ignorable="a14" a14:legacySpreadsheetColorIndex="9"/>
              </a:bgClr>
            </a:pattFill>
            <a:ln w="12677">
              <a:solidFill>
                <a:srgbClr val="000000"/>
              </a:solidFill>
              <a:prstDash val="solid"/>
            </a:ln>
          </c:spPr>
          <c:invertIfNegative val="0"/>
          <c:dLbls>
            <c:numFmt formatCode="\$#,##0" sourceLinked="0"/>
            <c:spPr>
              <a:noFill/>
              <a:ln w="25355">
                <a:noFill/>
              </a:ln>
            </c:spPr>
            <c:txPr>
              <a:bodyPr/>
              <a:lstStyle/>
              <a:p>
                <a:pPr>
                  <a:defRPr sz="898" b="1" i="0" u="none" strike="noStrike" baseline="0">
                    <a:solidFill>
                      <a:srgbClr val="000000"/>
                    </a:solidFill>
                    <a:latin typeface="Arial"/>
                    <a:ea typeface="Arial"/>
                    <a:cs typeface="Arial"/>
                  </a:defRPr>
                </a:pPr>
                <a:endParaRPr lang="en-US"/>
              </a:p>
            </c:txPr>
            <c:showLegendKey val="0"/>
            <c:showVal val="1"/>
            <c:showCatName val="0"/>
            <c:showSerName val="0"/>
            <c:showPercent val="0"/>
            <c:showBubbleSize val="0"/>
            <c:showLeaderLines val="0"/>
          </c:dLbls>
          <c:cat>
            <c:numRef>
              <c:f>Sheet1!$B$1:$F$1</c:f>
              <c:numCache>
                <c:formatCode>General</c:formatCode>
                <c:ptCount val="5"/>
                <c:pt idx="0">
                  <c:v>2016.0</c:v>
                </c:pt>
                <c:pt idx="1">
                  <c:v>2017.0</c:v>
                </c:pt>
                <c:pt idx="2">
                  <c:v>2018.0</c:v>
                </c:pt>
                <c:pt idx="3">
                  <c:v>2019.0</c:v>
                </c:pt>
                <c:pt idx="4">
                  <c:v>2020.0</c:v>
                </c:pt>
              </c:numCache>
            </c:numRef>
          </c:cat>
          <c:val>
            <c:numRef>
              <c:f>Sheet1!$B$4:$F$4</c:f>
              <c:numCache>
                <c:formatCode>General</c:formatCode>
                <c:ptCount val="5"/>
                <c:pt idx="0">
                  <c:v>4700.0</c:v>
                </c:pt>
                <c:pt idx="1">
                  <c:v>2820.0</c:v>
                </c:pt>
                <c:pt idx="2">
                  <c:v>1692.0</c:v>
                </c:pt>
                <c:pt idx="3">
                  <c:v>788.0</c:v>
                </c:pt>
                <c:pt idx="4">
                  <c:v>0.0</c:v>
                </c:pt>
              </c:numCache>
            </c:numRef>
          </c:val>
        </c:ser>
        <c:dLbls>
          <c:showLegendKey val="0"/>
          <c:showVal val="1"/>
          <c:showCatName val="0"/>
          <c:showSerName val="0"/>
          <c:showPercent val="0"/>
          <c:showBubbleSize val="0"/>
        </c:dLbls>
        <c:gapWidth val="150"/>
        <c:gapDepth val="0"/>
        <c:shape val="box"/>
        <c:axId val="-2143985832"/>
        <c:axId val="-2144304712"/>
        <c:axId val="0"/>
      </c:bar3DChart>
      <c:catAx>
        <c:axId val="-2143985832"/>
        <c:scaling>
          <c:orientation val="minMax"/>
        </c:scaling>
        <c:delete val="0"/>
        <c:axPos val="b"/>
        <c:numFmt formatCode="General" sourceLinked="1"/>
        <c:majorTickMark val="out"/>
        <c:minorTickMark val="none"/>
        <c:tickLblPos val="low"/>
        <c:spPr>
          <a:ln w="3169">
            <a:solidFill>
              <a:srgbClr val="000000"/>
            </a:solidFill>
            <a:prstDash val="solid"/>
          </a:ln>
        </c:spPr>
        <c:txPr>
          <a:bodyPr rot="0" vert="horz"/>
          <a:lstStyle/>
          <a:p>
            <a:pPr>
              <a:defRPr sz="1198" b="1" i="0" u="none" strike="noStrike" baseline="0">
                <a:solidFill>
                  <a:srgbClr val="000000"/>
                </a:solidFill>
                <a:latin typeface="Arial"/>
                <a:ea typeface="Arial"/>
                <a:cs typeface="Arial"/>
              </a:defRPr>
            </a:pPr>
            <a:endParaRPr lang="en-US"/>
          </a:p>
        </c:txPr>
        <c:crossAx val="-2144304712"/>
        <c:crosses val="autoZero"/>
        <c:auto val="1"/>
        <c:lblAlgn val="ctr"/>
        <c:lblOffset val="100"/>
        <c:tickLblSkip val="1"/>
        <c:tickMarkSkip val="1"/>
        <c:noMultiLvlLbl val="0"/>
      </c:catAx>
      <c:valAx>
        <c:axId val="-2144304712"/>
        <c:scaling>
          <c:orientation val="minMax"/>
        </c:scaling>
        <c:delete val="0"/>
        <c:axPos val="l"/>
        <c:majorGridlines>
          <c:spPr>
            <a:ln w="3169">
              <a:solidFill>
                <a:srgbClr val="000000"/>
              </a:solidFill>
              <a:prstDash val="solid"/>
            </a:ln>
          </c:spPr>
        </c:majorGridlines>
        <c:numFmt formatCode="\$#,##0" sourceLinked="0"/>
        <c:majorTickMark val="out"/>
        <c:minorTickMark val="none"/>
        <c:tickLblPos val="nextTo"/>
        <c:spPr>
          <a:ln w="3169">
            <a:solidFill>
              <a:srgbClr val="000000"/>
            </a:solidFill>
            <a:prstDash val="solid"/>
          </a:ln>
        </c:spPr>
        <c:txPr>
          <a:bodyPr rot="0" vert="horz"/>
          <a:lstStyle/>
          <a:p>
            <a:pPr>
              <a:defRPr sz="1198" b="1" i="0" u="none" strike="noStrike" baseline="0">
                <a:solidFill>
                  <a:srgbClr val="000000"/>
                </a:solidFill>
                <a:latin typeface="Arial"/>
                <a:ea typeface="Arial"/>
                <a:cs typeface="Arial"/>
              </a:defRPr>
            </a:pPr>
            <a:endParaRPr lang="en-US"/>
          </a:p>
        </c:txPr>
        <c:crossAx val="-2143985832"/>
        <c:crosses val="autoZero"/>
        <c:crossBetween val="between"/>
      </c:valAx>
      <c:spPr>
        <a:noFill/>
        <a:ln w="25355">
          <a:noFill/>
        </a:ln>
      </c:spPr>
    </c:plotArea>
    <c:legend>
      <c:legendPos val="r"/>
      <c:layout>
        <c:manualLayout>
          <c:xMode val="edge"/>
          <c:yMode val="edge"/>
          <c:x val="0.776173285198556"/>
          <c:y val="0.489304812834225"/>
          <c:w val="0.216606498194946"/>
          <c:h val="0.470588235294118"/>
        </c:manualLayout>
      </c:layout>
      <c:overlay val="0"/>
      <c:spPr>
        <a:noFill/>
        <a:ln w="3169">
          <a:solidFill>
            <a:srgbClr val="000000"/>
          </a:solidFill>
          <a:prstDash val="solid"/>
        </a:ln>
      </c:spPr>
      <c:txPr>
        <a:bodyPr/>
        <a:lstStyle/>
        <a:p>
          <a:pPr>
            <a:defRPr sz="1098" b="1" i="0" u="none" strike="noStrike" baseline="0">
              <a:solidFill>
                <a:srgbClr val="000000"/>
              </a:solidFill>
              <a:latin typeface="Arial"/>
              <a:ea typeface="Arial"/>
              <a:cs typeface="Arial"/>
            </a:defRPr>
          </a:pPr>
          <a:endParaRPr lang="en-US"/>
        </a:p>
      </c:txPr>
    </c:legend>
    <c:plotVisOnly val="1"/>
    <c:dispBlanksAs val="gap"/>
    <c:showDLblsOverMax val="0"/>
  </c:chart>
  <c:spPr>
    <a:noFill/>
    <a:ln>
      <a:noFill/>
    </a:ln>
  </c:spPr>
  <c:txPr>
    <a:bodyPr/>
    <a:lstStyle/>
    <a:p>
      <a:pPr>
        <a:defRPr sz="1597" b="1" i="0" u="none" strike="noStrike" baseline="0">
          <a:solidFill>
            <a:srgbClr val="000000"/>
          </a:solidFill>
          <a:latin typeface="Arial"/>
          <a:ea typeface="Arial"/>
          <a:cs typeface="Arial"/>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597" b="1" i="0" u="none" strike="noStrike" baseline="0">
                <a:solidFill>
                  <a:srgbClr val="000000"/>
                </a:solidFill>
                <a:latin typeface="Arial"/>
                <a:ea typeface="Arial"/>
                <a:cs typeface="Arial"/>
              </a:defRPr>
            </a:pPr>
            <a:r>
              <a:rPr lang="en-US"/>
              <a:t>Net Book Value</a:t>
            </a:r>
          </a:p>
        </c:rich>
      </c:tx>
      <c:layout>
        <c:manualLayout>
          <c:xMode val="edge"/>
          <c:yMode val="edge"/>
          <c:x val="0.357400722021661"/>
          <c:y val="0.0187165775401069"/>
        </c:manualLayout>
      </c:layout>
      <c:overlay val="0"/>
      <c:spPr>
        <a:noFill/>
        <a:ln w="25355">
          <a:noFill/>
        </a:ln>
      </c:spPr>
    </c:title>
    <c:autoTitleDeleted val="0"/>
    <c:plotArea>
      <c:layout>
        <c:manualLayout>
          <c:layoutTarget val="inner"/>
          <c:xMode val="edge"/>
          <c:yMode val="edge"/>
          <c:x val="0.153429602888087"/>
          <c:y val="0.147058823529412"/>
          <c:w val="0.510830324909747"/>
          <c:h val="0.681818181818182"/>
        </c:manualLayout>
      </c:layout>
      <c:lineChart>
        <c:grouping val="standard"/>
        <c:varyColors val="0"/>
        <c:ser>
          <c:idx val="0"/>
          <c:order val="0"/>
          <c:tx>
            <c:strRef>
              <c:f>Sheet1!$A$2</c:f>
              <c:strCache>
                <c:ptCount val="1"/>
                <c:pt idx="0">
                  <c:v>Straight-line</c:v>
                </c:pt>
              </c:strCache>
            </c:strRef>
          </c:tx>
          <c:spPr>
            <a:ln w="12677">
              <a:solidFill>
                <a:srgbClr val="000080"/>
              </a:solidFill>
              <a:prstDash val="solid"/>
            </a:ln>
          </c:spPr>
          <c:marker>
            <c:symbol val="diamond"/>
            <c:size val="4"/>
            <c:spPr>
              <a:solidFill>
                <a:srgbClr val="333333"/>
              </a:solidFill>
              <a:ln>
                <a:solidFill>
                  <a:srgbClr val="333333"/>
                </a:solidFill>
                <a:prstDash val="solid"/>
              </a:ln>
            </c:spPr>
          </c:marker>
          <c:dPt>
            <c:idx val="0"/>
            <c:bubble3D val="0"/>
          </c:dPt>
          <c:dLbls>
            <c:numFmt formatCode="\$#,##0" sourceLinked="0"/>
            <c:spPr>
              <a:noFill/>
              <a:ln w="25355">
                <a:noFill/>
              </a:ln>
            </c:spPr>
            <c:txPr>
              <a:bodyPr/>
              <a:lstStyle/>
              <a:p>
                <a:pPr>
                  <a:defRPr sz="799" b="1" i="0" u="none" strike="noStrike" baseline="0">
                    <a:solidFill>
                      <a:srgbClr val="000000"/>
                    </a:solidFill>
                    <a:latin typeface="Arial"/>
                    <a:ea typeface="Arial"/>
                    <a:cs typeface="Arial"/>
                  </a:defRPr>
                </a:pPr>
                <a:endParaRPr lang="en-US"/>
              </a:p>
            </c:txPr>
            <c:showLegendKey val="0"/>
            <c:showVal val="1"/>
            <c:showCatName val="0"/>
            <c:showSerName val="0"/>
            <c:showPercent val="0"/>
            <c:showBubbleSize val="0"/>
            <c:showLeaderLines val="0"/>
          </c:dLbls>
          <c:cat>
            <c:strRef>
              <c:f>Sheet1!$B$1:$G$1</c:f>
              <c:strCache>
                <c:ptCount val="6"/>
                <c:pt idx="0">
                  <c:v>Pre-2016</c:v>
                </c:pt>
                <c:pt idx="1">
                  <c:v>2016</c:v>
                </c:pt>
                <c:pt idx="2">
                  <c:v>2017</c:v>
                </c:pt>
                <c:pt idx="3">
                  <c:v>2018</c:v>
                </c:pt>
                <c:pt idx="4">
                  <c:v>2019</c:v>
                </c:pt>
                <c:pt idx="5">
                  <c:v>2020</c:v>
                </c:pt>
              </c:strCache>
            </c:strRef>
          </c:cat>
          <c:val>
            <c:numRef>
              <c:f>Sheet1!$B$2:$G$2</c:f>
              <c:numCache>
                <c:formatCode>General</c:formatCode>
                <c:ptCount val="6"/>
                <c:pt idx="0">
                  <c:v>11750.0</c:v>
                </c:pt>
                <c:pt idx="1">
                  <c:v>9750.0</c:v>
                </c:pt>
                <c:pt idx="2">
                  <c:v>7750.0</c:v>
                </c:pt>
                <c:pt idx="3">
                  <c:v>5750.0</c:v>
                </c:pt>
                <c:pt idx="4">
                  <c:v>3750.0</c:v>
                </c:pt>
                <c:pt idx="5">
                  <c:v>1750.0</c:v>
                </c:pt>
              </c:numCache>
            </c:numRef>
          </c:val>
          <c:smooth val="0"/>
        </c:ser>
        <c:ser>
          <c:idx val="1"/>
          <c:order val="1"/>
          <c:tx>
            <c:strRef>
              <c:f>Sheet1!$A$3</c:f>
              <c:strCache>
                <c:ptCount val="1"/>
                <c:pt idx="0">
                  <c:v>Units-of-production</c:v>
                </c:pt>
              </c:strCache>
            </c:strRef>
          </c:tx>
          <c:spPr>
            <a:ln w="12677">
              <a:solidFill>
                <a:srgbClr val="333333"/>
              </a:solidFill>
              <a:prstDash val="solid"/>
            </a:ln>
          </c:spPr>
          <c:marker>
            <c:symbol val="square"/>
            <c:size val="4"/>
            <c:spPr>
              <a:solidFill>
                <a:srgbClr val="333333"/>
              </a:solidFill>
              <a:ln>
                <a:solidFill>
                  <a:srgbClr val="333333"/>
                </a:solidFill>
                <a:prstDash val="solid"/>
              </a:ln>
            </c:spPr>
          </c:marker>
          <c:dLbls>
            <c:numFmt formatCode="\$#,##0" sourceLinked="0"/>
            <c:spPr>
              <a:noFill/>
              <a:ln w="25355">
                <a:noFill/>
              </a:ln>
            </c:spPr>
            <c:txPr>
              <a:bodyPr/>
              <a:lstStyle/>
              <a:p>
                <a:pPr>
                  <a:defRPr sz="799" b="1" i="0" u="none" strike="noStrike" baseline="0">
                    <a:solidFill>
                      <a:srgbClr val="000000"/>
                    </a:solidFill>
                    <a:latin typeface="Arial"/>
                    <a:ea typeface="Arial"/>
                    <a:cs typeface="Arial"/>
                  </a:defRPr>
                </a:pPr>
                <a:endParaRPr lang="en-US"/>
              </a:p>
            </c:txPr>
            <c:showLegendKey val="0"/>
            <c:showVal val="1"/>
            <c:showCatName val="0"/>
            <c:showSerName val="0"/>
            <c:showPercent val="0"/>
            <c:showBubbleSize val="0"/>
            <c:showLeaderLines val="0"/>
          </c:dLbls>
          <c:cat>
            <c:strRef>
              <c:f>Sheet1!$B$1:$G$1</c:f>
              <c:strCache>
                <c:ptCount val="6"/>
                <c:pt idx="0">
                  <c:v>Pre-2016</c:v>
                </c:pt>
                <c:pt idx="1">
                  <c:v>2016</c:v>
                </c:pt>
                <c:pt idx="2">
                  <c:v>2017</c:v>
                </c:pt>
                <c:pt idx="3">
                  <c:v>2018</c:v>
                </c:pt>
                <c:pt idx="4">
                  <c:v>2019</c:v>
                </c:pt>
                <c:pt idx="5">
                  <c:v>2020</c:v>
                </c:pt>
              </c:strCache>
            </c:strRef>
          </c:cat>
          <c:val>
            <c:numRef>
              <c:f>Sheet1!$B$3:$G$3</c:f>
              <c:numCache>
                <c:formatCode>General</c:formatCode>
                <c:ptCount val="6"/>
                <c:pt idx="0">
                  <c:v>11750.0</c:v>
                </c:pt>
                <c:pt idx="1">
                  <c:v>10250.0</c:v>
                </c:pt>
                <c:pt idx="2">
                  <c:v>7750.0</c:v>
                </c:pt>
                <c:pt idx="3">
                  <c:v>4750.0</c:v>
                </c:pt>
                <c:pt idx="4">
                  <c:v>2250.0</c:v>
                </c:pt>
                <c:pt idx="5">
                  <c:v>1750.0</c:v>
                </c:pt>
              </c:numCache>
            </c:numRef>
          </c:val>
          <c:smooth val="0"/>
        </c:ser>
        <c:ser>
          <c:idx val="2"/>
          <c:order val="2"/>
          <c:tx>
            <c:strRef>
              <c:f>Sheet1!$A$4</c:f>
              <c:strCache>
                <c:ptCount val="1"/>
                <c:pt idx="0">
                  <c:v>Double-declining balance</c:v>
                </c:pt>
              </c:strCache>
            </c:strRef>
          </c:tx>
          <c:spPr>
            <a:ln w="12677">
              <a:solidFill>
                <a:srgbClr val="333333"/>
              </a:solidFill>
              <a:prstDash val="solid"/>
            </a:ln>
          </c:spPr>
          <c:marker>
            <c:symbol val="triangle"/>
            <c:size val="4"/>
            <c:spPr>
              <a:solidFill>
                <a:srgbClr val="333333"/>
              </a:solidFill>
              <a:ln>
                <a:solidFill>
                  <a:srgbClr val="333333"/>
                </a:solidFill>
                <a:prstDash val="solid"/>
              </a:ln>
            </c:spPr>
          </c:marker>
          <c:dLbls>
            <c:numFmt formatCode="\$#,##0" sourceLinked="0"/>
            <c:spPr>
              <a:noFill/>
              <a:ln w="25355">
                <a:noFill/>
              </a:ln>
            </c:spPr>
            <c:txPr>
              <a:bodyPr/>
              <a:lstStyle/>
              <a:p>
                <a:pPr>
                  <a:defRPr sz="799" b="1" i="0" u="none" strike="noStrike" baseline="0">
                    <a:solidFill>
                      <a:srgbClr val="000000"/>
                    </a:solidFill>
                    <a:latin typeface="Arial"/>
                    <a:ea typeface="Arial"/>
                    <a:cs typeface="Arial"/>
                  </a:defRPr>
                </a:pPr>
                <a:endParaRPr lang="en-US"/>
              </a:p>
            </c:txPr>
            <c:showLegendKey val="0"/>
            <c:showVal val="1"/>
            <c:showCatName val="0"/>
            <c:showSerName val="0"/>
            <c:showPercent val="0"/>
            <c:showBubbleSize val="0"/>
            <c:showLeaderLines val="0"/>
          </c:dLbls>
          <c:cat>
            <c:strRef>
              <c:f>Sheet1!$B$1:$G$1</c:f>
              <c:strCache>
                <c:ptCount val="6"/>
                <c:pt idx="0">
                  <c:v>Pre-2016</c:v>
                </c:pt>
                <c:pt idx="1">
                  <c:v>2016</c:v>
                </c:pt>
                <c:pt idx="2">
                  <c:v>2017</c:v>
                </c:pt>
                <c:pt idx="3">
                  <c:v>2018</c:v>
                </c:pt>
                <c:pt idx="4">
                  <c:v>2019</c:v>
                </c:pt>
                <c:pt idx="5">
                  <c:v>2020</c:v>
                </c:pt>
              </c:strCache>
            </c:strRef>
          </c:cat>
          <c:val>
            <c:numRef>
              <c:f>Sheet1!$B$4:$G$4</c:f>
              <c:numCache>
                <c:formatCode>General</c:formatCode>
                <c:ptCount val="6"/>
                <c:pt idx="0">
                  <c:v>11750.0</c:v>
                </c:pt>
                <c:pt idx="1">
                  <c:v>7050.0</c:v>
                </c:pt>
                <c:pt idx="2">
                  <c:v>4230.0</c:v>
                </c:pt>
                <c:pt idx="3">
                  <c:v>2538.0</c:v>
                </c:pt>
                <c:pt idx="4">
                  <c:v>1750.0</c:v>
                </c:pt>
                <c:pt idx="5">
                  <c:v>1750.0</c:v>
                </c:pt>
              </c:numCache>
            </c:numRef>
          </c:val>
          <c:smooth val="0"/>
        </c:ser>
        <c:dLbls>
          <c:showLegendKey val="0"/>
          <c:showVal val="1"/>
          <c:showCatName val="0"/>
          <c:showSerName val="0"/>
          <c:showPercent val="0"/>
          <c:showBubbleSize val="0"/>
        </c:dLbls>
        <c:marker val="1"/>
        <c:smooth val="0"/>
        <c:axId val="2129560680"/>
        <c:axId val="-2143605512"/>
      </c:lineChart>
      <c:catAx>
        <c:axId val="2129560680"/>
        <c:scaling>
          <c:orientation val="minMax"/>
        </c:scaling>
        <c:delete val="0"/>
        <c:axPos val="b"/>
        <c:numFmt formatCode="General" sourceLinked="1"/>
        <c:majorTickMark val="out"/>
        <c:minorTickMark val="none"/>
        <c:tickLblPos val="nextTo"/>
        <c:spPr>
          <a:ln w="3169">
            <a:solidFill>
              <a:srgbClr val="000000"/>
            </a:solidFill>
            <a:prstDash val="solid"/>
          </a:ln>
        </c:spPr>
        <c:txPr>
          <a:bodyPr rot="0" vert="horz"/>
          <a:lstStyle/>
          <a:p>
            <a:pPr>
              <a:defRPr sz="1198" b="1" i="0" u="none" strike="noStrike" baseline="0">
                <a:solidFill>
                  <a:srgbClr val="000000"/>
                </a:solidFill>
                <a:latin typeface="Arial"/>
                <a:ea typeface="Arial"/>
                <a:cs typeface="Arial"/>
              </a:defRPr>
            </a:pPr>
            <a:endParaRPr lang="en-US"/>
          </a:p>
        </c:txPr>
        <c:crossAx val="-2143605512"/>
        <c:crosses val="autoZero"/>
        <c:auto val="1"/>
        <c:lblAlgn val="ctr"/>
        <c:lblOffset val="100"/>
        <c:tickLblSkip val="1"/>
        <c:tickMarkSkip val="1"/>
        <c:noMultiLvlLbl val="0"/>
      </c:catAx>
      <c:valAx>
        <c:axId val="-2143605512"/>
        <c:scaling>
          <c:orientation val="minMax"/>
        </c:scaling>
        <c:delete val="0"/>
        <c:axPos val="l"/>
        <c:majorGridlines>
          <c:spPr>
            <a:ln w="3169">
              <a:solidFill>
                <a:srgbClr val="000000"/>
              </a:solidFill>
              <a:prstDash val="solid"/>
            </a:ln>
          </c:spPr>
        </c:majorGridlines>
        <c:numFmt formatCode="\$#,##0" sourceLinked="0"/>
        <c:majorTickMark val="out"/>
        <c:minorTickMark val="none"/>
        <c:tickLblPos val="nextTo"/>
        <c:spPr>
          <a:ln w="3169">
            <a:solidFill>
              <a:srgbClr val="000000"/>
            </a:solidFill>
            <a:prstDash val="solid"/>
          </a:ln>
        </c:spPr>
        <c:txPr>
          <a:bodyPr rot="0" vert="horz"/>
          <a:lstStyle/>
          <a:p>
            <a:pPr>
              <a:defRPr sz="1198" b="1" i="0" u="none" strike="noStrike" baseline="0">
                <a:solidFill>
                  <a:srgbClr val="000000"/>
                </a:solidFill>
                <a:latin typeface="Arial"/>
                <a:ea typeface="Arial"/>
                <a:cs typeface="Arial"/>
              </a:defRPr>
            </a:pPr>
            <a:endParaRPr lang="en-US"/>
          </a:p>
        </c:txPr>
        <c:crossAx val="2129560680"/>
        <c:crosses val="autoZero"/>
        <c:crossBetween val="between"/>
      </c:valAx>
      <c:spPr>
        <a:solidFill>
          <a:srgbClr val="C0C0C0"/>
        </a:solidFill>
        <a:ln w="12677">
          <a:solidFill>
            <a:srgbClr val="808080"/>
          </a:solidFill>
          <a:prstDash val="solid"/>
        </a:ln>
      </c:spPr>
    </c:plotArea>
    <c:legend>
      <c:legendPos val="r"/>
      <c:layout>
        <c:manualLayout>
          <c:xMode val="edge"/>
          <c:yMode val="edge"/>
          <c:x val="0.732851985559567"/>
          <c:y val="0.254010695187166"/>
          <c:w val="0.259927797833935"/>
          <c:h val="0.545454545454545"/>
        </c:manualLayout>
      </c:layout>
      <c:overlay val="0"/>
      <c:spPr>
        <a:noFill/>
        <a:ln w="12677">
          <a:solidFill>
            <a:srgbClr val="333333"/>
          </a:solidFill>
          <a:prstDash val="solid"/>
        </a:ln>
      </c:spPr>
      <c:txPr>
        <a:bodyPr/>
        <a:lstStyle/>
        <a:p>
          <a:pPr>
            <a:defRPr sz="1098" b="1" i="0" u="none" strike="noStrike" baseline="0">
              <a:solidFill>
                <a:srgbClr val="000000"/>
              </a:solidFill>
              <a:latin typeface="Arial"/>
              <a:ea typeface="Arial"/>
              <a:cs typeface="Arial"/>
            </a:defRPr>
          </a:pPr>
          <a:endParaRPr lang="en-US"/>
        </a:p>
      </c:txPr>
    </c:legend>
    <c:plotVisOnly val="1"/>
    <c:dispBlanksAs val="gap"/>
    <c:showDLblsOverMax val="0"/>
  </c:chart>
  <c:spPr>
    <a:noFill/>
    <a:ln>
      <a:noFill/>
    </a:ln>
  </c:spPr>
  <c:txPr>
    <a:bodyPr/>
    <a:lstStyle/>
    <a:p>
      <a:pPr>
        <a:defRPr sz="1597" b="1" i="0" u="none" strike="noStrike" baseline="0">
          <a:solidFill>
            <a:srgbClr val="000000"/>
          </a:solidFill>
          <a:latin typeface="Arial"/>
          <a:ea typeface="Arial"/>
          <a:cs typeface="Arial"/>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8D6DEB-54DA-6344-B664-D7F26F67F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\WINDOWS\DESKTOP\Wild Ch 1-7\Irwin37b.dot</Template>
  <TotalTime>3</TotalTime>
  <Pages>20</Pages>
  <Words>5271</Words>
  <Characters>30050</Characters>
  <Application>Microsoft Macintosh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CHAPTER 1</vt:lpstr>
    </vt:vector>
  </TitlesOfParts>
  <Company>Hewlett-Packard Company</Company>
  <LinksUpToDate>false</LinksUpToDate>
  <CharactersWithSpaces>35251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Jeannie M. Folk</dc:creator>
  <cp:lastModifiedBy>Sarah Wood</cp:lastModifiedBy>
  <cp:revision>5</cp:revision>
  <cp:lastPrinted>2009-09-29T01:17:00Z</cp:lastPrinted>
  <dcterms:created xsi:type="dcterms:W3CDTF">2014-11-14T21:21:00Z</dcterms:created>
  <dcterms:modified xsi:type="dcterms:W3CDTF">2014-11-14T22:22:00Z</dcterms:modified>
</cp:coreProperties>
</file>