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48723" w14:textId="77777777" w:rsidR="00B95C07" w:rsidRDefault="00B95C07" w:rsidP="000A0187">
      <w:pPr>
        <w:pStyle w:val="chapternumber"/>
      </w:pPr>
      <w:bookmarkStart w:id="0" w:name="_GoBack"/>
      <w:bookmarkEnd w:id="0"/>
      <w:r>
        <w:t xml:space="preserve">cHAPTER </w:t>
      </w:r>
      <w:r w:rsidR="00FA3BF9">
        <w:t>13</w:t>
      </w:r>
    </w:p>
    <w:p w14:paraId="07C1255B" w14:textId="77777777" w:rsidR="009E0CA3" w:rsidRDefault="00061933" w:rsidP="00BB42C2">
      <w:pPr>
        <w:pStyle w:val="chaptertitle"/>
        <w:spacing w:after="240"/>
      </w:pPr>
      <w:r>
        <w:t>measuring and evaluating financial performance</w:t>
      </w:r>
    </w:p>
    <w:p w14:paraId="17C2CD28" w14:textId="77777777" w:rsidR="00B81F46" w:rsidRDefault="00B81F46" w:rsidP="00B81F46">
      <w:pPr>
        <w:pStyle w:val="Heading1"/>
      </w:pPr>
      <w:r w:rsidRPr="00B81F46">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2664"/>
        <w:gridCol w:w="1080"/>
        <w:gridCol w:w="1080"/>
        <w:gridCol w:w="1080"/>
        <w:gridCol w:w="1080"/>
        <w:gridCol w:w="1296"/>
        <w:gridCol w:w="1080"/>
      </w:tblGrid>
      <w:tr w:rsidR="00702FF2" w:rsidRPr="00FB77B2" w14:paraId="2ABB023A" w14:textId="77777777" w:rsidTr="00A1233F">
        <w:tc>
          <w:tcPr>
            <w:tcW w:w="2664" w:type="dxa"/>
            <w:tcMar>
              <w:left w:w="0" w:type="dxa"/>
              <w:right w:w="0" w:type="dxa"/>
            </w:tcMar>
          </w:tcPr>
          <w:p w14:paraId="27453ABE" w14:textId="77777777" w:rsidR="00702FF2" w:rsidRPr="00FB77B2" w:rsidRDefault="00702FF2" w:rsidP="001F3F25">
            <w:pPr>
              <w:pStyle w:val="Italicsheading"/>
              <w:spacing w:before="120"/>
              <w:jc w:val="center"/>
              <w:rPr>
                <w:b/>
              </w:rPr>
            </w:pPr>
          </w:p>
          <w:p w14:paraId="25EB623E" w14:textId="77777777" w:rsidR="00702FF2" w:rsidRPr="00FB77B2" w:rsidRDefault="00702FF2" w:rsidP="001F3F25">
            <w:pPr>
              <w:pStyle w:val="Italicsheading"/>
              <w:spacing w:before="120"/>
              <w:jc w:val="center"/>
              <w:rPr>
                <w:b/>
              </w:rPr>
            </w:pPr>
            <w:r w:rsidRPr="00FB77B2">
              <w:rPr>
                <w:b/>
              </w:rPr>
              <w:t>Student Learning Objectives</w:t>
            </w:r>
          </w:p>
        </w:tc>
        <w:tc>
          <w:tcPr>
            <w:tcW w:w="1080" w:type="dxa"/>
            <w:tcMar>
              <w:left w:w="0" w:type="dxa"/>
              <w:right w:w="0" w:type="dxa"/>
            </w:tcMar>
          </w:tcPr>
          <w:p w14:paraId="5224A87C" w14:textId="77777777" w:rsidR="00702FF2" w:rsidRPr="00FB77B2" w:rsidRDefault="00702FF2" w:rsidP="001F3F25">
            <w:pPr>
              <w:pStyle w:val="Italicsheading"/>
              <w:spacing w:before="120"/>
              <w:jc w:val="center"/>
              <w:rPr>
                <w:b/>
              </w:rPr>
            </w:pPr>
            <w:r w:rsidRPr="00FB77B2">
              <w:rPr>
                <w:b/>
              </w:rPr>
              <w:br/>
              <w:t>Mini-Exercises</w:t>
            </w:r>
          </w:p>
        </w:tc>
        <w:tc>
          <w:tcPr>
            <w:tcW w:w="1080" w:type="dxa"/>
            <w:tcMar>
              <w:left w:w="0" w:type="dxa"/>
              <w:right w:w="0" w:type="dxa"/>
            </w:tcMar>
          </w:tcPr>
          <w:p w14:paraId="63606D38" w14:textId="77777777" w:rsidR="00702FF2" w:rsidRPr="00FB77B2" w:rsidRDefault="00702FF2" w:rsidP="001F3F25">
            <w:pPr>
              <w:pStyle w:val="Italicsheading"/>
              <w:spacing w:before="120"/>
              <w:jc w:val="center"/>
              <w:rPr>
                <w:b/>
              </w:rPr>
            </w:pPr>
            <w:r w:rsidRPr="00FB77B2">
              <w:rPr>
                <w:b/>
              </w:rPr>
              <w:br/>
            </w:r>
            <w:r w:rsidRPr="00FB77B2">
              <w:rPr>
                <w:b/>
              </w:rPr>
              <w:br/>
              <w:t>Exercises</w:t>
            </w:r>
          </w:p>
        </w:tc>
        <w:tc>
          <w:tcPr>
            <w:tcW w:w="1080" w:type="dxa"/>
            <w:tcMar>
              <w:left w:w="0" w:type="dxa"/>
              <w:right w:w="0" w:type="dxa"/>
            </w:tcMar>
          </w:tcPr>
          <w:p w14:paraId="054AE4D3" w14:textId="77777777" w:rsidR="00702FF2" w:rsidRPr="00FB77B2" w:rsidRDefault="00702FF2" w:rsidP="001F3F25">
            <w:pPr>
              <w:pStyle w:val="Italicsheading"/>
              <w:spacing w:before="120"/>
              <w:jc w:val="center"/>
              <w:rPr>
                <w:b/>
              </w:rPr>
            </w:pPr>
            <w:r w:rsidRPr="00FB77B2">
              <w:rPr>
                <w:b/>
              </w:rPr>
              <w:br/>
              <w:t>Coached Problems</w:t>
            </w:r>
          </w:p>
        </w:tc>
        <w:tc>
          <w:tcPr>
            <w:tcW w:w="1080" w:type="dxa"/>
            <w:tcMar>
              <w:left w:w="0" w:type="dxa"/>
              <w:right w:w="0" w:type="dxa"/>
            </w:tcMar>
          </w:tcPr>
          <w:p w14:paraId="25392036" w14:textId="77777777" w:rsidR="00702FF2" w:rsidRPr="00FB77B2" w:rsidRDefault="00702FF2" w:rsidP="001F3F25">
            <w:pPr>
              <w:pStyle w:val="Italicsheading"/>
              <w:spacing w:before="120"/>
              <w:jc w:val="center"/>
              <w:rPr>
                <w:b/>
              </w:rPr>
            </w:pPr>
            <w:r w:rsidRPr="00FB77B2">
              <w:rPr>
                <w:b/>
              </w:rPr>
              <w:t>Problems</w:t>
            </w:r>
            <w:r w:rsidRPr="00FB77B2">
              <w:rPr>
                <w:b/>
              </w:rPr>
              <w:br/>
              <w:t>(Groups</w:t>
            </w:r>
            <w:r w:rsidRPr="00FB77B2">
              <w:rPr>
                <w:b/>
              </w:rPr>
              <w:br/>
              <w:t xml:space="preserve"> A &amp; B)</w:t>
            </w:r>
          </w:p>
        </w:tc>
        <w:tc>
          <w:tcPr>
            <w:tcW w:w="1296" w:type="dxa"/>
            <w:tcMar>
              <w:left w:w="0" w:type="dxa"/>
              <w:right w:w="0" w:type="dxa"/>
            </w:tcMar>
          </w:tcPr>
          <w:p w14:paraId="1B957BE1" w14:textId="77777777" w:rsidR="00702FF2" w:rsidRPr="00FB77B2" w:rsidRDefault="00702FF2" w:rsidP="001F3F25">
            <w:pPr>
              <w:pStyle w:val="Italicsheading"/>
              <w:spacing w:before="120"/>
              <w:jc w:val="center"/>
              <w:rPr>
                <w:b/>
              </w:rPr>
            </w:pPr>
            <w:r w:rsidRPr="00FB77B2">
              <w:rPr>
                <w:b/>
              </w:rPr>
              <w:t>Skills Development Cases</w:t>
            </w:r>
          </w:p>
        </w:tc>
        <w:tc>
          <w:tcPr>
            <w:tcW w:w="1080" w:type="dxa"/>
            <w:tcMar>
              <w:left w:w="0" w:type="dxa"/>
              <w:right w:w="0" w:type="dxa"/>
            </w:tcMar>
          </w:tcPr>
          <w:p w14:paraId="50BE2C6C" w14:textId="77777777" w:rsidR="00702FF2" w:rsidRPr="00FB77B2" w:rsidRDefault="0001282E" w:rsidP="001F3F25">
            <w:pPr>
              <w:pStyle w:val="Italicsheading"/>
              <w:spacing w:before="120"/>
              <w:jc w:val="center"/>
              <w:rPr>
                <w:b/>
              </w:rPr>
            </w:pPr>
            <w:r>
              <w:rPr>
                <w:b/>
              </w:rPr>
              <w:br/>
              <w:t>Continuing Case</w:t>
            </w:r>
          </w:p>
        </w:tc>
      </w:tr>
      <w:tr w:rsidR="00702FF2" w:rsidRPr="00FB77B2" w14:paraId="0CC1E10F" w14:textId="77777777" w:rsidTr="00A1233F">
        <w:tc>
          <w:tcPr>
            <w:tcW w:w="2664" w:type="dxa"/>
            <w:tcMar>
              <w:top w:w="0" w:type="dxa"/>
              <w:left w:w="115" w:type="dxa"/>
              <w:bottom w:w="0" w:type="dxa"/>
              <w:right w:w="115" w:type="dxa"/>
            </w:tcMar>
          </w:tcPr>
          <w:p w14:paraId="6351407D" w14:textId="5CD25F69" w:rsidR="00702FF2" w:rsidRPr="00E91FE1" w:rsidRDefault="005742DA" w:rsidP="00051189">
            <w:pPr>
              <w:pStyle w:val="TableBody"/>
              <w:ind w:left="288" w:hanging="288"/>
            </w:pPr>
            <w:r>
              <w:t>LO 13-</w:t>
            </w:r>
            <w:r w:rsidR="00702FF2">
              <w:t>1</w:t>
            </w:r>
            <w:r>
              <w:t xml:space="preserve"> </w:t>
            </w:r>
            <w:r w:rsidR="00702FF2" w:rsidRPr="00E91FE1">
              <w:t xml:space="preserve">Describe </w:t>
            </w:r>
            <w:r w:rsidR="00702FF2" w:rsidRPr="00905C96">
              <w:t xml:space="preserve">the purposes and uses of </w:t>
            </w:r>
            <w:r w:rsidR="00E32366">
              <w:t>horizontal, vertical,</w:t>
            </w:r>
            <w:r w:rsidR="00702FF2" w:rsidRPr="00905C96">
              <w:t xml:space="preserve"> and ratio analyses.</w:t>
            </w:r>
          </w:p>
        </w:tc>
        <w:tc>
          <w:tcPr>
            <w:tcW w:w="1080" w:type="dxa"/>
            <w:tcMar>
              <w:top w:w="0" w:type="dxa"/>
              <w:left w:w="115" w:type="dxa"/>
              <w:bottom w:w="0" w:type="dxa"/>
              <w:right w:w="115" w:type="dxa"/>
            </w:tcMar>
          </w:tcPr>
          <w:p w14:paraId="3F23D7F2" w14:textId="77777777" w:rsidR="00702FF2" w:rsidRDefault="00702FF2" w:rsidP="001F3F25">
            <w:pPr>
              <w:pStyle w:val="TableBody"/>
            </w:pPr>
          </w:p>
        </w:tc>
        <w:tc>
          <w:tcPr>
            <w:tcW w:w="1080" w:type="dxa"/>
            <w:tcMar>
              <w:top w:w="0" w:type="dxa"/>
              <w:left w:w="115" w:type="dxa"/>
              <w:bottom w:w="0" w:type="dxa"/>
              <w:right w:w="115" w:type="dxa"/>
            </w:tcMar>
          </w:tcPr>
          <w:p w14:paraId="5D204544" w14:textId="77777777" w:rsidR="00702FF2" w:rsidRDefault="00702FF2" w:rsidP="001F3F25">
            <w:pPr>
              <w:pStyle w:val="TableBody"/>
            </w:pPr>
          </w:p>
        </w:tc>
        <w:tc>
          <w:tcPr>
            <w:tcW w:w="1080" w:type="dxa"/>
            <w:tcMar>
              <w:top w:w="0" w:type="dxa"/>
              <w:left w:w="115" w:type="dxa"/>
              <w:bottom w:w="0" w:type="dxa"/>
              <w:right w:w="115" w:type="dxa"/>
            </w:tcMar>
          </w:tcPr>
          <w:p w14:paraId="3A0E2030" w14:textId="77777777" w:rsidR="00702FF2" w:rsidRDefault="00702FF2" w:rsidP="001F3F25">
            <w:pPr>
              <w:pStyle w:val="TableBody"/>
            </w:pPr>
          </w:p>
        </w:tc>
        <w:tc>
          <w:tcPr>
            <w:tcW w:w="1080" w:type="dxa"/>
            <w:tcMar>
              <w:top w:w="0" w:type="dxa"/>
              <w:left w:w="115" w:type="dxa"/>
              <w:bottom w:w="0" w:type="dxa"/>
              <w:right w:w="115" w:type="dxa"/>
            </w:tcMar>
          </w:tcPr>
          <w:p w14:paraId="4AF5AD26" w14:textId="77777777" w:rsidR="00702FF2" w:rsidRDefault="00702FF2" w:rsidP="001F3F25">
            <w:pPr>
              <w:pStyle w:val="TableBody"/>
            </w:pPr>
          </w:p>
        </w:tc>
        <w:tc>
          <w:tcPr>
            <w:tcW w:w="1296" w:type="dxa"/>
            <w:tcMar>
              <w:top w:w="0" w:type="dxa"/>
              <w:left w:w="115" w:type="dxa"/>
              <w:bottom w:w="0" w:type="dxa"/>
              <w:right w:w="115" w:type="dxa"/>
            </w:tcMar>
          </w:tcPr>
          <w:p w14:paraId="4E00713B" w14:textId="77777777" w:rsidR="00702FF2" w:rsidRDefault="001078A7" w:rsidP="001F3F25">
            <w:pPr>
              <w:pStyle w:val="TableBody"/>
            </w:pPr>
            <w:r>
              <w:t>3</w:t>
            </w:r>
          </w:p>
        </w:tc>
        <w:tc>
          <w:tcPr>
            <w:tcW w:w="1080" w:type="dxa"/>
            <w:tcMar>
              <w:top w:w="0" w:type="dxa"/>
              <w:left w:w="115" w:type="dxa"/>
              <w:bottom w:w="0" w:type="dxa"/>
              <w:right w:w="115" w:type="dxa"/>
            </w:tcMar>
          </w:tcPr>
          <w:p w14:paraId="0204C9E4" w14:textId="77777777" w:rsidR="00702FF2" w:rsidRPr="00FB77B2" w:rsidRDefault="00702FF2" w:rsidP="001F3F25">
            <w:pPr>
              <w:pStyle w:val="TableBody"/>
            </w:pPr>
          </w:p>
        </w:tc>
      </w:tr>
      <w:tr w:rsidR="00702FF2" w:rsidRPr="00FB77B2" w14:paraId="54538CDD" w14:textId="77777777" w:rsidTr="00A1233F">
        <w:tc>
          <w:tcPr>
            <w:tcW w:w="2664" w:type="dxa"/>
            <w:tcMar>
              <w:top w:w="0" w:type="dxa"/>
              <w:left w:w="115" w:type="dxa"/>
              <w:bottom w:w="0" w:type="dxa"/>
              <w:right w:w="115" w:type="dxa"/>
            </w:tcMar>
          </w:tcPr>
          <w:p w14:paraId="04E3BCE5" w14:textId="0DA33370" w:rsidR="00702FF2" w:rsidRPr="00E91FE1" w:rsidRDefault="005742DA" w:rsidP="00051189">
            <w:pPr>
              <w:pStyle w:val="TableBody"/>
              <w:ind w:left="288" w:hanging="288"/>
            </w:pPr>
            <w:r>
              <w:t>LO 13-</w:t>
            </w:r>
            <w:r w:rsidR="00702FF2" w:rsidRPr="00E91FE1">
              <w:t>2</w:t>
            </w:r>
            <w:r>
              <w:t xml:space="preserve"> </w:t>
            </w:r>
            <w:r w:rsidR="00E32366" w:rsidRPr="00E32366">
              <w:t>Use horizontal (trend) analys</w:t>
            </w:r>
            <w:r w:rsidR="00D432B2">
              <w:t>e</w:t>
            </w:r>
            <w:r w:rsidR="00E32366" w:rsidRPr="00E32366">
              <w:t>s to recognize financial changes that unfold over time.</w:t>
            </w:r>
          </w:p>
        </w:tc>
        <w:tc>
          <w:tcPr>
            <w:tcW w:w="1080" w:type="dxa"/>
            <w:tcMar>
              <w:top w:w="0" w:type="dxa"/>
              <w:left w:w="115" w:type="dxa"/>
              <w:bottom w:w="0" w:type="dxa"/>
              <w:right w:w="115" w:type="dxa"/>
            </w:tcMar>
          </w:tcPr>
          <w:p w14:paraId="2FD24964" w14:textId="77777777" w:rsidR="00702FF2" w:rsidRDefault="00E32366" w:rsidP="001F3F25">
            <w:pPr>
              <w:pStyle w:val="TableBody"/>
            </w:pPr>
            <w:r>
              <w:t>1</w:t>
            </w:r>
            <w:r w:rsidR="000F2143">
              <w:t>*</w:t>
            </w:r>
            <w:r w:rsidR="005742DA" w:rsidRPr="005742DA">
              <w:t>,</w:t>
            </w:r>
            <w:r>
              <w:t xml:space="preserve"> 6</w:t>
            </w:r>
            <w:r w:rsidR="000F2143">
              <w:t>*</w:t>
            </w:r>
          </w:p>
        </w:tc>
        <w:tc>
          <w:tcPr>
            <w:tcW w:w="1080" w:type="dxa"/>
            <w:tcMar>
              <w:top w:w="0" w:type="dxa"/>
              <w:left w:w="115" w:type="dxa"/>
              <w:bottom w:w="0" w:type="dxa"/>
              <w:right w:w="115" w:type="dxa"/>
            </w:tcMar>
          </w:tcPr>
          <w:p w14:paraId="3156525B" w14:textId="77777777" w:rsidR="00702FF2" w:rsidRDefault="00E32366" w:rsidP="001F3F25">
            <w:pPr>
              <w:pStyle w:val="TableBody"/>
            </w:pPr>
            <w:r>
              <w:t>1</w:t>
            </w:r>
            <w:r w:rsidR="000F2143">
              <w:t>*</w:t>
            </w:r>
            <w:r w:rsidR="005742DA" w:rsidRPr="005742DA">
              <w:t>,</w:t>
            </w:r>
            <w:r>
              <w:t xml:space="preserve"> 3</w:t>
            </w:r>
            <w:r w:rsidR="000F2143">
              <w:t>*</w:t>
            </w:r>
          </w:p>
        </w:tc>
        <w:tc>
          <w:tcPr>
            <w:tcW w:w="1080" w:type="dxa"/>
            <w:tcMar>
              <w:top w:w="0" w:type="dxa"/>
              <w:left w:w="115" w:type="dxa"/>
              <w:bottom w:w="0" w:type="dxa"/>
              <w:right w:w="115" w:type="dxa"/>
            </w:tcMar>
          </w:tcPr>
          <w:p w14:paraId="57A23583" w14:textId="77777777" w:rsidR="00702FF2" w:rsidRDefault="00E32366" w:rsidP="001F3F25">
            <w:pPr>
              <w:pStyle w:val="TableBody"/>
            </w:pPr>
            <w:r>
              <w:t>1</w:t>
            </w:r>
          </w:p>
        </w:tc>
        <w:tc>
          <w:tcPr>
            <w:tcW w:w="1080" w:type="dxa"/>
            <w:tcMar>
              <w:top w:w="0" w:type="dxa"/>
              <w:left w:w="115" w:type="dxa"/>
              <w:bottom w:w="0" w:type="dxa"/>
              <w:right w:w="115" w:type="dxa"/>
            </w:tcMar>
          </w:tcPr>
          <w:p w14:paraId="04EBD53C" w14:textId="77777777" w:rsidR="00702FF2" w:rsidRDefault="00E32366" w:rsidP="001F3F25">
            <w:pPr>
              <w:pStyle w:val="TableBody"/>
            </w:pPr>
            <w:r>
              <w:t>A1, B1</w:t>
            </w:r>
          </w:p>
        </w:tc>
        <w:tc>
          <w:tcPr>
            <w:tcW w:w="1296" w:type="dxa"/>
            <w:tcMar>
              <w:top w:w="0" w:type="dxa"/>
              <w:left w:w="115" w:type="dxa"/>
              <w:bottom w:w="0" w:type="dxa"/>
              <w:right w:w="115" w:type="dxa"/>
            </w:tcMar>
          </w:tcPr>
          <w:p w14:paraId="66600ED3" w14:textId="77777777" w:rsidR="00702FF2" w:rsidRDefault="001078A7" w:rsidP="001F3F25">
            <w:pPr>
              <w:pStyle w:val="TableBody"/>
            </w:pPr>
            <w:r>
              <w:t xml:space="preserve">3, </w:t>
            </w:r>
            <w:r w:rsidR="00E32366">
              <w:t>7</w:t>
            </w:r>
          </w:p>
        </w:tc>
        <w:tc>
          <w:tcPr>
            <w:tcW w:w="1080" w:type="dxa"/>
            <w:tcMar>
              <w:top w:w="0" w:type="dxa"/>
              <w:left w:w="115" w:type="dxa"/>
              <w:bottom w:w="0" w:type="dxa"/>
              <w:right w:w="115" w:type="dxa"/>
            </w:tcMar>
          </w:tcPr>
          <w:p w14:paraId="0E259F0E" w14:textId="77777777" w:rsidR="00702FF2" w:rsidRPr="00FB77B2" w:rsidRDefault="00702FF2" w:rsidP="001F3F25">
            <w:pPr>
              <w:pStyle w:val="TableBody"/>
            </w:pPr>
          </w:p>
        </w:tc>
      </w:tr>
      <w:tr w:rsidR="00702FF2" w:rsidRPr="00FB77B2" w14:paraId="63B93D43" w14:textId="77777777" w:rsidTr="00A1233F">
        <w:tc>
          <w:tcPr>
            <w:tcW w:w="2664" w:type="dxa"/>
            <w:tcMar>
              <w:top w:w="0" w:type="dxa"/>
              <w:left w:w="115" w:type="dxa"/>
              <w:bottom w:w="0" w:type="dxa"/>
              <w:right w:w="115" w:type="dxa"/>
            </w:tcMar>
          </w:tcPr>
          <w:p w14:paraId="244FDDA4" w14:textId="48F8FF91" w:rsidR="00702FF2" w:rsidRPr="00E91FE1" w:rsidRDefault="005742DA" w:rsidP="00051189">
            <w:pPr>
              <w:pStyle w:val="TableBody"/>
              <w:ind w:left="288" w:hanging="288"/>
            </w:pPr>
            <w:r>
              <w:t>LO 13-</w:t>
            </w:r>
            <w:r w:rsidR="00702FF2">
              <w:t>3</w:t>
            </w:r>
            <w:r>
              <w:t xml:space="preserve"> </w:t>
            </w:r>
            <w:r w:rsidR="00E32366" w:rsidRPr="00E32366">
              <w:t>Use vertical (common size) analys</w:t>
            </w:r>
            <w:r w:rsidR="00D432B2">
              <w:t>e</w:t>
            </w:r>
            <w:r w:rsidR="00E32366" w:rsidRPr="00E32366">
              <w:t>s to understand important relationships within financial statements.</w:t>
            </w:r>
          </w:p>
        </w:tc>
        <w:tc>
          <w:tcPr>
            <w:tcW w:w="1080" w:type="dxa"/>
            <w:tcMar>
              <w:top w:w="0" w:type="dxa"/>
              <w:left w:w="115" w:type="dxa"/>
              <w:bottom w:w="0" w:type="dxa"/>
              <w:right w:w="115" w:type="dxa"/>
            </w:tcMar>
          </w:tcPr>
          <w:p w14:paraId="26F6B0E0" w14:textId="77777777" w:rsidR="00702FF2" w:rsidRDefault="00E32366" w:rsidP="001F3F25">
            <w:pPr>
              <w:pStyle w:val="TableBody"/>
            </w:pPr>
            <w:r>
              <w:t>2</w:t>
            </w:r>
            <w:r w:rsidR="000F2143">
              <w:t>*</w:t>
            </w:r>
          </w:p>
        </w:tc>
        <w:tc>
          <w:tcPr>
            <w:tcW w:w="1080" w:type="dxa"/>
            <w:tcMar>
              <w:top w:w="0" w:type="dxa"/>
              <w:left w:w="115" w:type="dxa"/>
              <w:bottom w:w="0" w:type="dxa"/>
              <w:right w:w="115" w:type="dxa"/>
            </w:tcMar>
          </w:tcPr>
          <w:p w14:paraId="60EC421D" w14:textId="77777777" w:rsidR="00702FF2" w:rsidRDefault="00E32366" w:rsidP="001F3F25">
            <w:pPr>
              <w:pStyle w:val="TableBody"/>
            </w:pPr>
            <w:r>
              <w:t>1</w:t>
            </w:r>
            <w:r w:rsidR="000F2143">
              <w:t>*</w:t>
            </w:r>
            <w:r w:rsidR="005742DA" w:rsidRPr="005742DA">
              <w:t>,</w:t>
            </w:r>
            <w:r>
              <w:t xml:space="preserve"> 3</w:t>
            </w:r>
            <w:r w:rsidR="000F2143">
              <w:t>*</w:t>
            </w:r>
          </w:p>
        </w:tc>
        <w:tc>
          <w:tcPr>
            <w:tcW w:w="1080" w:type="dxa"/>
            <w:tcMar>
              <w:top w:w="0" w:type="dxa"/>
              <w:left w:w="115" w:type="dxa"/>
              <w:bottom w:w="0" w:type="dxa"/>
              <w:right w:w="115" w:type="dxa"/>
            </w:tcMar>
          </w:tcPr>
          <w:p w14:paraId="62B129FA" w14:textId="77777777" w:rsidR="00702FF2" w:rsidRDefault="00E32366" w:rsidP="001F3F25">
            <w:pPr>
              <w:pStyle w:val="TableBody"/>
            </w:pPr>
            <w:r>
              <w:t>3, 4</w:t>
            </w:r>
          </w:p>
        </w:tc>
        <w:tc>
          <w:tcPr>
            <w:tcW w:w="1080" w:type="dxa"/>
            <w:tcMar>
              <w:top w:w="0" w:type="dxa"/>
              <w:left w:w="115" w:type="dxa"/>
              <w:bottom w:w="0" w:type="dxa"/>
              <w:right w:w="115" w:type="dxa"/>
            </w:tcMar>
          </w:tcPr>
          <w:p w14:paraId="41A434AF" w14:textId="77777777" w:rsidR="00702FF2" w:rsidRDefault="00E32366" w:rsidP="001F3F25">
            <w:pPr>
              <w:pStyle w:val="TableBody"/>
            </w:pPr>
            <w:r>
              <w:t>A3, A4, B3, B4</w:t>
            </w:r>
          </w:p>
        </w:tc>
        <w:tc>
          <w:tcPr>
            <w:tcW w:w="1296" w:type="dxa"/>
            <w:tcMar>
              <w:top w:w="0" w:type="dxa"/>
              <w:left w:w="115" w:type="dxa"/>
              <w:bottom w:w="0" w:type="dxa"/>
              <w:right w:w="115" w:type="dxa"/>
            </w:tcMar>
          </w:tcPr>
          <w:p w14:paraId="538607BF" w14:textId="77777777" w:rsidR="00702FF2" w:rsidRDefault="001078A7" w:rsidP="001F3F25">
            <w:pPr>
              <w:pStyle w:val="TableBody"/>
            </w:pPr>
            <w:r>
              <w:t xml:space="preserve">3, </w:t>
            </w:r>
            <w:r w:rsidR="00E32366">
              <w:t>7</w:t>
            </w:r>
          </w:p>
        </w:tc>
        <w:tc>
          <w:tcPr>
            <w:tcW w:w="1080" w:type="dxa"/>
            <w:tcMar>
              <w:top w:w="0" w:type="dxa"/>
              <w:left w:w="115" w:type="dxa"/>
              <w:bottom w:w="0" w:type="dxa"/>
              <w:right w:w="115" w:type="dxa"/>
            </w:tcMar>
          </w:tcPr>
          <w:p w14:paraId="57E412FC" w14:textId="77777777" w:rsidR="00702FF2" w:rsidRPr="00FB77B2" w:rsidRDefault="00702FF2" w:rsidP="001F3F25">
            <w:pPr>
              <w:pStyle w:val="TableBody"/>
            </w:pPr>
          </w:p>
        </w:tc>
      </w:tr>
      <w:tr w:rsidR="00702FF2" w:rsidRPr="00FB77B2" w14:paraId="33A6026F" w14:textId="77777777" w:rsidTr="00A1233F">
        <w:tc>
          <w:tcPr>
            <w:tcW w:w="2664" w:type="dxa"/>
            <w:tcMar>
              <w:top w:w="0" w:type="dxa"/>
              <w:left w:w="115" w:type="dxa"/>
              <w:bottom w:w="0" w:type="dxa"/>
              <w:right w:w="115" w:type="dxa"/>
            </w:tcMar>
          </w:tcPr>
          <w:p w14:paraId="54702CDF" w14:textId="13713A24" w:rsidR="00702FF2" w:rsidRPr="00E91FE1" w:rsidRDefault="005742DA" w:rsidP="00051189">
            <w:pPr>
              <w:pStyle w:val="TableBody"/>
              <w:ind w:left="288" w:hanging="288"/>
            </w:pPr>
            <w:r>
              <w:t>LO 13-</w:t>
            </w:r>
            <w:r w:rsidR="00702FF2">
              <w:t>4</w:t>
            </w:r>
            <w:r>
              <w:t xml:space="preserve"> </w:t>
            </w:r>
            <w:r w:rsidR="00E32366" w:rsidRPr="00E32366">
              <w:t>Calculate financial ratios to assess profitability, liquidity, and solvency</w:t>
            </w:r>
            <w:r w:rsidR="00702FF2" w:rsidRPr="00905C96">
              <w:t>.</w:t>
            </w:r>
          </w:p>
        </w:tc>
        <w:tc>
          <w:tcPr>
            <w:tcW w:w="1080" w:type="dxa"/>
            <w:tcMar>
              <w:top w:w="0" w:type="dxa"/>
              <w:left w:w="115" w:type="dxa"/>
              <w:bottom w:w="0" w:type="dxa"/>
              <w:right w:w="115" w:type="dxa"/>
            </w:tcMar>
          </w:tcPr>
          <w:p w14:paraId="6E7658AD" w14:textId="77777777" w:rsidR="00702FF2" w:rsidRDefault="00E32366" w:rsidP="001F3F25">
            <w:pPr>
              <w:pStyle w:val="TableBody"/>
            </w:pPr>
            <w:r>
              <w:t>5, 6</w:t>
            </w:r>
            <w:r w:rsidR="000F2143">
              <w:t>*</w:t>
            </w:r>
            <w:r w:rsidR="005742DA" w:rsidRPr="005742DA">
              <w:t>,</w:t>
            </w:r>
            <w:r>
              <w:t xml:space="preserve"> 7, 8, 9, 10</w:t>
            </w:r>
            <w:r w:rsidR="001078A7">
              <w:t>^</w:t>
            </w:r>
            <w:r w:rsidR="00173A7F">
              <w:t>, 11, 12</w:t>
            </w:r>
          </w:p>
        </w:tc>
        <w:tc>
          <w:tcPr>
            <w:tcW w:w="1080" w:type="dxa"/>
            <w:tcMar>
              <w:top w:w="0" w:type="dxa"/>
              <w:left w:w="115" w:type="dxa"/>
              <w:bottom w:w="0" w:type="dxa"/>
              <w:right w:w="115" w:type="dxa"/>
            </w:tcMar>
          </w:tcPr>
          <w:p w14:paraId="4D34D3BE" w14:textId="77777777" w:rsidR="00702FF2" w:rsidRDefault="00E32366" w:rsidP="001F3F25">
            <w:pPr>
              <w:pStyle w:val="TableBody"/>
            </w:pPr>
            <w:r>
              <w:t>2, 4</w:t>
            </w:r>
            <w:r w:rsidR="000F2143">
              <w:t>*</w:t>
            </w:r>
            <w:r w:rsidR="005742DA" w:rsidRPr="005742DA">
              <w:t>,</w:t>
            </w:r>
            <w:r>
              <w:t xml:space="preserve"> 5, 6, 7, 8, 9, 10</w:t>
            </w:r>
            <w:r w:rsidR="000F2143">
              <w:t>*</w:t>
            </w:r>
            <w:r w:rsidR="001078A7">
              <w:t>^</w:t>
            </w:r>
            <w:r w:rsidR="005742DA" w:rsidRPr="005742DA">
              <w:t>,</w:t>
            </w:r>
            <w:r>
              <w:t xml:space="preserve"> 11, 12, 13</w:t>
            </w:r>
            <w:r w:rsidR="000F2143">
              <w:t>*</w:t>
            </w:r>
            <w:r w:rsidR="005742DA" w:rsidRPr="005742DA">
              <w:t>,</w:t>
            </w:r>
            <w:r>
              <w:t xml:space="preserve"> 14</w:t>
            </w:r>
          </w:p>
        </w:tc>
        <w:tc>
          <w:tcPr>
            <w:tcW w:w="1080" w:type="dxa"/>
            <w:tcMar>
              <w:top w:w="0" w:type="dxa"/>
              <w:left w:w="115" w:type="dxa"/>
              <w:bottom w:w="0" w:type="dxa"/>
              <w:right w:w="115" w:type="dxa"/>
            </w:tcMar>
          </w:tcPr>
          <w:p w14:paraId="7EABF344" w14:textId="77777777" w:rsidR="00702FF2" w:rsidRDefault="00E32366" w:rsidP="001F3F25">
            <w:pPr>
              <w:pStyle w:val="TableBody"/>
            </w:pPr>
            <w:r>
              <w:t>2, 5, 6</w:t>
            </w:r>
          </w:p>
        </w:tc>
        <w:tc>
          <w:tcPr>
            <w:tcW w:w="1080" w:type="dxa"/>
            <w:tcMar>
              <w:top w:w="0" w:type="dxa"/>
              <w:left w:w="115" w:type="dxa"/>
              <w:bottom w:w="0" w:type="dxa"/>
              <w:right w:w="115" w:type="dxa"/>
            </w:tcMar>
          </w:tcPr>
          <w:p w14:paraId="25A07057" w14:textId="77777777" w:rsidR="00702FF2" w:rsidRDefault="00E32366" w:rsidP="001F3F25">
            <w:pPr>
              <w:pStyle w:val="TableBody"/>
            </w:pPr>
            <w:r>
              <w:t>A2, A5, A6, B1, B2, B5, B6</w:t>
            </w:r>
          </w:p>
        </w:tc>
        <w:tc>
          <w:tcPr>
            <w:tcW w:w="1296" w:type="dxa"/>
            <w:tcMar>
              <w:top w:w="0" w:type="dxa"/>
              <w:left w:w="115" w:type="dxa"/>
              <w:bottom w:w="0" w:type="dxa"/>
              <w:right w:w="115" w:type="dxa"/>
            </w:tcMar>
          </w:tcPr>
          <w:p w14:paraId="17027E2B" w14:textId="77777777" w:rsidR="00702FF2" w:rsidRDefault="00E32366" w:rsidP="001F3F25">
            <w:pPr>
              <w:pStyle w:val="TableBody"/>
            </w:pPr>
            <w:r>
              <w:t>1, 3, 5, 6</w:t>
            </w:r>
          </w:p>
        </w:tc>
        <w:tc>
          <w:tcPr>
            <w:tcW w:w="1080" w:type="dxa"/>
            <w:tcMar>
              <w:top w:w="0" w:type="dxa"/>
              <w:left w:w="115" w:type="dxa"/>
              <w:bottom w:w="0" w:type="dxa"/>
              <w:right w:w="115" w:type="dxa"/>
            </w:tcMar>
          </w:tcPr>
          <w:p w14:paraId="55AEF2D0" w14:textId="77777777" w:rsidR="00702FF2" w:rsidRPr="00FB77B2" w:rsidRDefault="00E32366" w:rsidP="001078A7">
            <w:pPr>
              <w:pStyle w:val="TableBody"/>
            </w:pPr>
            <w:r>
              <w:rPr>
                <w:szCs w:val="22"/>
              </w:rPr>
              <w:t>1</w:t>
            </w:r>
            <w:r w:rsidRPr="00E32366">
              <w:rPr>
                <w:szCs w:val="22"/>
              </w:rPr>
              <w:t>†</w:t>
            </w:r>
          </w:p>
        </w:tc>
      </w:tr>
      <w:tr w:rsidR="00E32366" w:rsidRPr="00FB77B2" w14:paraId="44E35A80" w14:textId="77777777" w:rsidTr="00A1233F">
        <w:tc>
          <w:tcPr>
            <w:tcW w:w="2664" w:type="dxa"/>
            <w:tcMar>
              <w:top w:w="0" w:type="dxa"/>
              <w:left w:w="115" w:type="dxa"/>
              <w:bottom w:w="0" w:type="dxa"/>
              <w:right w:w="115" w:type="dxa"/>
            </w:tcMar>
          </w:tcPr>
          <w:p w14:paraId="02B8333F" w14:textId="79D03018" w:rsidR="00E32366" w:rsidRDefault="005742DA" w:rsidP="00051189">
            <w:pPr>
              <w:pStyle w:val="TableBody"/>
              <w:ind w:left="288" w:hanging="288"/>
            </w:pPr>
            <w:r>
              <w:t xml:space="preserve">LO 13-5 </w:t>
            </w:r>
            <w:r w:rsidR="00E32366" w:rsidRPr="00E32366">
              <w:t>Interpret the results of financial analyses.</w:t>
            </w:r>
          </w:p>
        </w:tc>
        <w:tc>
          <w:tcPr>
            <w:tcW w:w="1080" w:type="dxa"/>
            <w:tcMar>
              <w:top w:w="0" w:type="dxa"/>
              <w:left w:w="115" w:type="dxa"/>
              <w:bottom w:w="0" w:type="dxa"/>
              <w:right w:w="115" w:type="dxa"/>
            </w:tcMar>
          </w:tcPr>
          <w:p w14:paraId="6F929FF9" w14:textId="77777777" w:rsidR="00E32366" w:rsidRDefault="00E32366" w:rsidP="001F3F25">
            <w:pPr>
              <w:pStyle w:val="TableBody"/>
            </w:pPr>
            <w:r>
              <w:t>3, 4, 8, 11, 12</w:t>
            </w:r>
          </w:p>
        </w:tc>
        <w:tc>
          <w:tcPr>
            <w:tcW w:w="1080" w:type="dxa"/>
            <w:tcMar>
              <w:top w:w="0" w:type="dxa"/>
              <w:left w:w="115" w:type="dxa"/>
              <w:bottom w:w="0" w:type="dxa"/>
              <w:right w:w="115" w:type="dxa"/>
            </w:tcMar>
          </w:tcPr>
          <w:p w14:paraId="670FF41D" w14:textId="77777777" w:rsidR="00E32366" w:rsidRDefault="001078A7" w:rsidP="00AB00C1">
            <w:pPr>
              <w:pStyle w:val="TableBody"/>
            </w:pPr>
            <w:r>
              <w:t>1</w:t>
            </w:r>
            <w:r w:rsidR="008123FC">
              <w:t>*</w:t>
            </w:r>
            <w:r>
              <w:t>, 2, 3</w:t>
            </w:r>
            <w:r w:rsidR="001F2D21">
              <w:t>*</w:t>
            </w:r>
            <w:r>
              <w:t>, 4</w:t>
            </w:r>
            <w:r w:rsidR="001F2D21">
              <w:t>*</w:t>
            </w:r>
            <w:r>
              <w:t>, 5, 7, 8, 9, 10</w:t>
            </w:r>
            <w:r w:rsidR="000F2143">
              <w:t>*</w:t>
            </w:r>
            <w:r>
              <w:t xml:space="preserve">^, 11, </w:t>
            </w:r>
            <w:r w:rsidR="00AB00C1">
              <w:t>1</w:t>
            </w:r>
            <w:r>
              <w:t>2, 13</w:t>
            </w:r>
            <w:r w:rsidR="000F2143">
              <w:t>*</w:t>
            </w:r>
            <w:r>
              <w:t>, 14</w:t>
            </w:r>
          </w:p>
        </w:tc>
        <w:tc>
          <w:tcPr>
            <w:tcW w:w="1080" w:type="dxa"/>
            <w:tcMar>
              <w:top w:w="0" w:type="dxa"/>
              <w:left w:w="115" w:type="dxa"/>
              <w:bottom w:w="0" w:type="dxa"/>
              <w:right w:w="115" w:type="dxa"/>
            </w:tcMar>
          </w:tcPr>
          <w:p w14:paraId="6A14F997" w14:textId="77777777" w:rsidR="00E32366" w:rsidRDefault="00E32366" w:rsidP="001F3F25">
            <w:pPr>
              <w:pStyle w:val="TableBody"/>
            </w:pPr>
            <w:r>
              <w:t>1, 2, 3, 4, 5, 6, 7</w:t>
            </w:r>
          </w:p>
        </w:tc>
        <w:tc>
          <w:tcPr>
            <w:tcW w:w="1080" w:type="dxa"/>
            <w:tcMar>
              <w:top w:w="0" w:type="dxa"/>
              <w:left w:w="115" w:type="dxa"/>
              <w:bottom w:w="0" w:type="dxa"/>
              <w:right w:w="115" w:type="dxa"/>
            </w:tcMar>
          </w:tcPr>
          <w:p w14:paraId="41B7F5C4" w14:textId="77777777" w:rsidR="00E32366" w:rsidRDefault="00E32366" w:rsidP="001F3F25">
            <w:pPr>
              <w:pStyle w:val="TableBody"/>
            </w:pPr>
            <w:r>
              <w:t>A1, A2, A3, A4, A5, A6, A7, B1, B2, B3, B4, B5, B6, B7</w:t>
            </w:r>
          </w:p>
        </w:tc>
        <w:tc>
          <w:tcPr>
            <w:tcW w:w="1296" w:type="dxa"/>
            <w:tcMar>
              <w:top w:w="0" w:type="dxa"/>
              <w:left w:w="115" w:type="dxa"/>
              <w:bottom w:w="0" w:type="dxa"/>
              <w:right w:w="115" w:type="dxa"/>
            </w:tcMar>
          </w:tcPr>
          <w:p w14:paraId="495C26DC" w14:textId="77777777" w:rsidR="00E32366" w:rsidRDefault="00E32366" w:rsidP="001F3F25">
            <w:pPr>
              <w:pStyle w:val="TableBody"/>
            </w:pPr>
            <w:r>
              <w:t>2, 3, 5, 6</w:t>
            </w:r>
          </w:p>
        </w:tc>
        <w:tc>
          <w:tcPr>
            <w:tcW w:w="1080" w:type="dxa"/>
            <w:tcMar>
              <w:top w:w="0" w:type="dxa"/>
              <w:left w:w="115" w:type="dxa"/>
              <w:bottom w:w="0" w:type="dxa"/>
              <w:right w:w="115" w:type="dxa"/>
            </w:tcMar>
          </w:tcPr>
          <w:p w14:paraId="6F4BAAC6" w14:textId="77777777" w:rsidR="00E32366" w:rsidRPr="00FB77B2" w:rsidRDefault="00E32366" w:rsidP="001078A7">
            <w:pPr>
              <w:pStyle w:val="TableBody"/>
            </w:pPr>
            <w:r>
              <w:rPr>
                <w:szCs w:val="22"/>
              </w:rPr>
              <w:t>1</w:t>
            </w:r>
            <w:r w:rsidRPr="00E32366">
              <w:rPr>
                <w:szCs w:val="22"/>
              </w:rPr>
              <w:t>†</w:t>
            </w:r>
          </w:p>
        </w:tc>
      </w:tr>
      <w:tr w:rsidR="00E32366" w:rsidRPr="00FB77B2" w14:paraId="69CE35B2" w14:textId="77777777" w:rsidTr="00A1233F">
        <w:tc>
          <w:tcPr>
            <w:tcW w:w="2664" w:type="dxa"/>
            <w:tcMar>
              <w:top w:w="0" w:type="dxa"/>
              <w:left w:w="115" w:type="dxa"/>
              <w:bottom w:w="0" w:type="dxa"/>
              <w:right w:w="115" w:type="dxa"/>
            </w:tcMar>
          </w:tcPr>
          <w:p w14:paraId="6113C1FB" w14:textId="42D211B0" w:rsidR="00E32366" w:rsidRDefault="005742DA" w:rsidP="00051189">
            <w:pPr>
              <w:pStyle w:val="TableBody"/>
              <w:ind w:left="288" w:hanging="288"/>
            </w:pPr>
            <w:r>
              <w:t>LO 13-</w:t>
            </w:r>
            <w:r w:rsidR="00E32366">
              <w:t>6</w:t>
            </w:r>
            <w:r>
              <w:t xml:space="preserve"> </w:t>
            </w:r>
            <w:r w:rsidR="00E32366" w:rsidRPr="00E32366">
              <w:t>Describe how analyses depend on key accounting decisions</w:t>
            </w:r>
            <w:r w:rsidR="00E32366">
              <w:t xml:space="preserve"> </w:t>
            </w:r>
            <w:r w:rsidR="00E32366" w:rsidRPr="00E32366">
              <w:t>and concepts.</w:t>
            </w:r>
          </w:p>
        </w:tc>
        <w:tc>
          <w:tcPr>
            <w:tcW w:w="1080" w:type="dxa"/>
            <w:tcMar>
              <w:top w:w="0" w:type="dxa"/>
              <w:left w:w="115" w:type="dxa"/>
              <w:bottom w:w="0" w:type="dxa"/>
              <w:right w:w="115" w:type="dxa"/>
            </w:tcMar>
          </w:tcPr>
          <w:p w14:paraId="4E05A016" w14:textId="77777777" w:rsidR="00E32366" w:rsidRDefault="00E32366" w:rsidP="001078A7">
            <w:pPr>
              <w:pStyle w:val="TableBody"/>
            </w:pPr>
            <w:r>
              <w:t>13, 14</w:t>
            </w:r>
          </w:p>
        </w:tc>
        <w:tc>
          <w:tcPr>
            <w:tcW w:w="1080" w:type="dxa"/>
            <w:tcMar>
              <w:top w:w="0" w:type="dxa"/>
              <w:left w:w="115" w:type="dxa"/>
              <w:bottom w:w="0" w:type="dxa"/>
              <w:right w:w="115" w:type="dxa"/>
            </w:tcMar>
          </w:tcPr>
          <w:p w14:paraId="48DB4708" w14:textId="77777777" w:rsidR="00E32366" w:rsidRDefault="00E32366" w:rsidP="001F3F25">
            <w:pPr>
              <w:pStyle w:val="TableBody"/>
            </w:pPr>
            <w:r>
              <w:t>15</w:t>
            </w:r>
          </w:p>
        </w:tc>
        <w:tc>
          <w:tcPr>
            <w:tcW w:w="1080" w:type="dxa"/>
            <w:tcMar>
              <w:top w:w="0" w:type="dxa"/>
              <w:left w:w="115" w:type="dxa"/>
              <w:bottom w:w="0" w:type="dxa"/>
              <w:right w:w="115" w:type="dxa"/>
            </w:tcMar>
          </w:tcPr>
          <w:p w14:paraId="1F40CBFC" w14:textId="77777777" w:rsidR="00E32366" w:rsidRDefault="00E32366" w:rsidP="001F3F25">
            <w:pPr>
              <w:pStyle w:val="TableBody"/>
            </w:pPr>
            <w:r>
              <w:t>6</w:t>
            </w:r>
          </w:p>
        </w:tc>
        <w:tc>
          <w:tcPr>
            <w:tcW w:w="1080" w:type="dxa"/>
            <w:tcMar>
              <w:top w:w="0" w:type="dxa"/>
              <w:left w:w="115" w:type="dxa"/>
              <w:bottom w:w="0" w:type="dxa"/>
              <w:right w:w="115" w:type="dxa"/>
            </w:tcMar>
          </w:tcPr>
          <w:p w14:paraId="13DE405E" w14:textId="77777777" w:rsidR="00E32366" w:rsidRDefault="00E32366" w:rsidP="001F3F25">
            <w:pPr>
              <w:pStyle w:val="TableBody"/>
            </w:pPr>
            <w:r>
              <w:t>A6, B</w:t>
            </w:r>
            <w:r w:rsidR="001078A7">
              <w:t>6</w:t>
            </w:r>
          </w:p>
        </w:tc>
        <w:tc>
          <w:tcPr>
            <w:tcW w:w="1296" w:type="dxa"/>
            <w:tcMar>
              <w:top w:w="0" w:type="dxa"/>
              <w:left w:w="115" w:type="dxa"/>
              <w:bottom w:w="0" w:type="dxa"/>
              <w:right w:w="115" w:type="dxa"/>
            </w:tcMar>
          </w:tcPr>
          <w:p w14:paraId="50580401" w14:textId="77777777" w:rsidR="00E32366" w:rsidRDefault="00E32366" w:rsidP="001F3F25">
            <w:pPr>
              <w:pStyle w:val="TableBody"/>
            </w:pPr>
            <w:r>
              <w:t>3, 4, 6</w:t>
            </w:r>
          </w:p>
        </w:tc>
        <w:tc>
          <w:tcPr>
            <w:tcW w:w="1080" w:type="dxa"/>
            <w:tcMar>
              <w:top w:w="0" w:type="dxa"/>
              <w:left w:w="115" w:type="dxa"/>
              <w:bottom w:w="0" w:type="dxa"/>
              <w:right w:w="115" w:type="dxa"/>
            </w:tcMar>
          </w:tcPr>
          <w:p w14:paraId="5B9E7A7F" w14:textId="77777777" w:rsidR="00E32366" w:rsidRPr="00FB77B2" w:rsidRDefault="00E32366" w:rsidP="001F3F25">
            <w:pPr>
              <w:pStyle w:val="TableBody"/>
            </w:pPr>
          </w:p>
        </w:tc>
      </w:tr>
      <w:tr w:rsidR="00702FF2" w:rsidRPr="00FB77B2" w14:paraId="6B1D73E4" w14:textId="77777777" w:rsidTr="00A1233F">
        <w:tc>
          <w:tcPr>
            <w:tcW w:w="2664" w:type="dxa"/>
            <w:tcMar>
              <w:top w:w="0" w:type="dxa"/>
              <w:left w:w="115" w:type="dxa"/>
              <w:bottom w:w="0" w:type="dxa"/>
              <w:right w:w="115" w:type="dxa"/>
            </w:tcMar>
          </w:tcPr>
          <w:p w14:paraId="26EEEC85" w14:textId="0FFD6847" w:rsidR="00702FF2" w:rsidRDefault="005742DA" w:rsidP="00051189">
            <w:pPr>
              <w:pStyle w:val="TableBody"/>
              <w:ind w:left="288" w:hanging="288"/>
            </w:pPr>
            <w:r>
              <w:t xml:space="preserve">LO </w:t>
            </w:r>
            <w:r w:rsidR="00E32366">
              <w:t>13</w:t>
            </w:r>
            <w:r>
              <w:t xml:space="preserve">-S1 </w:t>
            </w:r>
            <w:r w:rsidRPr="005742DA">
              <w:t>Describe how nonrecurring and other comprehensive income</w:t>
            </w:r>
            <w:r>
              <w:t xml:space="preserve"> </w:t>
            </w:r>
            <w:r w:rsidRPr="005742DA">
              <w:t>items are reported.</w:t>
            </w:r>
          </w:p>
        </w:tc>
        <w:tc>
          <w:tcPr>
            <w:tcW w:w="1080" w:type="dxa"/>
            <w:tcMar>
              <w:top w:w="0" w:type="dxa"/>
              <w:left w:w="115" w:type="dxa"/>
              <w:bottom w:w="0" w:type="dxa"/>
              <w:right w:w="115" w:type="dxa"/>
            </w:tcMar>
          </w:tcPr>
          <w:p w14:paraId="36F471A6" w14:textId="77777777" w:rsidR="00702FF2" w:rsidRDefault="00702FF2" w:rsidP="001F3F25">
            <w:pPr>
              <w:pStyle w:val="TableBody"/>
            </w:pPr>
          </w:p>
        </w:tc>
        <w:tc>
          <w:tcPr>
            <w:tcW w:w="1080" w:type="dxa"/>
            <w:tcMar>
              <w:top w:w="0" w:type="dxa"/>
              <w:left w:w="115" w:type="dxa"/>
              <w:bottom w:w="0" w:type="dxa"/>
              <w:right w:w="115" w:type="dxa"/>
            </w:tcMar>
          </w:tcPr>
          <w:p w14:paraId="5AB8C425" w14:textId="77777777" w:rsidR="00702FF2" w:rsidRDefault="00702FF2" w:rsidP="001F3F25">
            <w:pPr>
              <w:pStyle w:val="TableBody"/>
            </w:pPr>
          </w:p>
        </w:tc>
        <w:tc>
          <w:tcPr>
            <w:tcW w:w="1080" w:type="dxa"/>
            <w:tcMar>
              <w:top w:w="0" w:type="dxa"/>
              <w:left w:w="115" w:type="dxa"/>
              <w:bottom w:w="0" w:type="dxa"/>
              <w:right w:w="115" w:type="dxa"/>
            </w:tcMar>
          </w:tcPr>
          <w:p w14:paraId="7D49AD48" w14:textId="77777777" w:rsidR="00702FF2" w:rsidRDefault="00702FF2" w:rsidP="001F3F25">
            <w:pPr>
              <w:pStyle w:val="TableBody"/>
            </w:pPr>
          </w:p>
        </w:tc>
        <w:tc>
          <w:tcPr>
            <w:tcW w:w="1080" w:type="dxa"/>
            <w:tcMar>
              <w:top w:w="0" w:type="dxa"/>
              <w:left w:w="115" w:type="dxa"/>
              <w:bottom w:w="0" w:type="dxa"/>
              <w:right w:w="115" w:type="dxa"/>
            </w:tcMar>
          </w:tcPr>
          <w:p w14:paraId="0E89AE4D" w14:textId="77777777" w:rsidR="00702FF2" w:rsidRDefault="00702FF2" w:rsidP="001F3F25">
            <w:pPr>
              <w:pStyle w:val="TableBody"/>
            </w:pPr>
          </w:p>
        </w:tc>
        <w:tc>
          <w:tcPr>
            <w:tcW w:w="1296" w:type="dxa"/>
            <w:tcMar>
              <w:top w:w="0" w:type="dxa"/>
              <w:left w:w="115" w:type="dxa"/>
              <w:bottom w:w="0" w:type="dxa"/>
              <w:right w:w="115" w:type="dxa"/>
            </w:tcMar>
          </w:tcPr>
          <w:p w14:paraId="52F07F49" w14:textId="77777777" w:rsidR="00702FF2" w:rsidRDefault="00702FF2" w:rsidP="001F3F25">
            <w:pPr>
              <w:pStyle w:val="TableBody"/>
            </w:pPr>
          </w:p>
        </w:tc>
        <w:tc>
          <w:tcPr>
            <w:tcW w:w="1080" w:type="dxa"/>
            <w:tcMar>
              <w:top w:w="0" w:type="dxa"/>
              <w:left w:w="115" w:type="dxa"/>
              <w:bottom w:w="0" w:type="dxa"/>
              <w:right w:w="115" w:type="dxa"/>
            </w:tcMar>
          </w:tcPr>
          <w:p w14:paraId="6F500003" w14:textId="77777777" w:rsidR="00702FF2" w:rsidRPr="00FB77B2" w:rsidRDefault="00702FF2" w:rsidP="001F3F25">
            <w:pPr>
              <w:pStyle w:val="TableBody"/>
            </w:pPr>
          </w:p>
        </w:tc>
      </w:tr>
      <w:tr w:rsidR="00E32366" w:rsidRPr="00FB77B2" w14:paraId="1667267D" w14:textId="77777777" w:rsidTr="00A1233F">
        <w:tc>
          <w:tcPr>
            <w:tcW w:w="2664" w:type="dxa"/>
            <w:tcMar>
              <w:top w:w="0" w:type="dxa"/>
              <w:left w:w="115" w:type="dxa"/>
              <w:bottom w:w="0" w:type="dxa"/>
              <w:right w:w="115" w:type="dxa"/>
            </w:tcMar>
          </w:tcPr>
          <w:p w14:paraId="63F3D4F5" w14:textId="07962F62" w:rsidR="00E32366" w:rsidRDefault="005742DA" w:rsidP="00051189">
            <w:pPr>
              <w:pStyle w:val="TableBody"/>
              <w:ind w:left="288" w:hanging="288"/>
            </w:pPr>
            <w:r>
              <w:t xml:space="preserve">LO 13-S2 </w:t>
            </w:r>
            <w:r w:rsidRPr="005742DA">
              <w:t>Describe significant differences between GAAP and IFRS.</w:t>
            </w:r>
          </w:p>
        </w:tc>
        <w:tc>
          <w:tcPr>
            <w:tcW w:w="1080" w:type="dxa"/>
            <w:tcMar>
              <w:top w:w="0" w:type="dxa"/>
              <w:left w:w="115" w:type="dxa"/>
              <w:bottom w:w="0" w:type="dxa"/>
              <w:right w:w="115" w:type="dxa"/>
            </w:tcMar>
          </w:tcPr>
          <w:p w14:paraId="1C3DA0D5" w14:textId="77777777" w:rsidR="00E32366" w:rsidRDefault="00E32366" w:rsidP="001F3F25">
            <w:pPr>
              <w:pStyle w:val="TableBody"/>
            </w:pPr>
          </w:p>
        </w:tc>
        <w:tc>
          <w:tcPr>
            <w:tcW w:w="1080" w:type="dxa"/>
            <w:tcMar>
              <w:top w:w="0" w:type="dxa"/>
              <w:left w:w="115" w:type="dxa"/>
              <w:bottom w:w="0" w:type="dxa"/>
              <w:right w:w="115" w:type="dxa"/>
            </w:tcMar>
          </w:tcPr>
          <w:p w14:paraId="034FDF74" w14:textId="77777777" w:rsidR="00E32366" w:rsidRDefault="00E32366" w:rsidP="001F3F25">
            <w:pPr>
              <w:pStyle w:val="TableBody"/>
            </w:pPr>
          </w:p>
        </w:tc>
        <w:tc>
          <w:tcPr>
            <w:tcW w:w="1080" w:type="dxa"/>
            <w:tcMar>
              <w:top w:w="0" w:type="dxa"/>
              <w:left w:w="115" w:type="dxa"/>
              <w:bottom w:w="0" w:type="dxa"/>
              <w:right w:w="115" w:type="dxa"/>
            </w:tcMar>
          </w:tcPr>
          <w:p w14:paraId="2A3C10FA" w14:textId="77777777" w:rsidR="00E32366" w:rsidRDefault="00E32366" w:rsidP="001F3F25">
            <w:pPr>
              <w:pStyle w:val="TableBody"/>
            </w:pPr>
          </w:p>
        </w:tc>
        <w:tc>
          <w:tcPr>
            <w:tcW w:w="1080" w:type="dxa"/>
            <w:tcMar>
              <w:top w:w="0" w:type="dxa"/>
              <w:left w:w="115" w:type="dxa"/>
              <w:bottom w:w="0" w:type="dxa"/>
              <w:right w:w="115" w:type="dxa"/>
            </w:tcMar>
          </w:tcPr>
          <w:p w14:paraId="5D640443" w14:textId="77777777" w:rsidR="00E32366" w:rsidRDefault="00E32366" w:rsidP="001F3F25">
            <w:pPr>
              <w:pStyle w:val="TableBody"/>
            </w:pPr>
          </w:p>
        </w:tc>
        <w:tc>
          <w:tcPr>
            <w:tcW w:w="1296" w:type="dxa"/>
            <w:tcMar>
              <w:top w:w="0" w:type="dxa"/>
              <w:left w:w="115" w:type="dxa"/>
              <w:bottom w:w="0" w:type="dxa"/>
              <w:right w:w="115" w:type="dxa"/>
            </w:tcMar>
          </w:tcPr>
          <w:p w14:paraId="61046D15" w14:textId="77777777" w:rsidR="00E32366" w:rsidRDefault="00E32366" w:rsidP="001F3F25">
            <w:pPr>
              <w:pStyle w:val="TableBody"/>
            </w:pPr>
          </w:p>
        </w:tc>
        <w:tc>
          <w:tcPr>
            <w:tcW w:w="1080" w:type="dxa"/>
            <w:tcMar>
              <w:top w:w="0" w:type="dxa"/>
              <w:left w:w="115" w:type="dxa"/>
              <w:bottom w:w="0" w:type="dxa"/>
              <w:right w:w="115" w:type="dxa"/>
            </w:tcMar>
          </w:tcPr>
          <w:p w14:paraId="01D9AA4E" w14:textId="77777777" w:rsidR="00E32366" w:rsidRPr="00FB77B2" w:rsidRDefault="00E32366" w:rsidP="001F3F25">
            <w:pPr>
              <w:pStyle w:val="TableBody"/>
            </w:pPr>
          </w:p>
        </w:tc>
      </w:tr>
    </w:tbl>
    <w:p w14:paraId="0E3C4D13" w14:textId="77777777" w:rsidR="005742DA" w:rsidRPr="00301CF0" w:rsidRDefault="005742DA" w:rsidP="005742DA">
      <w:pPr>
        <w:pStyle w:val="BodyText"/>
        <w:spacing w:before="120" w:after="0"/>
        <w:ind w:left="144" w:hanging="144"/>
        <w:jc w:val="center"/>
        <w:rPr>
          <w:i/>
        </w:rPr>
      </w:pPr>
      <w:r w:rsidRPr="00301CF0">
        <w:rPr>
          <w:i/>
        </w:rPr>
        <w:t xml:space="preserve">(Table </w:t>
      </w:r>
      <w:r>
        <w:rPr>
          <w:i/>
        </w:rPr>
        <w:t xml:space="preserve">footnotes </w:t>
      </w:r>
      <w:r w:rsidRPr="00301CF0">
        <w:rPr>
          <w:i/>
        </w:rPr>
        <w:t>on next page.)</w:t>
      </w:r>
    </w:p>
    <w:p w14:paraId="3A659D35" w14:textId="77777777" w:rsidR="005742DA" w:rsidRDefault="005742DA" w:rsidP="005742DA">
      <w:pPr>
        <w:pStyle w:val="Heading1"/>
      </w:pPr>
      <w:r w:rsidRPr="00B81F46">
        <w:lastRenderedPageBreak/>
        <w:t>Student Learning Objectives and Related Assignment Materials</w:t>
      </w:r>
      <w:r w:rsidRPr="005742DA">
        <w:rPr>
          <w:u w:val="none"/>
        </w:rPr>
        <w:t>, continued</w:t>
      </w:r>
    </w:p>
    <w:p w14:paraId="674CC2C8" w14:textId="77777777" w:rsidR="00CF3934" w:rsidRDefault="00CF3934" w:rsidP="00604194">
      <w:pPr>
        <w:pStyle w:val="BodyText"/>
        <w:spacing w:before="120" w:after="0"/>
        <w:ind w:left="288" w:hanging="288"/>
        <w:jc w:val="left"/>
      </w:pPr>
      <w:r w:rsidRPr="00FB77B2">
        <w:t>*</w:t>
      </w:r>
      <w:r w:rsidRPr="00FB77B2">
        <w:tab/>
        <w:t>Animated solution included in the PowerPoint Slides.</w:t>
      </w:r>
    </w:p>
    <w:p w14:paraId="06D96C45" w14:textId="77777777" w:rsidR="001D129F" w:rsidRDefault="001D129F" w:rsidP="00604194">
      <w:pPr>
        <w:pStyle w:val="BodyText"/>
        <w:spacing w:after="0"/>
        <w:ind w:left="288" w:hanging="288"/>
        <w:jc w:val="left"/>
      </w:pPr>
      <w:r>
        <w:rPr>
          <w:szCs w:val="22"/>
        </w:rPr>
        <w:t>^</w:t>
      </w:r>
      <w:r w:rsidR="00604194">
        <w:rPr>
          <w:szCs w:val="22"/>
        </w:rPr>
        <w:tab/>
      </w:r>
      <w:r>
        <w:rPr>
          <w:szCs w:val="22"/>
        </w:rPr>
        <w:t>Particularly challenging; require</w:t>
      </w:r>
      <w:r w:rsidR="00604194">
        <w:rPr>
          <w:szCs w:val="22"/>
        </w:rPr>
        <w:t>s</w:t>
      </w:r>
      <w:r>
        <w:rPr>
          <w:szCs w:val="22"/>
        </w:rPr>
        <w:t xml:space="preserve"> students to combine multiple concepts in order to advance to the next level of accounting knowledge.</w:t>
      </w:r>
    </w:p>
    <w:p w14:paraId="5E1B3EF9" w14:textId="77777777" w:rsidR="00B84365" w:rsidRDefault="00D16D5A" w:rsidP="002950FD">
      <w:pPr>
        <w:pStyle w:val="BodyText"/>
        <w:spacing w:after="0"/>
        <w:ind w:left="288" w:hanging="288"/>
        <w:jc w:val="left"/>
      </w:pPr>
      <w:r w:rsidRPr="00E32366">
        <w:rPr>
          <w:szCs w:val="22"/>
        </w:rPr>
        <w:t>†</w:t>
      </w:r>
      <w:r w:rsidR="00CF3934" w:rsidRPr="00E32366">
        <w:rPr>
          <w:szCs w:val="22"/>
        </w:rPr>
        <w:tab/>
        <w:t>CC13</w:t>
      </w:r>
      <w:r w:rsidR="001078A7">
        <w:rPr>
          <w:szCs w:val="22"/>
        </w:rPr>
        <w:t>-1</w:t>
      </w:r>
      <w:r w:rsidR="00CF3934" w:rsidRPr="00E32366">
        <w:rPr>
          <w:szCs w:val="22"/>
        </w:rPr>
        <w:t xml:space="preserve"> is a continuing case that builds on the story of Nicole’s Getaway Spa, introduced in earlier chapters. This case focuses on </w:t>
      </w:r>
      <w:r w:rsidR="001078A7">
        <w:rPr>
          <w:szCs w:val="22"/>
        </w:rPr>
        <w:t>profitability, liquidity, and solvency ratios.</w:t>
      </w:r>
    </w:p>
    <w:p w14:paraId="564BC13B" w14:textId="77777777" w:rsidR="006F249E" w:rsidRPr="00767D0A" w:rsidRDefault="006F249E" w:rsidP="00C63D6A">
      <w:pPr>
        <w:pStyle w:val="Heading1"/>
      </w:pPr>
      <w:r w:rsidRPr="00767D0A">
        <w:t xml:space="preserve">Overview </w:t>
      </w:r>
    </w:p>
    <w:p w14:paraId="3340C80E" w14:textId="77777777" w:rsidR="006F249E" w:rsidRPr="00767D0A" w:rsidRDefault="006F249E" w:rsidP="00C63D6A">
      <w:pPr>
        <w:pStyle w:val="BodyText"/>
        <w:spacing w:after="120"/>
        <w:jc w:val="left"/>
      </w:pPr>
      <w:r w:rsidRPr="00767D0A">
        <w:t>This chapter pulls together financial statement analysis, accounting method choices, and accounting concepts, showing how a difficult economic environment is revealed in Lowe’s financial statements (and, where appropriate, in those of The Home Depot).</w:t>
      </w:r>
    </w:p>
    <w:p w14:paraId="57478FD6" w14:textId="77777777" w:rsidR="006F249E" w:rsidRPr="00767D0A" w:rsidRDefault="006F249E" w:rsidP="00C63D6A">
      <w:pPr>
        <w:pStyle w:val="BodyText"/>
        <w:spacing w:after="120"/>
        <w:jc w:val="left"/>
      </w:pPr>
      <w:r w:rsidRPr="00767D0A">
        <w:t>Students learn through a demonstration of horizontal, vertical, and ratio analyses that evaluate the company’s profitability, liquidity, and solvency.</w:t>
      </w:r>
    </w:p>
    <w:p w14:paraId="6F65DAE8" w14:textId="77777777" w:rsidR="006F249E" w:rsidRPr="00767D0A" w:rsidRDefault="006F249E" w:rsidP="00C63D6A">
      <w:pPr>
        <w:pStyle w:val="BodyText"/>
        <w:spacing w:after="120"/>
        <w:jc w:val="left"/>
      </w:pPr>
      <w:r w:rsidRPr="00767D0A">
        <w:t>Chapter supplements discuss nonrecurring and special items (A) and summarize key topics involving IFRS, referencing specific pages in each chapter where these topics are integrated (B).</w:t>
      </w:r>
    </w:p>
    <w:p w14:paraId="318BF224" w14:textId="77777777" w:rsidR="006F249E" w:rsidRPr="00767D0A" w:rsidRDefault="006F249E" w:rsidP="006F249E">
      <w:pPr>
        <w:pStyle w:val="Heading1"/>
      </w:pPr>
      <w:r w:rsidRPr="00767D0A">
        <w:t>Synopsis of Chapter Revisions</w:t>
      </w:r>
    </w:p>
    <w:p w14:paraId="60D50C4B" w14:textId="77777777" w:rsidR="00FC226B" w:rsidRPr="00497884" w:rsidRDefault="00FC226B" w:rsidP="00497884">
      <w:pPr>
        <w:pStyle w:val="BodyText"/>
        <w:numPr>
          <w:ilvl w:val="0"/>
          <w:numId w:val="8"/>
        </w:numPr>
        <w:spacing w:after="0"/>
        <w:jc w:val="left"/>
        <w:rPr>
          <w:szCs w:val="22"/>
        </w:rPr>
      </w:pPr>
      <w:r w:rsidRPr="00497884">
        <w:rPr>
          <w:szCs w:val="22"/>
        </w:rPr>
        <w:t>Updated focus company analyses with Lowe’s Companies</w:t>
      </w:r>
    </w:p>
    <w:p w14:paraId="68458271" w14:textId="77777777" w:rsidR="00FC226B" w:rsidRPr="00497884" w:rsidRDefault="00FC226B" w:rsidP="00497884">
      <w:pPr>
        <w:pStyle w:val="BodyText"/>
        <w:numPr>
          <w:ilvl w:val="0"/>
          <w:numId w:val="8"/>
        </w:numPr>
        <w:spacing w:after="0"/>
        <w:jc w:val="left"/>
        <w:rPr>
          <w:szCs w:val="22"/>
        </w:rPr>
      </w:pPr>
      <w:r w:rsidRPr="00497884">
        <w:rPr>
          <w:szCs w:val="22"/>
        </w:rPr>
        <w:t>Revised Exhibit 13.5 and related discussion to reflect changes made to all other chapters</w:t>
      </w:r>
    </w:p>
    <w:p w14:paraId="4DAA2A27" w14:textId="77777777" w:rsidR="00FC226B" w:rsidRPr="00497884" w:rsidRDefault="00FC226B" w:rsidP="00497884">
      <w:pPr>
        <w:pStyle w:val="BodyText"/>
        <w:numPr>
          <w:ilvl w:val="0"/>
          <w:numId w:val="8"/>
        </w:numPr>
        <w:spacing w:after="0"/>
        <w:jc w:val="left"/>
        <w:rPr>
          <w:szCs w:val="22"/>
        </w:rPr>
      </w:pPr>
      <w:r w:rsidRPr="00497884">
        <w:rPr>
          <w:szCs w:val="22"/>
        </w:rPr>
        <w:t>New Spotlight on Business Decisions to discuss impact of supply chain financing on current ratio</w:t>
      </w:r>
    </w:p>
    <w:p w14:paraId="141FF2BC" w14:textId="6A66F98A" w:rsidR="00FC226B" w:rsidRPr="00497884" w:rsidRDefault="00FC226B" w:rsidP="00497884">
      <w:pPr>
        <w:pStyle w:val="BodyText"/>
        <w:numPr>
          <w:ilvl w:val="0"/>
          <w:numId w:val="8"/>
        </w:numPr>
        <w:spacing w:after="0"/>
        <w:jc w:val="left"/>
        <w:rPr>
          <w:szCs w:val="22"/>
        </w:rPr>
      </w:pPr>
      <w:r w:rsidRPr="00497884">
        <w:rPr>
          <w:szCs w:val="22"/>
        </w:rPr>
        <w:t xml:space="preserve">Updated discussion to reflect FASB’s </w:t>
      </w:r>
      <w:r w:rsidR="00051189">
        <w:rPr>
          <w:szCs w:val="22"/>
        </w:rPr>
        <w:t>August 2014</w:t>
      </w:r>
      <w:r w:rsidRPr="00497884">
        <w:rPr>
          <w:szCs w:val="22"/>
        </w:rPr>
        <w:t xml:space="preserve"> going concern </w:t>
      </w:r>
      <w:r w:rsidR="00051189">
        <w:rPr>
          <w:szCs w:val="22"/>
        </w:rPr>
        <w:t>standards update</w:t>
      </w:r>
    </w:p>
    <w:p w14:paraId="28AFE499" w14:textId="77777777" w:rsidR="00FC226B" w:rsidRPr="00497884" w:rsidRDefault="00FC226B" w:rsidP="00497884">
      <w:pPr>
        <w:pStyle w:val="BodyText"/>
        <w:numPr>
          <w:ilvl w:val="0"/>
          <w:numId w:val="8"/>
        </w:numPr>
        <w:spacing w:after="0"/>
        <w:jc w:val="left"/>
        <w:rPr>
          <w:szCs w:val="22"/>
        </w:rPr>
      </w:pPr>
      <w:r w:rsidRPr="00497884">
        <w:rPr>
          <w:szCs w:val="22"/>
        </w:rPr>
        <w:t>Reviewed and updated all end-of-chapter material</w:t>
      </w:r>
    </w:p>
    <w:p w14:paraId="7EE1944D" w14:textId="77777777" w:rsidR="003168B2" w:rsidRDefault="003168B2" w:rsidP="0037106D">
      <w:pPr>
        <w:pStyle w:val="Heading1"/>
        <w:spacing w:after="240"/>
      </w:pPr>
      <w:r>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3168B2" w14:paraId="02B6C152" w14:textId="77777777">
        <w:tc>
          <w:tcPr>
            <w:tcW w:w="7218" w:type="dxa"/>
            <w:shd w:val="clear" w:color="auto" w:fill="auto"/>
          </w:tcPr>
          <w:p w14:paraId="2F033C32" w14:textId="77777777" w:rsidR="003168B2" w:rsidRPr="00507ED2" w:rsidRDefault="003168B2" w:rsidP="003168B2">
            <w:pPr>
              <w:pStyle w:val="Italicsheading"/>
              <w:spacing w:before="120"/>
              <w:jc w:val="center"/>
              <w:rPr>
                <w:b/>
              </w:rPr>
            </w:pPr>
            <w:r w:rsidRPr="00507ED2">
              <w:rPr>
                <w:b/>
              </w:rPr>
              <w:t>Student Learning Objective</w:t>
            </w:r>
          </w:p>
        </w:tc>
        <w:tc>
          <w:tcPr>
            <w:tcW w:w="2250" w:type="dxa"/>
          </w:tcPr>
          <w:p w14:paraId="2A290522" w14:textId="77777777" w:rsidR="003168B2" w:rsidRDefault="003168B2" w:rsidP="003168B2">
            <w:pPr>
              <w:pStyle w:val="Italicsheading"/>
              <w:spacing w:before="120"/>
              <w:jc w:val="center"/>
              <w:rPr>
                <w:b/>
              </w:rPr>
            </w:pPr>
            <w:r>
              <w:rPr>
                <w:b/>
              </w:rPr>
              <w:t>PowerPoint® Slides</w:t>
            </w:r>
          </w:p>
        </w:tc>
      </w:tr>
      <w:tr w:rsidR="005742DA" w:rsidRPr="000F2143" w14:paraId="072C957F" w14:textId="77777777">
        <w:tc>
          <w:tcPr>
            <w:tcW w:w="7218" w:type="dxa"/>
            <w:shd w:val="clear" w:color="auto" w:fill="auto"/>
          </w:tcPr>
          <w:p w14:paraId="382323B5" w14:textId="0B801B8C" w:rsidR="005742DA" w:rsidRPr="000F2143" w:rsidRDefault="005742DA" w:rsidP="00051189">
            <w:pPr>
              <w:pStyle w:val="TableBody"/>
              <w:ind w:left="288" w:hanging="288"/>
            </w:pPr>
            <w:r w:rsidRPr="000F2143">
              <w:t>LO 13-1 Describe the purposes and uses of horizontal, vertical, and ratio analyses.</w:t>
            </w:r>
          </w:p>
        </w:tc>
        <w:tc>
          <w:tcPr>
            <w:tcW w:w="2250" w:type="dxa"/>
          </w:tcPr>
          <w:p w14:paraId="371DA415" w14:textId="77777777" w:rsidR="005742DA" w:rsidRPr="001F2D21" w:rsidRDefault="000F2143" w:rsidP="003168B2">
            <w:pPr>
              <w:pStyle w:val="TableBody"/>
            </w:pPr>
            <w:r w:rsidRPr="001F2D21">
              <w:t>13-2</w:t>
            </w:r>
            <w:r w:rsidR="005742DA" w:rsidRPr="001F2D21">
              <w:t xml:space="preserve"> through 13-4</w:t>
            </w:r>
          </w:p>
        </w:tc>
      </w:tr>
      <w:tr w:rsidR="005742DA" w:rsidRPr="000F2143" w14:paraId="5236526B" w14:textId="77777777">
        <w:tc>
          <w:tcPr>
            <w:tcW w:w="7218" w:type="dxa"/>
            <w:shd w:val="clear" w:color="auto" w:fill="auto"/>
          </w:tcPr>
          <w:p w14:paraId="546FD0C6" w14:textId="4CAD795D" w:rsidR="005742DA" w:rsidRPr="000F2143" w:rsidRDefault="005742DA" w:rsidP="00051189">
            <w:pPr>
              <w:pStyle w:val="TableBody"/>
              <w:ind w:left="288" w:hanging="288"/>
            </w:pPr>
            <w:r w:rsidRPr="000F2143">
              <w:t>LO 13-2 Use horizontal (trend) analyses to recognize financial changes that unfold over time.</w:t>
            </w:r>
          </w:p>
        </w:tc>
        <w:tc>
          <w:tcPr>
            <w:tcW w:w="2250" w:type="dxa"/>
          </w:tcPr>
          <w:p w14:paraId="60A91924" w14:textId="77777777" w:rsidR="005742DA" w:rsidRPr="001F2D21" w:rsidRDefault="005742DA" w:rsidP="007979C0">
            <w:pPr>
              <w:pStyle w:val="TableBody"/>
            </w:pPr>
            <w:r w:rsidRPr="001F2D21">
              <w:t>13-5 through 13-7</w:t>
            </w:r>
          </w:p>
        </w:tc>
      </w:tr>
      <w:tr w:rsidR="005742DA" w:rsidRPr="000F2143" w14:paraId="4F873322" w14:textId="77777777">
        <w:tc>
          <w:tcPr>
            <w:tcW w:w="7218" w:type="dxa"/>
            <w:shd w:val="clear" w:color="auto" w:fill="auto"/>
          </w:tcPr>
          <w:p w14:paraId="0904B2A2" w14:textId="3615C4C5" w:rsidR="005742DA" w:rsidRPr="000F2143" w:rsidRDefault="005742DA" w:rsidP="00051189">
            <w:pPr>
              <w:pStyle w:val="TableBody"/>
              <w:ind w:left="288" w:hanging="288"/>
            </w:pPr>
            <w:r w:rsidRPr="000F2143">
              <w:t>LO 13-3 Use vertical (common size) analyses to understand important relationships within financial statements.</w:t>
            </w:r>
          </w:p>
        </w:tc>
        <w:tc>
          <w:tcPr>
            <w:tcW w:w="2250" w:type="dxa"/>
          </w:tcPr>
          <w:p w14:paraId="1445A993" w14:textId="77777777" w:rsidR="005742DA" w:rsidRPr="001F2D21" w:rsidRDefault="005742DA" w:rsidP="007979C0">
            <w:pPr>
              <w:pStyle w:val="TableBody"/>
            </w:pPr>
            <w:r w:rsidRPr="001F2D21">
              <w:t>13-8 through 13-9</w:t>
            </w:r>
          </w:p>
        </w:tc>
      </w:tr>
      <w:tr w:rsidR="005742DA" w:rsidRPr="000F2143" w14:paraId="16C8271C" w14:textId="77777777">
        <w:tc>
          <w:tcPr>
            <w:tcW w:w="7218" w:type="dxa"/>
            <w:shd w:val="clear" w:color="auto" w:fill="auto"/>
          </w:tcPr>
          <w:p w14:paraId="10C18B2D" w14:textId="7C2A8730" w:rsidR="005742DA" w:rsidRPr="000F2143" w:rsidRDefault="005742DA" w:rsidP="00051189">
            <w:pPr>
              <w:pStyle w:val="TableBody"/>
              <w:ind w:left="288" w:hanging="288"/>
            </w:pPr>
            <w:r w:rsidRPr="000F2143">
              <w:t>LO 13-4 Calculate financial ratios to assess profitability, liquidity, and solvency.</w:t>
            </w:r>
          </w:p>
        </w:tc>
        <w:tc>
          <w:tcPr>
            <w:tcW w:w="2250" w:type="dxa"/>
          </w:tcPr>
          <w:p w14:paraId="6C04FF6F" w14:textId="77777777" w:rsidR="005742DA" w:rsidRPr="001F2D21" w:rsidRDefault="005742DA" w:rsidP="007979C0">
            <w:pPr>
              <w:pStyle w:val="TableBody"/>
            </w:pPr>
            <w:r w:rsidRPr="001F2D21">
              <w:t>13-10 through 13-14</w:t>
            </w:r>
          </w:p>
        </w:tc>
      </w:tr>
      <w:tr w:rsidR="005742DA" w:rsidRPr="000F2143" w14:paraId="13EC46CF" w14:textId="77777777">
        <w:tc>
          <w:tcPr>
            <w:tcW w:w="7218" w:type="dxa"/>
            <w:shd w:val="clear" w:color="auto" w:fill="auto"/>
          </w:tcPr>
          <w:p w14:paraId="1791124D" w14:textId="06914389" w:rsidR="005742DA" w:rsidRPr="000F2143" w:rsidRDefault="005742DA" w:rsidP="00051189">
            <w:pPr>
              <w:pStyle w:val="TableBody"/>
              <w:ind w:left="288" w:hanging="288"/>
            </w:pPr>
            <w:r w:rsidRPr="000F2143">
              <w:t>LO 13-5 Interpret the results of financial analyses.</w:t>
            </w:r>
          </w:p>
        </w:tc>
        <w:tc>
          <w:tcPr>
            <w:tcW w:w="2250" w:type="dxa"/>
          </w:tcPr>
          <w:p w14:paraId="3377BF22" w14:textId="77777777" w:rsidR="005742DA" w:rsidRPr="001F2D21" w:rsidRDefault="000F2143" w:rsidP="001F2D21">
            <w:pPr>
              <w:pStyle w:val="TableBody"/>
            </w:pPr>
            <w:r w:rsidRPr="001F2D21">
              <w:t>13-15 through 13-</w:t>
            </w:r>
            <w:r w:rsidR="001F2D21">
              <w:t>26</w:t>
            </w:r>
          </w:p>
        </w:tc>
      </w:tr>
      <w:tr w:rsidR="005742DA" w:rsidRPr="000F2143" w14:paraId="668006A0" w14:textId="77777777">
        <w:tc>
          <w:tcPr>
            <w:tcW w:w="7218" w:type="dxa"/>
            <w:shd w:val="clear" w:color="auto" w:fill="auto"/>
          </w:tcPr>
          <w:p w14:paraId="6A65234D" w14:textId="0DD8A56E" w:rsidR="005742DA" w:rsidRPr="000F2143" w:rsidRDefault="005742DA" w:rsidP="00051189">
            <w:pPr>
              <w:pStyle w:val="TableBody"/>
              <w:ind w:left="288" w:hanging="288"/>
            </w:pPr>
            <w:r w:rsidRPr="000F2143">
              <w:t>LO 13-6 Describe how analyses depend on key accounting decisions and concepts.</w:t>
            </w:r>
          </w:p>
        </w:tc>
        <w:tc>
          <w:tcPr>
            <w:tcW w:w="2250" w:type="dxa"/>
          </w:tcPr>
          <w:p w14:paraId="45083257" w14:textId="77777777" w:rsidR="005742DA" w:rsidRPr="001F2D21" w:rsidRDefault="000F2143" w:rsidP="001F2D21">
            <w:pPr>
              <w:pStyle w:val="TableBody"/>
            </w:pPr>
            <w:r w:rsidRPr="001F2D21">
              <w:t>13-2</w:t>
            </w:r>
            <w:r w:rsidR="001F2D21">
              <w:t>7</w:t>
            </w:r>
            <w:r w:rsidRPr="001F2D21">
              <w:t xml:space="preserve"> </w:t>
            </w:r>
            <w:r w:rsidR="005742DA" w:rsidRPr="001F2D21">
              <w:t>through 13-</w:t>
            </w:r>
            <w:r w:rsidR="001F2D21">
              <w:t>31</w:t>
            </w:r>
          </w:p>
        </w:tc>
      </w:tr>
      <w:tr w:rsidR="000F2143" w:rsidRPr="000F2143" w14:paraId="22040C61" w14:textId="77777777">
        <w:tc>
          <w:tcPr>
            <w:tcW w:w="7218" w:type="dxa"/>
            <w:shd w:val="clear" w:color="auto" w:fill="auto"/>
          </w:tcPr>
          <w:p w14:paraId="588B0BDA" w14:textId="4B4F2B73" w:rsidR="005742DA" w:rsidRPr="000F2143" w:rsidRDefault="005742DA" w:rsidP="00051189">
            <w:pPr>
              <w:pStyle w:val="TableBody"/>
              <w:ind w:left="288" w:hanging="288"/>
            </w:pPr>
            <w:r w:rsidRPr="000F2143">
              <w:t>LO 13-S1</w:t>
            </w:r>
            <w:r w:rsidR="00051189">
              <w:t xml:space="preserve"> </w:t>
            </w:r>
            <w:r w:rsidRPr="000F2143">
              <w:t>Describe how nonrecurring and other comprehensive income items are reported.</w:t>
            </w:r>
          </w:p>
        </w:tc>
        <w:tc>
          <w:tcPr>
            <w:tcW w:w="2250" w:type="dxa"/>
          </w:tcPr>
          <w:p w14:paraId="6952A154" w14:textId="77777777" w:rsidR="005742DA" w:rsidRPr="001F2D21" w:rsidRDefault="005742DA" w:rsidP="000F2143">
            <w:pPr>
              <w:pStyle w:val="TableBody"/>
            </w:pPr>
            <w:r w:rsidRPr="001F2D21">
              <w:t>13-3</w:t>
            </w:r>
            <w:r w:rsidR="001F2D21">
              <w:t>2</w:t>
            </w:r>
            <w:r w:rsidRPr="001F2D21">
              <w:t xml:space="preserve"> through 13-3</w:t>
            </w:r>
            <w:r w:rsidR="001F2D21">
              <w:t>6</w:t>
            </w:r>
          </w:p>
        </w:tc>
      </w:tr>
      <w:tr w:rsidR="000F2143" w:rsidRPr="000F2143" w14:paraId="4D1AAA53" w14:textId="77777777">
        <w:tc>
          <w:tcPr>
            <w:tcW w:w="7218" w:type="dxa"/>
            <w:shd w:val="clear" w:color="auto" w:fill="auto"/>
          </w:tcPr>
          <w:p w14:paraId="105B9831" w14:textId="3742C759" w:rsidR="000F2143" w:rsidRPr="000F2143" w:rsidRDefault="000F2143" w:rsidP="00051189">
            <w:pPr>
              <w:pStyle w:val="TableBody"/>
              <w:ind w:left="288" w:hanging="288"/>
            </w:pPr>
            <w:r w:rsidRPr="000F2143">
              <w:t>LO 13-S2 Describe significant differences between GAAP and IFRS.</w:t>
            </w:r>
          </w:p>
        </w:tc>
        <w:tc>
          <w:tcPr>
            <w:tcW w:w="2250" w:type="dxa"/>
          </w:tcPr>
          <w:p w14:paraId="24EA570F" w14:textId="77777777" w:rsidR="000F2143" w:rsidRPr="001F2D21" w:rsidRDefault="000F2143" w:rsidP="001F2D21">
            <w:pPr>
              <w:pStyle w:val="TableBody"/>
            </w:pPr>
            <w:r w:rsidRPr="001F2D21">
              <w:t>13-3</w:t>
            </w:r>
            <w:r w:rsidR="001F2D21">
              <w:t>7</w:t>
            </w:r>
            <w:r w:rsidRPr="001F2D21">
              <w:t xml:space="preserve"> through 13-39</w:t>
            </w:r>
          </w:p>
        </w:tc>
      </w:tr>
    </w:tbl>
    <w:p w14:paraId="1304FDC2" w14:textId="77777777" w:rsidR="005739DE" w:rsidRDefault="005739DE" w:rsidP="005739DE">
      <w:pPr>
        <w:pStyle w:val="Heading1"/>
        <w:spacing w:after="240"/>
      </w:pPr>
    </w:p>
    <w:p w14:paraId="4187B984" w14:textId="77777777" w:rsidR="005739DE" w:rsidRDefault="005739DE" w:rsidP="005739DE">
      <w:pPr>
        <w:rPr>
          <w:rFonts w:ascii="Arial" w:hAnsi="Arial"/>
          <w:kern w:val="28"/>
          <w:sz w:val="24"/>
          <w:u w:val="single"/>
        </w:rPr>
      </w:pPr>
      <w:r>
        <w:br w:type="page"/>
      </w:r>
    </w:p>
    <w:p w14:paraId="0EE4E615" w14:textId="77777777" w:rsidR="005739DE" w:rsidRPr="005739DE" w:rsidRDefault="005739DE" w:rsidP="005739DE">
      <w:pPr>
        <w:pStyle w:val="Heading1"/>
        <w:spacing w:after="240"/>
        <w:rPr>
          <w:u w:val="none"/>
        </w:rPr>
      </w:pPr>
      <w:r>
        <w:lastRenderedPageBreak/>
        <w:t>PowerPoint Slides</w:t>
      </w:r>
      <w:r>
        <w:rPr>
          <w:u w:val="none"/>
        </w:rPr>
        <w:t>, continued</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37106D" w:rsidRPr="007979C0" w14:paraId="1694EF02" w14:textId="77777777" w:rsidTr="00353C6B">
        <w:tc>
          <w:tcPr>
            <w:tcW w:w="7218" w:type="dxa"/>
            <w:shd w:val="clear" w:color="auto" w:fill="auto"/>
          </w:tcPr>
          <w:p w14:paraId="7E5B6108" w14:textId="77777777" w:rsidR="0037106D" w:rsidRPr="007979C0" w:rsidRDefault="00582DEE" w:rsidP="00353C6B">
            <w:pPr>
              <w:pStyle w:val="Italicsheading"/>
              <w:spacing w:before="120"/>
              <w:jc w:val="center"/>
              <w:rPr>
                <w:b/>
              </w:rPr>
            </w:pPr>
            <w:r w:rsidRPr="007979C0">
              <w:rPr>
                <w:b/>
              </w:rPr>
              <w:t>A</w:t>
            </w:r>
            <w:r w:rsidR="0037106D" w:rsidRPr="007979C0">
              <w:rPr>
                <w:b/>
              </w:rPr>
              <w:t>nimated Builds and Animated Solutions</w:t>
            </w:r>
          </w:p>
        </w:tc>
        <w:tc>
          <w:tcPr>
            <w:tcW w:w="2250" w:type="dxa"/>
          </w:tcPr>
          <w:p w14:paraId="12A672F5" w14:textId="77777777" w:rsidR="0037106D" w:rsidRPr="007979C0" w:rsidRDefault="0037106D" w:rsidP="00353C6B">
            <w:pPr>
              <w:pStyle w:val="Italicsheading"/>
              <w:spacing w:before="120"/>
              <w:jc w:val="center"/>
              <w:rPr>
                <w:b/>
              </w:rPr>
            </w:pPr>
            <w:r w:rsidRPr="007979C0">
              <w:rPr>
                <w:b/>
              </w:rPr>
              <w:t>PowerPoint® Slides</w:t>
            </w:r>
          </w:p>
        </w:tc>
      </w:tr>
      <w:tr w:rsidR="00E32366" w:rsidRPr="000F2143" w14:paraId="01FD61C9" w14:textId="77777777" w:rsidTr="00353C6B">
        <w:tc>
          <w:tcPr>
            <w:tcW w:w="7218" w:type="dxa"/>
            <w:shd w:val="clear" w:color="auto" w:fill="auto"/>
          </w:tcPr>
          <w:p w14:paraId="6AA1D692" w14:textId="77777777" w:rsidR="00E32366" w:rsidRPr="000F2143" w:rsidRDefault="00E32366" w:rsidP="00582DEE">
            <w:pPr>
              <w:pStyle w:val="TableBody"/>
              <w:ind w:left="288" w:hanging="288"/>
            </w:pPr>
            <w:r w:rsidRPr="000F2143">
              <w:t>Mini-Exercise 13-1</w:t>
            </w:r>
          </w:p>
        </w:tc>
        <w:tc>
          <w:tcPr>
            <w:tcW w:w="2250" w:type="dxa"/>
          </w:tcPr>
          <w:p w14:paraId="5DB19DBE" w14:textId="77777777" w:rsidR="00E32366" w:rsidRPr="001F2D21" w:rsidRDefault="00E32366" w:rsidP="00816C00">
            <w:pPr>
              <w:pStyle w:val="TableBody"/>
            </w:pPr>
            <w:r w:rsidRPr="001F2D21">
              <w:t>13-</w:t>
            </w:r>
            <w:r w:rsidR="000F2143" w:rsidRPr="001F2D21">
              <w:t>41</w:t>
            </w:r>
            <w:r w:rsidRPr="001F2D21">
              <w:t xml:space="preserve"> through 13-</w:t>
            </w:r>
            <w:r w:rsidR="00816C00" w:rsidRPr="001F2D21">
              <w:t>4</w:t>
            </w:r>
            <w:r w:rsidR="000F2143" w:rsidRPr="001F2D21">
              <w:t>2</w:t>
            </w:r>
          </w:p>
        </w:tc>
      </w:tr>
      <w:tr w:rsidR="00E32366" w:rsidRPr="000F2143" w14:paraId="67988603" w14:textId="77777777" w:rsidTr="00353C6B">
        <w:tc>
          <w:tcPr>
            <w:tcW w:w="7218" w:type="dxa"/>
            <w:shd w:val="clear" w:color="auto" w:fill="auto"/>
          </w:tcPr>
          <w:p w14:paraId="709D14BD" w14:textId="77777777" w:rsidR="00E32366" w:rsidRPr="000F2143" w:rsidRDefault="00E32366" w:rsidP="00353C6B">
            <w:pPr>
              <w:pStyle w:val="TableBody"/>
              <w:ind w:left="288" w:hanging="288"/>
            </w:pPr>
            <w:r w:rsidRPr="000F2143">
              <w:t>Mini-Exercise 13-2</w:t>
            </w:r>
          </w:p>
        </w:tc>
        <w:tc>
          <w:tcPr>
            <w:tcW w:w="2250" w:type="dxa"/>
          </w:tcPr>
          <w:p w14:paraId="553183C2" w14:textId="77777777" w:rsidR="00E32366" w:rsidRPr="001F2D21" w:rsidRDefault="00E32366" w:rsidP="00816C00">
            <w:pPr>
              <w:pStyle w:val="TableBody"/>
            </w:pPr>
            <w:r w:rsidRPr="001F2D21">
              <w:t>13-</w:t>
            </w:r>
            <w:r w:rsidR="00816C00" w:rsidRPr="001F2D21">
              <w:t>4</w:t>
            </w:r>
            <w:r w:rsidR="000F2143" w:rsidRPr="001F2D21">
              <w:t>3</w:t>
            </w:r>
          </w:p>
        </w:tc>
      </w:tr>
      <w:tr w:rsidR="00E32366" w:rsidRPr="000F2143" w14:paraId="013D5B7C" w14:textId="77777777" w:rsidTr="00353C6B">
        <w:tc>
          <w:tcPr>
            <w:tcW w:w="7218" w:type="dxa"/>
            <w:shd w:val="clear" w:color="auto" w:fill="auto"/>
          </w:tcPr>
          <w:p w14:paraId="615A0771" w14:textId="77777777" w:rsidR="00E32366" w:rsidRPr="000F2143" w:rsidRDefault="00E32366" w:rsidP="00353C6B">
            <w:pPr>
              <w:pStyle w:val="TableBody"/>
              <w:ind w:left="288" w:hanging="288"/>
            </w:pPr>
            <w:r w:rsidRPr="000F2143">
              <w:t>Mini-Exercise 13-6</w:t>
            </w:r>
          </w:p>
        </w:tc>
        <w:tc>
          <w:tcPr>
            <w:tcW w:w="2250" w:type="dxa"/>
          </w:tcPr>
          <w:p w14:paraId="55DC5889" w14:textId="77777777" w:rsidR="00E32366" w:rsidRPr="001F2D21" w:rsidRDefault="00E32366" w:rsidP="00816C00">
            <w:pPr>
              <w:pStyle w:val="TableBody"/>
            </w:pPr>
            <w:r w:rsidRPr="001F2D21">
              <w:t>13</w:t>
            </w:r>
            <w:r w:rsidR="00816C00" w:rsidRPr="001F2D21">
              <w:t>-4</w:t>
            </w:r>
            <w:r w:rsidR="000F2143" w:rsidRPr="001F2D21">
              <w:t>4</w:t>
            </w:r>
          </w:p>
        </w:tc>
      </w:tr>
      <w:tr w:rsidR="00E32366" w:rsidRPr="000F2143" w14:paraId="4869BC38" w14:textId="77777777" w:rsidTr="00353C6B">
        <w:tc>
          <w:tcPr>
            <w:tcW w:w="7218" w:type="dxa"/>
            <w:shd w:val="clear" w:color="auto" w:fill="auto"/>
          </w:tcPr>
          <w:p w14:paraId="29EB641D" w14:textId="77777777" w:rsidR="00E32366" w:rsidRPr="000F2143" w:rsidRDefault="00E32366" w:rsidP="00582DEE">
            <w:pPr>
              <w:pStyle w:val="TableBody"/>
              <w:ind w:left="288" w:hanging="288"/>
            </w:pPr>
            <w:r w:rsidRPr="000F2143">
              <w:t>Exercise 13-1</w:t>
            </w:r>
          </w:p>
        </w:tc>
        <w:tc>
          <w:tcPr>
            <w:tcW w:w="2250" w:type="dxa"/>
          </w:tcPr>
          <w:p w14:paraId="466C6BA0" w14:textId="77777777" w:rsidR="00E32366" w:rsidRPr="001F2D21" w:rsidRDefault="00E32366" w:rsidP="00816C00">
            <w:pPr>
              <w:pStyle w:val="TableBody"/>
            </w:pPr>
            <w:r w:rsidRPr="001F2D21">
              <w:t>13-</w:t>
            </w:r>
            <w:r w:rsidR="000F2143" w:rsidRPr="001F2D21">
              <w:t>45</w:t>
            </w:r>
            <w:r w:rsidRPr="001F2D21">
              <w:t xml:space="preserve"> through 13-</w:t>
            </w:r>
            <w:r w:rsidR="00816C00" w:rsidRPr="001F2D21">
              <w:t>4</w:t>
            </w:r>
            <w:r w:rsidR="000F2143" w:rsidRPr="001F2D21">
              <w:t>7</w:t>
            </w:r>
          </w:p>
        </w:tc>
      </w:tr>
      <w:tr w:rsidR="00E32366" w:rsidRPr="000F2143" w14:paraId="78179869" w14:textId="77777777" w:rsidTr="00353C6B">
        <w:tc>
          <w:tcPr>
            <w:tcW w:w="7218" w:type="dxa"/>
            <w:shd w:val="clear" w:color="auto" w:fill="auto"/>
          </w:tcPr>
          <w:p w14:paraId="1B667F78" w14:textId="77777777" w:rsidR="00E32366" w:rsidRPr="000F2143" w:rsidRDefault="00E32366" w:rsidP="0032581D">
            <w:pPr>
              <w:pStyle w:val="TableBody"/>
              <w:ind w:left="288" w:hanging="288"/>
            </w:pPr>
            <w:r w:rsidRPr="000F2143">
              <w:t>Exercise 13-3</w:t>
            </w:r>
          </w:p>
        </w:tc>
        <w:tc>
          <w:tcPr>
            <w:tcW w:w="2250" w:type="dxa"/>
          </w:tcPr>
          <w:p w14:paraId="4634F13D" w14:textId="77777777" w:rsidR="00E32366" w:rsidRPr="001F2D21" w:rsidRDefault="00E32366" w:rsidP="000F2143">
            <w:pPr>
              <w:pStyle w:val="TableBody"/>
            </w:pPr>
            <w:r w:rsidRPr="001F2D21">
              <w:t>13-</w:t>
            </w:r>
            <w:r w:rsidR="000F2143" w:rsidRPr="001F2D21">
              <w:t>48</w:t>
            </w:r>
            <w:r w:rsidRPr="001F2D21">
              <w:t xml:space="preserve"> through 13-</w:t>
            </w:r>
            <w:r w:rsidR="00816C00" w:rsidRPr="001F2D21">
              <w:t>5</w:t>
            </w:r>
            <w:r w:rsidR="000F2143" w:rsidRPr="001F2D21">
              <w:t>0</w:t>
            </w:r>
          </w:p>
        </w:tc>
      </w:tr>
      <w:tr w:rsidR="00E32366" w:rsidRPr="000F2143" w14:paraId="7299E6C3" w14:textId="77777777" w:rsidTr="00353C6B">
        <w:tc>
          <w:tcPr>
            <w:tcW w:w="7218" w:type="dxa"/>
            <w:shd w:val="clear" w:color="auto" w:fill="auto"/>
          </w:tcPr>
          <w:p w14:paraId="3C3ED986" w14:textId="77777777" w:rsidR="00E32366" w:rsidRPr="000F2143" w:rsidRDefault="00E32366" w:rsidP="0032581D">
            <w:pPr>
              <w:pStyle w:val="TableBody"/>
              <w:ind w:left="288" w:hanging="288"/>
            </w:pPr>
            <w:r w:rsidRPr="000F2143">
              <w:t>Exercise 13-4</w:t>
            </w:r>
          </w:p>
        </w:tc>
        <w:tc>
          <w:tcPr>
            <w:tcW w:w="2250" w:type="dxa"/>
          </w:tcPr>
          <w:p w14:paraId="522BBA60" w14:textId="77777777" w:rsidR="00E32366" w:rsidRPr="001F2D21" w:rsidRDefault="00E32366" w:rsidP="00816C00">
            <w:pPr>
              <w:pStyle w:val="TableBody"/>
            </w:pPr>
            <w:r w:rsidRPr="001F2D21">
              <w:t>13-</w:t>
            </w:r>
            <w:r w:rsidR="000F2143" w:rsidRPr="001F2D21">
              <w:t>51</w:t>
            </w:r>
            <w:r w:rsidRPr="001F2D21">
              <w:t xml:space="preserve"> through 13-</w:t>
            </w:r>
            <w:r w:rsidR="00816C00" w:rsidRPr="001F2D21">
              <w:t>5</w:t>
            </w:r>
            <w:r w:rsidR="000F2143" w:rsidRPr="001F2D21">
              <w:t>5</w:t>
            </w:r>
          </w:p>
        </w:tc>
      </w:tr>
      <w:tr w:rsidR="00E32366" w:rsidRPr="000F2143" w14:paraId="5435AE22" w14:textId="77777777" w:rsidTr="00353C6B">
        <w:tc>
          <w:tcPr>
            <w:tcW w:w="7218" w:type="dxa"/>
            <w:shd w:val="clear" w:color="auto" w:fill="auto"/>
          </w:tcPr>
          <w:p w14:paraId="1536CAA4" w14:textId="77777777" w:rsidR="00E32366" w:rsidRPr="000F2143" w:rsidRDefault="00E32366" w:rsidP="0032581D">
            <w:pPr>
              <w:pStyle w:val="TableBody"/>
              <w:ind w:left="288" w:hanging="288"/>
            </w:pPr>
            <w:r w:rsidRPr="000F2143">
              <w:t>Exercise 13-10</w:t>
            </w:r>
          </w:p>
        </w:tc>
        <w:tc>
          <w:tcPr>
            <w:tcW w:w="2250" w:type="dxa"/>
          </w:tcPr>
          <w:p w14:paraId="7208BC88" w14:textId="77777777" w:rsidR="00E32366" w:rsidRPr="001F2D21" w:rsidRDefault="00E32366" w:rsidP="00816C00">
            <w:pPr>
              <w:pStyle w:val="TableBody"/>
            </w:pPr>
            <w:r w:rsidRPr="001F2D21">
              <w:t>13-</w:t>
            </w:r>
            <w:r w:rsidR="000F2143" w:rsidRPr="001F2D21">
              <w:t>56</w:t>
            </w:r>
            <w:r w:rsidRPr="001F2D21">
              <w:t xml:space="preserve"> through 13-</w:t>
            </w:r>
            <w:r w:rsidR="00816C00" w:rsidRPr="001F2D21">
              <w:t>5</w:t>
            </w:r>
            <w:r w:rsidR="000F2143" w:rsidRPr="001F2D21">
              <w:t>7</w:t>
            </w:r>
          </w:p>
        </w:tc>
      </w:tr>
      <w:tr w:rsidR="00E32366" w:rsidRPr="000F2143" w14:paraId="461284D9" w14:textId="77777777" w:rsidTr="00353C6B">
        <w:tc>
          <w:tcPr>
            <w:tcW w:w="7218" w:type="dxa"/>
            <w:shd w:val="clear" w:color="auto" w:fill="auto"/>
          </w:tcPr>
          <w:p w14:paraId="2A662A97" w14:textId="77777777" w:rsidR="00E32366" w:rsidRPr="000F2143" w:rsidRDefault="00E32366" w:rsidP="0032581D">
            <w:pPr>
              <w:pStyle w:val="TableBody"/>
              <w:ind w:left="288" w:hanging="288"/>
            </w:pPr>
            <w:r w:rsidRPr="000F2143">
              <w:t>Exercise 13-13</w:t>
            </w:r>
          </w:p>
        </w:tc>
        <w:tc>
          <w:tcPr>
            <w:tcW w:w="2250" w:type="dxa"/>
          </w:tcPr>
          <w:p w14:paraId="2C7CAD56" w14:textId="77777777" w:rsidR="00E32366" w:rsidRPr="001F2D21" w:rsidRDefault="00E32366" w:rsidP="00816C00">
            <w:pPr>
              <w:pStyle w:val="TableBody"/>
            </w:pPr>
            <w:r w:rsidRPr="001F2D21">
              <w:t>13-</w:t>
            </w:r>
            <w:r w:rsidR="000F2143" w:rsidRPr="001F2D21">
              <w:t>58</w:t>
            </w:r>
            <w:r w:rsidRPr="001F2D21">
              <w:t xml:space="preserve"> through 13-</w:t>
            </w:r>
            <w:r w:rsidR="000F2143" w:rsidRPr="001F2D21">
              <w:t>59</w:t>
            </w:r>
          </w:p>
        </w:tc>
      </w:tr>
    </w:tbl>
    <w:p w14:paraId="4F7F530C" w14:textId="77777777" w:rsidR="000C4AAD" w:rsidRDefault="00BB116E" w:rsidP="001A5B81">
      <w:pPr>
        <w:pStyle w:val="Heading1"/>
      </w:pPr>
      <w:r w:rsidRPr="007979C0">
        <w:br/>
      </w:r>
      <w:r w:rsidR="000C4AAD">
        <w:t>Chapter Summary</w:t>
      </w:r>
    </w:p>
    <w:p w14:paraId="62A1C182" w14:textId="17E682BE" w:rsidR="00767D0A" w:rsidRPr="00767D0A" w:rsidRDefault="004729B2" w:rsidP="00767D0A">
      <w:pPr>
        <w:pStyle w:val="BodyText"/>
        <w:spacing w:before="120" w:after="120"/>
        <w:jc w:val="left"/>
        <w:rPr>
          <w:b/>
          <w:bCs/>
        </w:rPr>
      </w:pPr>
      <w:r w:rsidRPr="00E91FE1">
        <w:rPr>
          <w:b/>
          <w:bCs/>
        </w:rPr>
        <w:t xml:space="preserve">LO </w:t>
      </w:r>
      <w:r w:rsidR="005742DA">
        <w:rPr>
          <w:b/>
          <w:bCs/>
        </w:rPr>
        <w:t>13-</w:t>
      </w:r>
      <w:r w:rsidRPr="00E91FE1">
        <w:rPr>
          <w:b/>
          <w:bCs/>
        </w:rPr>
        <w:t>1</w:t>
      </w:r>
      <w:r w:rsidR="00051189">
        <w:rPr>
          <w:b/>
          <w:bCs/>
        </w:rPr>
        <w:t xml:space="preserve"> </w:t>
      </w:r>
      <w:r w:rsidR="00767D0A" w:rsidRPr="00767D0A">
        <w:rPr>
          <w:b/>
          <w:bCs/>
        </w:rPr>
        <w:t xml:space="preserve">Describe the purposes and uses of horizontal, vertical, and ratio analyses. </w:t>
      </w:r>
    </w:p>
    <w:p w14:paraId="7289835F" w14:textId="77777777" w:rsidR="00767D0A" w:rsidRPr="00767D0A" w:rsidRDefault="00767D0A" w:rsidP="00397729">
      <w:pPr>
        <w:pStyle w:val="BodyText"/>
        <w:numPr>
          <w:ilvl w:val="0"/>
          <w:numId w:val="1"/>
        </w:numPr>
        <w:spacing w:after="0"/>
        <w:ind w:left="720"/>
        <w:jc w:val="left"/>
      </w:pPr>
      <w:r w:rsidRPr="00767D0A">
        <w:t>Horizontal analys</w:t>
      </w:r>
      <w:r w:rsidR="00DA206F">
        <w:t>es (also called trend analyse</w:t>
      </w:r>
      <w:r w:rsidRPr="00767D0A">
        <w:t>s) compare financial statement items to comparable</w:t>
      </w:r>
      <w:r w:rsidR="004729B2">
        <w:t xml:space="preserve"> </w:t>
      </w:r>
      <w:r w:rsidRPr="00767D0A">
        <w:t>amounts in prior periods with the goal of identifying sustained changes, or trends.</w:t>
      </w:r>
    </w:p>
    <w:p w14:paraId="2081C9FA" w14:textId="77777777" w:rsidR="00767D0A" w:rsidRPr="00767D0A" w:rsidRDefault="00767D0A" w:rsidP="00397729">
      <w:pPr>
        <w:pStyle w:val="BodyText"/>
        <w:numPr>
          <w:ilvl w:val="0"/>
          <w:numId w:val="1"/>
        </w:numPr>
        <w:spacing w:after="0"/>
        <w:ind w:left="720"/>
        <w:jc w:val="left"/>
      </w:pPr>
      <w:r w:rsidRPr="00767D0A">
        <w:t>Vertical analys</w:t>
      </w:r>
      <w:r w:rsidR="00DA206F">
        <w:t>e</w:t>
      </w:r>
      <w:r w:rsidRPr="00767D0A">
        <w:t xml:space="preserve">s </w:t>
      </w:r>
      <w:r w:rsidR="00801E7A">
        <w:t xml:space="preserve">create </w:t>
      </w:r>
      <w:r w:rsidRPr="00767D0A">
        <w:t>common size financial statements that express each line</w:t>
      </w:r>
      <w:r w:rsidR="004729B2">
        <w:t xml:space="preserve"> </w:t>
      </w:r>
      <w:r w:rsidRPr="00767D0A">
        <w:t>of the income statement (or balance sheet) as a percentage of total sales (or total assets).</w:t>
      </w:r>
      <w:r w:rsidR="004729B2">
        <w:t xml:space="preserve"> </w:t>
      </w:r>
    </w:p>
    <w:p w14:paraId="2E2E360A" w14:textId="77777777" w:rsidR="00767D0A" w:rsidRPr="00767D0A" w:rsidRDefault="00767D0A" w:rsidP="00397729">
      <w:pPr>
        <w:pStyle w:val="BodyText"/>
        <w:numPr>
          <w:ilvl w:val="0"/>
          <w:numId w:val="1"/>
        </w:numPr>
        <w:spacing w:after="0"/>
        <w:ind w:left="720"/>
        <w:jc w:val="left"/>
      </w:pPr>
      <w:r w:rsidRPr="00767D0A">
        <w:t>Ratio analyses compare one or more financial statement items to an amount for other items</w:t>
      </w:r>
      <w:r w:rsidR="004729B2">
        <w:t xml:space="preserve"> </w:t>
      </w:r>
      <w:r w:rsidRPr="00767D0A">
        <w:t>for the same year. Ratios take into account differences in the size of amounts to allow for</w:t>
      </w:r>
      <w:r w:rsidR="004729B2">
        <w:t xml:space="preserve"> </w:t>
      </w:r>
      <w:r w:rsidRPr="00767D0A">
        <w:t>evaluations of performance given existing levels of other company resources.</w:t>
      </w:r>
    </w:p>
    <w:p w14:paraId="3DDBFCA4" w14:textId="01326B99" w:rsidR="00767D0A" w:rsidRDefault="004729B2" w:rsidP="00767D0A">
      <w:pPr>
        <w:pStyle w:val="BodyText"/>
        <w:tabs>
          <w:tab w:val="num" w:pos="360"/>
        </w:tabs>
        <w:spacing w:before="120" w:after="120"/>
        <w:jc w:val="left"/>
        <w:rPr>
          <w:b/>
          <w:bCs/>
        </w:rPr>
      </w:pPr>
      <w:r w:rsidRPr="00E91FE1">
        <w:rPr>
          <w:b/>
          <w:bCs/>
        </w:rPr>
        <w:t xml:space="preserve">LO </w:t>
      </w:r>
      <w:r w:rsidR="005742DA">
        <w:rPr>
          <w:b/>
          <w:bCs/>
        </w:rPr>
        <w:t>13-</w:t>
      </w:r>
      <w:r>
        <w:rPr>
          <w:b/>
          <w:bCs/>
        </w:rPr>
        <w:t>2</w:t>
      </w:r>
      <w:r w:rsidRPr="00E91FE1">
        <w:rPr>
          <w:b/>
          <w:bCs/>
        </w:rPr>
        <w:t xml:space="preserve"> </w:t>
      </w:r>
      <w:r w:rsidR="00D432B2">
        <w:rPr>
          <w:b/>
          <w:bCs/>
        </w:rPr>
        <w:t>Use horizontal (trend) analyse</w:t>
      </w:r>
      <w:r w:rsidR="00767D0A" w:rsidRPr="00767D0A">
        <w:rPr>
          <w:b/>
          <w:bCs/>
        </w:rPr>
        <w:t>s to recognize financial changes that unfold</w:t>
      </w:r>
      <w:r w:rsidR="00767D0A">
        <w:rPr>
          <w:b/>
          <w:bCs/>
        </w:rPr>
        <w:t xml:space="preserve"> </w:t>
      </w:r>
      <w:r w:rsidR="00767D0A" w:rsidRPr="00767D0A">
        <w:rPr>
          <w:b/>
          <w:bCs/>
        </w:rPr>
        <w:t>over time.</w:t>
      </w:r>
    </w:p>
    <w:p w14:paraId="3B7805B5" w14:textId="77777777" w:rsidR="00767D0A" w:rsidRPr="00767D0A" w:rsidRDefault="00767D0A" w:rsidP="00397729">
      <w:pPr>
        <w:pStyle w:val="BodyText"/>
        <w:numPr>
          <w:ilvl w:val="0"/>
          <w:numId w:val="1"/>
        </w:numPr>
        <w:tabs>
          <w:tab w:val="num" w:pos="810"/>
        </w:tabs>
        <w:spacing w:after="0"/>
        <w:ind w:left="720"/>
        <w:jc w:val="left"/>
      </w:pPr>
      <w:r w:rsidRPr="00767D0A">
        <w:t>Trend analys</w:t>
      </w:r>
      <w:r w:rsidR="00801E7A">
        <w:t>e</w:t>
      </w:r>
      <w:r w:rsidRPr="00767D0A">
        <w:t>s involve computing the dollar amount by which each account changes from</w:t>
      </w:r>
      <w:r>
        <w:t xml:space="preserve"> </w:t>
      </w:r>
      <w:r w:rsidRPr="00767D0A">
        <w:t>one period to the next and expressing that change as a percentage of the balance for the</w:t>
      </w:r>
      <w:r>
        <w:t xml:space="preserve"> </w:t>
      </w:r>
      <w:r w:rsidRPr="00767D0A">
        <w:t>prior period.</w:t>
      </w:r>
    </w:p>
    <w:p w14:paraId="067FBA56" w14:textId="06568562" w:rsidR="00767D0A" w:rsidRPr="00767D0A" w:rsidRDefault="004729B2" w:rsidP="005739DE">
      <w:pPr>
        <w:pStyle w:val="BodyText"/>
        <w:tabs>
          <w:tab w:val="num" w:pos="360"/>
        </w:tabs>
        <w:spacing w:before="120" w:after="120"/>
        <w:ind w:left="360" w:hanging="360"/>
        <w:jc w:val="left"/>
        <w:rPr>
          <w:b/>
          <w:bCs/>
        </w:rPr>
      </w:pPr>
      <w:r>
        <w:rPr>
          <w:b/>
          <w:bCs/>
        </w:rPr>
        <w:t xml:space="preserve">LO </w:t>
      </w:r>
      <w:r w:rsidR="005742DA">
        <w:rPr>
          <w:b/>
          <w:bCs/>
        </w:rPr>
        <w:t>13-</w:t>
      </w:r>
      <w:r>
        <w:rPr>
          <w:b/>
          <w:bCs/>
        </w:rPr>
        <w:t>3</w:t>
      </w:r>
      <w:r w:rsidRPr="00E91FE1">
        <w:rPr>
          <w:b/>
          <w:bCs/>
        </w:rPr>
        <w:t xml:space="preserve"> </w:t>
      </w:r>
      <w:r w:rsidR="00767D0A" w:rsidRPr="00767D0A">
        <w:rPr>
          <w:b/>
          <w:bCs/>
        </w:rPr>
        <w:t>Use vertical (common size) analys</w:t>
      </w:r>
      <w:r w:rsidR="00D432B2">
        <w:rPr>
          <w:b/>
          <w:bCs/>
        </w:rPr>
        <w:t>e</w:t>
      </w:r>
      <w:r w:rsidR="00767D0A" w:rsidRPr="00767D0A">
        <w:rPr>
          <w:b/>
          <w:bCs/>
        </w:rPr>
        <w:t>s to understand important relationships</w:t>
      </w:r>
      <w:r>
        <w:rPr>
          <w:b/>
          <w:bCs/>
        </w:rPr>
        <w:t xml:space="preserve"> </w:t>
      </w:r>
      <w:r w:rsidR="00767D0A" w:rsidRPr="00767D0A">
        <w:rPr>
          <w:b/>
          <w:bCs/>
        </w:rPr>
        <w:t>within financial statements.</w:t>
      </w:r>
    </w:p>
    <w:p w14:paraId="6D1C36F4" w14:textId="238D6874" w:rsidR="00767D0A" w:rsidRPr="00051189" w:rsidRDefault="00051189" w:rsidP="0085275A">
      <w:pPr>
        <w:pStyle w:val="BodyText"/>
        <w:numPr>
          <w:ilvl w:val="0"/>
          <w:numId w:val="1"/>
        </w:numPr>
        <w:spacing w:after="0"/>
        <w:ind w:left="720"/>
        <w:jc w:val="left"/>
        <w:rPr>
          <w:szCs w:val="22"/>
        </w:rPr>
      </w:pPr>
      <w:r w:rsidRPr="0085275A">
        <w:rPr>
          <w:szCs w:val="22"/>
        </w:rPr>
        <w:t>Vertical (common size) analyses indicate the proportions within each financial statement category.</w:t>
      </w:r>
    </w:p>
    <w:p w14:paraId="6E7513F1" w14:textId="02ECF380" w:rsidR="00767D0A" w:rsidRPr="00767D0A" w:rsidRDefault="004729B2" w:rsidP="00767D0A">
      <w:pPr>
        <w:pStyle w:val="BodyText"/>
        <w:spacing w:before="120" w:after="120"/>
        <w:jc w:val="left"/>
        <w:rPr>
          <w:b/>
          <w:bCs/>
        </w:rPr>
      </w:pPr>
      <w:r>
        <w:rPr>
          <w:b/>
          <w:bCs/>
        </w:rPr>
        <w:t xml:space="preserve">LO </w:t>
      </w:r>
      <w:r w:rsidR="005742DA">
        <w:rPr>
          <w:b/>
          <w:bCs/>
        </w:rPr>
        <w:t>13-</w:t>
      </w:r>
      <w:r>
        <w:rPr>
          <w:b/>
          <w:bCs/>
        </w:rPr>
        <w:t>4</w:t>
      </w:r>
      <w:r w:rsidRPr="00E91FE1">
        <w:rPr>
          <w:b/>
          <w:bCs/>
        </w:rPr>
        <w:t xml:space="preserve"> </w:t>
      </w:r>
      <w:r w:rsidR="00767D0A" w:rsidRPr="00767D0A">
        <w:rPr>
          <w:b/>
          <w:bCs/>
        </w:rPr>
        <w:t>Calculate financial ratios to assess profitability, liquidity, and</w:t>
      </w:r>
      <w:r w:rsidR="00767D0A">
        <w:rPr>
          <w:b/>
          <w:bCs/>
        </w:rPr>
        <w:t xml:space="preserve"> </w:t>
      </w:r>
      <w:r w:rsidR="00767D0A" w:rsidRPr="00767D0A">
        <w:rPr>
          <w:b/>
          <w:bCs/>
        </w:rPr>
        <w:t xml:space="preserve">solvency. </w:t>
      </w:r>
    </w:p>
    <w:p w14:paraId="1C8AF492" w14:textId="77777777" w:rsidR="00767D0A" w:rsidRPr="00767D0A" w:rsidRDefault="00767D0A" w:rsidP="00397729">
      <w:pPr>
        <w:pStyle w:val="BodyText"/>
        <w:numPr>
          <w:ilvl w:val="0"/>
          <w:numId w:val="1"/>
        </w:numPr>
        <w:spacing w:after="0"/>
        <w:ind w:left="720"/>
        <w:jc w:val="left"/>
      </w:pPr>
      <w:r w:rsidRPr="00767D0A">
        <w:t>Financial ratios are commonly classified with relation to profitability, liquidity, or</w:t>
      </w:r>
      <w:r w:rsidR="004729B2">
        <w:t xml:space="preserve"> </w:t>
      </w:r>
      <w:r w:rsidRPr="00767D0A">
        <w:t>solvency. Exhibit 13.5 lists common ratios in these three categories and shows how</w:t>
      </w:r>
      <w:r w:rsidR="004729B2">
        <w:t xml:space="preserve"> </w:t>
      </w:r>
      <w:r w:rsidRPr="00767D0A">
        <w:t>to compute them.</w:t>
      </w:r>
    </w:p>
    <w:p w14:paraId="19D54DCC" w14:textId="77777777" w:rsidR="00767D0A" w:rsidRPr="00767D0A" w:rsidRDefault="00767D0A" w:rsidP="00397729">
      <w:pPr>
        <w:pStyle w:val="BodyText"/>
        <w:numPr>
          <w:ilvl w:val="0"/>
          <w:numId w:val="1"/>
        </w:numPr>
        <w:spacing w:after="0"/>
        <w:ind w:left="720"/>
        <w:jc w:val="left"/>
      </w:pPr>
      <w:r w:rsidRPr="00767D0A">
        <w:t>Profitability ratios focus on measuring the adequacy of a company’s income by comparing it</w:t>
      </w:r>
      <w:r w:rsidR="004729B2">
        <w:t xml:space="preserve"> </w:t>
      </w:r>
      <w:r w:rsidRPr="00767D0A">
        <w:t>to other items reported on the financial statements.</w:t>
      </w:r>
    </w:p>
    <w:p w14:paraId="27164CE6" w14:textId="77777777" w:rsidR="00767D0A" w:rsidRPr="00767D0A" w:rsidRDefault="00767D0A" w:rsidP="00397729">
      <w:pPr>
        <w:pStyle w:val="BodyText"/>
        <w:numPr>
          <w:ilvl w:val="0"/>
          <w:numId w:val="1"/>
        </w:numPr>
        <w:spacing w:after="0"/>
        <w:ind w:left="720"/>
        <w:jc w:val="left"/>
      </w:pPr>
      <w:r w:rsidRPr="00767D0A">
        <w:t>Liquidity ratios measure a company’s ability to meet its current debt obligations.</w:t>
      </w:r>
    </w:p>
    <w:p w14:paraId="1D90D977" w14:textId="77777777" w:rsidR="00767D0A" w:rsidRPr="00767D0A" w:rsidRDefault="00767D0A" w:rsidP="00397729">
      <w:pPr>
        <w:pStyle w:val="BodyText"/>
        <w:numPr>
          <w:ilvl w:val="0"/>
          <w:numId w:val="1"/>
        </w:numPr>
        <w:spacing w:after="0"/>
        <w:ind w:left="720"/>
        <w:jc w:val="left"/>
      </w:pPr>
      <w:r w:rsidRPr="00767D0A">
        <w:t>Solvency ratios measure a company’s ability to meet its long-term debt obligations.</w:t>
      </w:r>
    </w:p>
    <w:p w14:paraId="58F36FC3" w14:textId="5746224E" w:rsidR="00767D0A" w:rsidRPr="00767D0A" w:rsidRDefault="004729B2" w:rsidP="00767D0A">
      <w:pPr>
        <w:pStyle w:val="BodyText"/>
        <w:spacing w:before="120" w:after="120"/>
        <w:jc w:val="left"/>
        <w:rPr>
          <w:b/>
          <w:bCs/>
        </w:rPr>
      </w:pPr>
      <w:r>
        <w:rPr>
          <w:b/>
          <w:bCs/>
        </w:rPr>
        <w:t xml:space="preserve">LO </w:t>
      </w:r>
      <w:r w:rsidR="005742DA">
        <w:rPr>
          <w:b/>
          <w:bCs/>
        </w:rPr>
        <w:t>13-</w:t>
      </w:r>
      <w:r>
        <w:rPr>
          <w:b/>
          <w:bCs/>
        </w:rPr>
        <w:t>5</w:t>
      </w:r>
      <w:r w:rsidRPr="00E91FE1">
        <w:rPr>
          <w:b/>
          <w:bCs/>
        </w:rPr>
        <w:t xml:space="preserve"> </w:t>
      </w:r>
      <w:r w:rsidR="00767D0A" w:rsidRPr="00767D0A">
        <w:rPr>
          <w:b/>
          <w:bCs/>
        </w:rPr>
        <w:t>Interpret the results of financial analyses.</w:t>
      </w:r>
    </w:p>
    <w:p w14:paraId="0E137B43" w14:textId="77777777" w:rsidR="00767D0A" w:rsidRPr="00767D0A" w:rsidRDefault="00767D0A" w:rsidP="00397729">
      <w:pPr>
        <w:pStyle w:val="BodyText"/>
        <w:numPr>
          <w:ilvl w:val="0"/>
          <w:numId w:val="1"/>
        </w:numPr>
        <w:spacing w:after="0"/>
        <w:ind w:left="720"/>
        <w:jc w:val="left"/>
      </w:pPr>
      <w:r w:rsidRPr="00767D0A">
        <w:t>Financial analyses are not complete unless they lead to an interpretation that helps financial</w:t>
      </w:r>
      <w:r w:rsidR="004729B2">
        <w:t xml:space="preserve"> </w:t>
      </w:r>
      <w:r w:rsidRPr="00767D0A">
        <w:t>statement users understand and evaluate a company’s financial results.</w:t>
      </w:r>
    </w:p>
    <w:p w14:paraId="1C6C70A4" w14:textId="77777777" w:rsidR="00767D0A" w:rsidRPr="00767D0A" w:rsidRDefault="00767D0A" w:rsidP="00397729">
      <w:pPr>
        <w:pStyle w:val="BodyText"/>
        <w:numPr>
          <w:ilvl w:val="0"/>
          <w:numId w:val="1"/>
        </w:numPr>
        <w:spacing w:after="0"/>
        <w:ind w:left="720"/>
        <w:jc w:val="left"/>
      </w:pPr>
      <w:r w:rsidRPr="00767D0A">
        <w:t>An understanding of whether a business is successful emerges only after you have</w:t>
      </w:r>
      <w:r w:rsidR="004729B2">
        <w:t xml:space="preserve"> </w:t>
      </w:r>
      <w:r w:rsidRPr="00767D0A">
        <w:t>learned to combine analyses into a complete picture or story that depicts the company’s</w:t>
      </w:r>
      <w:r w:rsidR="004729B2">
        <w:t xml:space="preserve"> </w:t>
      </w:r>
      <w:r w:rsidRPr="00767D0A">
        <w:t>performance.</w:t>
      </w:r>
    </w:p>
    <w:p w14:paraId="0729F901" w14:textId="77777777" w:rsidR="00767D0A" w:rsidRPr="004729B2" w:rsidRDefault="00767D0A" w:rsidP="00397729">
      <w:pPr>
        <w:pStyle w:val="BodyText"/>
        <w:numPr>
          <w:ilvl w:val="0"/>
          <w:numId w:val="1"/>
        </w:numPr>
        <w:autoSpaceDE w:val="0"/>
        <w:autoSpaceDN w:val="0"/>
        <w:adjustRightInd w:val="0"/>
        <w:spacing w:after="0"/>
        <w:ind w:left="720"/>
        <w:jc w:val="left"/>
        <w:rPr>
          <w:rFonts w:ascii="Goudy" w:hAnsi="Goudy" w:cs="Goudy"/>
          <w:color w:val="000000"/>
          <w:sz w:val="19"/>
          <w:szCs w:val="19"/>
        </w:rPr>
      </w:pPr>
      <w:r w:rsidRPr="00767D0A">
        <w:t>To assist in developing this picture or story, most analysts compare to benchmarks such</w:t>
      </w:r>
      <w:r w:rsidR="004729B2">
        <w:t xml:space="preserve"> </w:t>
      </w:r>
      <w:r w:rsidRPr="00767D0A">
        <w:t>as the company’s performance in prior years or to competitors’ performance in the</w:t>
      </w:r>
      <w:r w:rsidR="004729B2">
        <w:t xml:space="preserve"> </w:t>
      </w:r>
      <w:r w:rsidRPr="008C452F">
        <w:t>current year.</w:t>
      </w:r>
    </w:p>
    <w:p w14:paraId="70426265" w14:textId="77777777" w:rsidR="005739DE" w:rsidRDefault="005739DE">
      <w:pPr>
        <w:rPr>
          <w:rFonts w:ascii="Arial" w:hAnsi="Arial"/>
          <w:b/>
          <w:kern w:val="28"/>
          <w:sz w:val="24"/>
          <w:u w:val="single"/>
        </w:rPr>
      </w:pPr>
      <w:r>
        <w:br w:type="page"/>
      </w:r>
    </w:p>
    <w:p w14:paraId="3DC59E06" w14:textId="77777777" w:rsidR="005739DE" w:rsidRPr="00AB00C1" w:rsidRDefault="005739DE" w:rsidP="005739DE">
      <w:pPr>
        <w:pStyle w:val="Heading1"/>
        <w:rPr>
          <w:u w:val="none"/>
        </w:rPr>
      </w:pPr>
      <w:r>
        <w:lastRenderedPageBreak/>
        <w:t>Chapter Summary</w:t>
      </w:r>
      <w:r>
        <w:rPr>
          <w:u w:val="none"/>
        </w:rPr>
        <w:t>, continued</w:t>
      </w:r>
    </w:p>
    <w:p w14:paraId="614C2438" w14:textId="389EFC01" w:rsidR="00767D0A" w:rsidRPr="00767D0A" w:rsidRDefault="004729B2" w:rsidP="00767D0A">
      <w:pPr>
        <w:pStyle w:val="BodyText"/>
        <w:spacing w:before="120" w:after="120"/>
        <w:jc w:val="left"/>
        <w:rPr>
          <w:b/>
          <w:bCs/>
        </w:rPr>
      </w:pPr>
      <w:r>
        <w:rPr>
          <w:b/>
          <w:bCs/>
        </w:rPr>
        <w:t xml:space="preserve">LO </w:t>
      </w:r>
      <w:r w:rsidR="005742DA">
        <w:rPr>
          <w:b/>
          <w:bCs/>
        </w:rPr>
        <w:t>13-</w:t>
      </w:r>
      <w:r>
        <w:rPr>
          <w:b/>
          <w:bCs/>
        </w:rPr>
        <w:t>6</w:t>
      </w:r>
      <w:r w:rsidRPr="00E91FE1">
        <w:rPr>
          <w:b/>
          <w:bCs/>
        </w:rPr>
        <w:t xml:space="preserve"> </w:t>
      </w:r>
      <w:r w:rsidR="00767D0A" w:rsidRPr="00767D0A">
        <w:rPr>
          <w:b/>
          <w:bCs/>
        </w:rPr>
        <w:t>Describe how analyses depend on key accounting decisions and</w:t>
      </w:r>
      <w:r>
        <w:rPr>
          <w:b/>
          <w:bCs/>
        </w:rPr>
        <w:t xml:space="preserve"> </w:t>
      </w:r>
      <w:r w:rsidR="00767D0A" w:rsidRPr="00767D0A">
        <w:rPr>
          <w:b/>
          <w:bCs/>
        </w:rPr>
        <w:t>concepts.</w:t>
      </w:r>
    </w:p>
    <w:p w14:paraId="41166298" w14:textId="77777777" w:rsidR="00767D0A" w:rsidRPr="00767D0A" w:rsidRDefault="00767D0A" w:rsidP="00F520C3">
      <w:pPr>
        <w:pStyle w:val="BodyText"/>
        <w:numPr>
          <w:ilvl w:val="0"/>
          <w:numId w:val="1"/>
        </w:numPr>
        <w:tabs>
          <w:tab w:val="num" w:pos="900"/>
        </w:tabs>
        <w:spacing w:after="0"/>
        <w:ind w:left="630"/>
        <w:jc w:val="left"/>
      </w:pPr>
      <w:r w:rsidRPr="00767D0A">
        <w:t>Before comparing across companies or time periods, users should determine the extent to</w:t>
      </w:r>
      <w:r w:rsidR="004729B2">
        <w:t xml:space="preserve"> </w:t>
      </w:r>
      <w:r w:rsidRPr="00767D0A">
        <w:t>which differences in accounting decisions (e.g., methods used to account for inventory</w:t>
      </w:r>
      <w:r w:rsidR="004729B2">
        <w:t xml:space="preserve">, </w:t>
      </w:r>
      <w:r w:rsidRPr="00767D0A">
        <w:t>depreciation, contingent liabilities, etc.) might reduce comparability or consistency of the</w:t>
      </w:r>
      <w:r w:rsidR="004729B2">
        <w:t xml:space="preserve"> </w:t>
      </w:r>
      <w:r w:rsidRPr="00767D0A">
        <w:t>financial information being compared.</w:t>
      </w:r>
    </w:p>
    <w:p w14:paraId="12D12A6D" w14:textId="77777777" w:rsidR="00767D0A" w:rsidRPr="00767D0A" w:rsidRDefault="00767D0A" w:rsidP="00F520C3">
      <w:pPr>
        <w:pStyle w:val="BodyText"/>
        <w:numPr>
          <w:ilvl w:val="0"/>
          <w:numId w:val="1"/>
        </w:numPr>
        <w:tabs>
          <w:tab w:val="num" w:pos="900"/>
        </w:tabs>
        <w:spacing w:after="0"/>
        <w:ind w:left="630"/>
        <w:jc w:val="left"/>
      </w:pPr>
      <w:r w:rsidRPr="00767D0A">
        <w:t>Many accounting concepts were presented throughout earlier chapters, all of which aim to</w:t>
      </w:r>
      <w:r w:rsidR="004729B2">
        <w:t xml:space="preserve"> </w:t>
      </w:r>
      <w:r w:rsidRPr="00767D0A">
        <w:t xml:space="preserve">make accounting information more useful for creditors and investors. </w:t>
      </w:r>
      <w:r w:rsidR="005742DA">
        <w:t>Two</w:t>
      </w:r>
      <w:r w:rsidRPr="00767D0A">
        <w:t xml:space="preserve"> new concepts</w:t>
      </w:r>
      <w:r w:rsidR="004729B2">
        <w:t xml:space="preserve"> </w:t>
      </w:r>
      <w:r w:rsidRPr="00767D0A">
        <w:t>were explained in this chapter:</w:t>
      </w:r>
    </w:p>
    <w:p w14:paraId="7D555CD4" w14:textId="77777777" w:rsidR="00767D0A" w:rsidRPr="00767D0A" w:rsidRDefault="00767D0A" w:rsidP="004729B2">
      <w:pPr>
        <w:pStyle w:val="BodyText"/>
        <w:numPr>
          <w:ilvl w:val="0"/>
          <w:numId w:val="2"/>
        </w:numPr>
        <w:tabs>
          <w:tab w:val="clear" w:pos="648"/>
          <w:tab w:val="num" w:pos="360"/>
        </w:tabs>
        <w:spacing w:after="0"/>
        <w:ind w:left="576" w:hanging="288"/>
        <w:jc w:val="left"/>
      </w:pPr>
      <w:r w:rsidRPr="00767D0A">
        <w:t>Going-concern (continuity) assumption—a business is assumed to continue to operate</w:t>
      </w:r>
      <w:r w:rsidR="004729B2">
        <w:t xml:space="preserve"> </w:t>
      </w:r>
      <w:r w:rsidRPr="00767D0A">
        <w:t>into the foreseeable future.</w:t>
      </w:r>
    </w:p>
    <w:p w14:paraId="4ED72AEC" w14:textId="77777777" w:rsidR="00767D0A" w:rsidRPr="00767D0A" w:rsidRDefault="00767D0A" w:rsidP="004729B2">
      <w:pPr>
        <w:pStyle w:val="BodyText"/>
        <w:numPr>
          <w:ilvl w:val="0"/>
          <w:numId w:val="2"/>
        </w:numPr>
        <w:tabs>
          <w:tab w:val="clear" w:pos="648"/>
          <w:tab w:val="num" w:pos="360"/>
        </w:tabs>
        <w:spacing w:after="0"/>
        <w:ind w:left="576" w:hanging="288"/>
        <w:jc w:val="left"/>
      </w:pPr>
      <w:r w:rsidRPr="00767D0A">
        <w:t>Full disclosure principle—a company’s financial statements should provide all information</w:t>
      </w:r>
      <w:r w:rsidR="004729B2">
        <w:t xml:space="preserve"> </w:t>
      </w:r>
      <w:r w:rsidRPr="00767D0A">
        <w:t>that is important to users’ decisions.</w:t>
      </w:r>
    </w:p>
    <w:p w14:paraId="2F968DF5" w14:textId="77777777" w:rsidR="00CA3DFE" w:rsidRPr="00767D0A" w:rsidRDefault="00CA3DFE" w:rsidP="00767D0A">
      <w:pPr>
        <w:pStyle w:val="BodyText"/>
        <w:spacing w:before="120" w:after="120"/>
        <w:jc w:val="left"/>
        <w:rPr>
          <w:b/>
          <w:bCs/>
          <w:i/>
          <w:iCs/>
          <w:sz w:val="24"/>
          <w:szCs w:val="24"/>
        </w:rPr>
      </w:pPr>
      <w:r w:rsidRPr="00767D0A">
        <w:rPr>
          <w:b/>
          <w:bCs/>
          <w:i/>
          <w:iCs/>
          <w:sz w:val="24"/>
          <w:szCs w:val="24"/>
        </w:rPr>
        <w:t>Accounting Decision Tools</w:t>
      </w:r>
    </w:p>
    <w:p w14:paraId="3DD0AAE6" w14:textId="77777777" w:rsidR="003C5492" w:rsidRPr="004729B2" w:rsidRDefault="00767D0A" w:rsidP="00767D0A">
      <w:pPr>
        <w:pStyle w:val="BodyText"/>
        <w:numPr>
          <w:ilvl w:val="0"/>
          <w:numId w:val="10"/>
        </w:numPr>
        <w:spacing w:after="0"/>
        <w:jc w:val="left"/>
        <w:rPr>
          <w:szCs w:val="22"/>
        </w:rPr>
      </w:pPr>
      <w:r w:rsidRPr="004729B2">
        <w:rPr>
          <w:szCs w:val="22"/>
        </w:rPr>
        <w:t>See Exhibit 13.5 for a summary.</w:t>
      </w:r>
    </w:p>
    <w:p w14:paraId="09390A8E" w14:textId="77777777" w:rsidR="00C47851" w:rsidRPr="004F07E1" w:rsidRDefault="00C47851">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507ED2" w14:paraId="4E838CB9" w14:textId="77777777">
        <w:tc>
          <w:tcPr>
            <w:tcW w:w="6498" w:type="dxa"/>
            <w:tcBorders>
              <w:right w:val="single" w:sz="4" w:space="0" w:color="auto"/>
            </w:tcBorders>
          </w:tcPr>
          <w:p w14:paraId="6C56AA9F" w14:textId="77777777" w:rsidR="00507ED2" w:rsidRPr="00507ED2" w:rsidRDefault="003C5492" w:rsidP="00CD480D">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53DC8913" w14:textId="77777777" w:rsidR="00507ED2" w:rsidRPr="00CD480D" w:rsidRDefault="0041057B" w:rsidP="00DE6AC4">
            <w:pPr>
              <w:pStyle w:val="Heading1"/>
            </w:pPr>
            <w:r w:rsidRPr="00CD480D">
              <w:t xml:space="preserve">Teaching </w:t>
            </w:r>
            <w:r w:rsidR="00507ED2" w:rsidRPr="00CD480D">
              <w:t>Notes</w:t>
            </w:r>
          </w:p>
        </w:tc>
      </w:tr>
      <w:tr w:rsidR="002F07A6" w14:paraId="495CBB16" w14:textId="77777777" w:rsidTr="00E32366">
        <w:tc>
          <w:tcPr>
            <w:tcW w:w="6498" w:type="dxa"/>
            <w:tcBorders>
              <w:bottom w:val="single" w:sz="4" w:space="0" w:color="auto"/>
              <w:right w:val="single" w:sz="4" w:space="0" w:color="auto"/>
            </w:tcBorders>
          </w:tcPr>
          <w:p w14:paraId="27BA617C" w14:textId="77777777" w:rsidR="002F07A6" w:rsidRPr="007939AD" w:rsidRDefault="002F07A6" w:rsidP="001C1E64">
            <w:pPr>
              <w:pStyle w:val="TableBody"/>
              <w:ind w:left="288" w:hanging="288"/>
            </w:pPr>
            <w:r w:rsidRPr="007939AD">
              <w:t>I.</w:t>
            </w:r>
            <w:r w:rsidRPr="007939AD">
              <w:tab/>
            </w:r>
            <w:r w:rsidRPr="007939AD">
              <w:tab/>
              <w:t>Understand the Business</w:t>
            </w:r>
          </w:p>
        </w:tc>
        <w:tc>
          <w:tcPr>
            <w:tcW w:w="2862" w:type="dxa"/>
            <w:tcBorders>
              <w:left w:val="single" w:sz="4" w:space="0" w:color="auto"/>
              <w:bottom w:val="single" w:sz="4" w:space="0" w:color="auto"/>
            </w:tcBorders>
          </w:tcPr>
          <w:p w14:paraId="343AA871" w14:textId="77777777" w:rsidR="002F07A6" w:rsidRDefault="002F07A6" w:rsidP="0093003C">
            <w:pPr>
              <w:pStyle w:val="TableBody"/>
              <w:ind w:left="360"/>
            </w:pPr>
          </w:p>
        </w:tc>
      </w:tr>
      <w:tr w:rsidR="00E32366" w:rsidRPr="00E32366" w14:paraId="69FE85B4" w14:textId="77777777" w:rsidTr="00E32366">
        <w:tc>
          <w:tcPr>
            <w:tcW w:w="9360" w:type="dxa"/>
            <w:gridSpan w:val="2"/>
            <w:tcBorders>
              <w:top w:val="single" w:sz="4" w:space="0" w:color="auto"/>
              <w:left w:val="single" w:sz="4" w:space="0" w:color="auto"/>
              <w:bottom w:val="single" w:sz="4" w:space="0" w:color="auto"/>
              <w:right w:val="single" w:sz="4" w:space="0" w:color="auto"/>
            </w:tcBorders>
          </w:tcPr>
          <w:p w14:paraId="05821223" w14:textId="463691E6" w:rsidR="00E32366" w:rsidRPr="00E32366" w:rsidRDefault="005742DA" w:rsidP="00051189">
            <w:pPr>
              <w:pStyle w:val="TableBody"/>
              <w:spacing w:before="60" w:after="60"/>
              <w:rPr>
                <w:b/>
              </w:rPr>
            </w:pPr>
            <w:r w:rsidRPr="005742DA">
              <w:rPr>
                <w:b/>
                <w:i/>
                <w:iCs/>
              </w:rPr>
              <w:t>LO 13-</w:t>
            </w:r>
            <w:r w:rsidR="00E32366" w:rsidRPr="00E32366">
              <w:rPr>
                <w:b/>
                <w:i/>
                <w:iCs/>
              </w:rPr>
              <w:t>1 Describe the purposes and uses of horizontal, vertical, and ratio analyses.</w:t>
            </w:r>
          </w:p>
        </w:tc>
      </w:tr>
      <w:tr w:rsidR="004F07E1" w14:paraId="046ABA50" w14:textId="77777777" w:rsidTr="00E32366">
        <w:tc>
          <w:tcPr>
            <w:tcW w:w="6498" w:type="dxa"/>
            <w:tcBorders>
              <w:top w:val="single" w:sz="4" w:space="0" w:color="auto"/>
              <w:right w:val="single" w:sz="4" w:space="0" w:color="auto"/>
            </w:tcBorders>
          </w:tcPr>
          <w:p w14:paraId="645C450C" w14:textId="77777777" w:rsidR="004F07E1" w:rsidRPr="007939AD" w:rsidRDefault="004F07E1" w:rsidP="00BF6CC9">
            <w:pPr>
              <w:pStyle w:val="TableBody"/>
              <w:ind w:left="576"/>
              <w:rPr>
                <w:i/>
                <w:iCs/>
              </w:rPr>
            </w:pPr>
            <w:r w:rsidRPr="007939AD">
              <w:t>A</w:t>
            </w:r>
            <w:r>
              <w:t>.</w:t>
            </w:r>
            <w:r w:rsidRPr="007939AD">
              <w:tab/>
            </w:r>
            <w:r>
              <w:t>Horizontal, Vertical and Ratio Analysis</w:t>
            </w:r>
          </w:p>
        </w:tc>
        <w:tc>
          <w:tcPr>
            <w:tcW w:w="2862" w:type="dxa"/>
            <w:tcBorders>
              <w:top w:val="single" w:sz="4" w:space="0" w:color="auto"/>
              <w:left w:val="single" w:sz="4" w:space="0" w:color="auto"/>
            </w:tcBorders>
          </w:tcPr>
          <w:p w14:paraId="42D1C476" w14:textId="77777777" w:rsidR="004F07E1" w:rsidRDefault="004F07E1" w:rsidP="0093003C">
            <w:pPr>
              <w:pStyle w:val="TableBody"/>
              <w:ind w:left="360"/>
            </w:pPr>
          </w:p>
        </w:tc>
      </w:tr>
      <w:tr w:rsidR="004F07E1" w14:paraId="6B554CA5" w14:textId="77777777">
        <w:tc>
          <w:tcPr>
            <w:tcW w:w="6498" w:type="dxa"/>
            <w:tcBorders>
              <w:right w:val="single" w:sz="4" w:space="0" w:color="auto"/>
            </w:tcBorders>
          </w:tcPr>
          <w:p w14:paraId="0D7A4191" w14:textId="77777777" w:rsidR="004F07E1" w:rsidRPr="00BF6CC9" w:rsidRDefault="004F07E1" w:rsidP="00BF6CC9">
            <w:pPr>
              <w:pStyle w:val="TableBody"/>
              <w:ind w:left="1152" w:hanging="288"/>
              <w:rPr>
                <w:rFonts w:eastAsia="SimSun"/>
                <w:szCs w:val="22"/>
                <w:lang w:eastAsia="zh-CN"/>
              </w:rPr>
            </w:pPr>
            <w:r w:rsidRPr="00BF6CC9">
              <w:rPr>
                <w:rFonts w:eastAsia="SimSun"/>
                <w:szCs w:val="22"/>
                <w:lang w:eastAsia="zh-CN"/>
              </w:rPr>
              <w:t>1.</w:t>
            </w:r>
            <w:r w:rsidRPr="00BF6CC9">
              <w:rPr>
                <w:rFonts w:eastAsia="SimSun"/>
                <w:szCs w:val="22"/>
                <w:lang w:eastAsia="zh-CN"/>
              </w:rPr>
              <w:tab/>
              <w:t>Horizontal (trend) analyses are conducted to help financial statement users</w:t>
            </w:r>
            <w:r>
              <w:rPr>
                <w:rFonts w:eastAsia="SimSun"/>
                <w:szCs w:val="22"/>
                <w:lang w:eastAsia="zh-CN"/>
              </w:rPr>
              <w:t xml:space="preserve"> </w:t>
            </w:r>
            <w:r w:rsidRPr="00BF6CC9">
              <w:rPr>
                <w:rFonts w:eastAsia="SimSun"/>
                <w:szCs w:val="22"/>
                <w:lang w:eastAsia="zh-CN"/>
              </w:rPr>
              <w:t xml:space="preserve">recognize important financial changes that unfold over time. </w:t>
            </w:r>
          </w:p>
        </w:tc>
        <w:tc>
          <w:tcPr>
            <w:tcW w:w="2862" w:type="dxa"/>
            <w:tcBorders>
              <w:left w:val="single" w:sz="4" w:space="0" w:color="auto"/>
            </w:tcBorders>
          </w:tcPr>
          <w:p w14:paraId="26321B7D" w14:textId="77777777" w:rsidR="004F07E1" w:rsidRDefault="004F07E1" w:rsidP="00FC124C">
            <w:pPr>
              <w:pStyle w:val="TableBody"/>
            </w:pPr>
          </w:p>
        </w:tc>
      </w:tr>
      <w:tr w:rsidR="004F07E1" w14:paraId="370660DA" w14:textId="77777777">
        <w:tc>
          <w:tcPr>
            <w:tcW w:w="6498" w:type="dxa"/>
            <w:tcBorders>
              <w:right w:val="single" w:sz="4" w:space="0" w:color="auto"/>
            </w:tcBorders>
          </w:tcPr>
          <w:p w14:paraId="426A45A9" w14:textId="77777777" w:rsidR="004F07E1" w:rsidRPr="00BF6CC9" w:rsidRDefault="004F07E1" w:rsidP="00BF6CC9">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BF6CC9">
              <w:rPr>
                <w:rFonts w:eastAsia="SimSun"/>
                <w:szCs w:val="22"/>
                <w:lang w:eastAsia="zh-CN"/>
              </w:rPr>
              <w:t>Horizontal analysis</w:t>
            </w:r>
            <w:r>
              <w:rPr>
                <w:rFonts w:eastAsia="SimSun"/>
                <w:szCs w:val="22"/>
                <w:lang w:eastAsia="zh-CN"/>
              </w:rPr>
              <w:t xml:space="preserve"> </w:t>
            </w:r>
            <w:r w:rsidRPr="00BF6CC9">
              <w:rPr>
                <w:rFonts w:eastAsia="SimSun"/>
                <w:szCs w:val="22"/>
                <w:lang w:eastAsia="zh-CN"/>
              </w:rPr>
              <w:t>compares individual financial statement line items horizontally (from one period to</w:t>
            </w:r>
            <w:r>
              <w:rPr>
                <w:rFonts w:eastAsia="SimSun"/>
                <w:szCs w:val="22"/>
                <w:lang w:eastAsia="zh-CN"/>
              </w:rPr>
              <w:t xml:space="preserve"> </w:t>
            </w:r>
            <w:r w:rsidRPr="00BF6CC9">
              <w:rPr>
                <w:rFonts w:eastAsia="SimSun"/>
                <w:szCs w:val="22"/>
                <w:lang w:eastAsia="zh-CN"/>
              </w:rPr>
              <w:t>the next), with the general goal of identifying significant sustained changes (trends).</w:t>
            </w:r>
          </w:p>
        </w:tc>
        <w:tc>
          <w:tcPr>
            <w:tcW w:w="2862" w:type="dxa"/>
            <w:tcBorders>
              <w:left w:val="single" w:sz="4" w:space="0" w:color="auto"/>
            </w:tcBorders>
          </w:tcPr>
          <w:p w14:paraId="01FF37A5" w14:textId="77777777" w:rsidR="004F07E1" w:rsidRDefault="004F07E1" w:rsidP="00FC124C">
            <w:pPr>
              <w:pStyle w:val="TableBody"/>
            </w:pPr>
          </w:p>
        </w:tc>
      </w:tr>
      <w:tr w:rsidR="004F07E1" w14:paraId="3568B182" w14:textId="77777777">
        <w:tc>
          <w:tcPr>
            <w:tcW w:w="6498" w:type="dxa"/>
            <w:tcBorders>
              <w:right w:val="single" w:sz="4" w:space="0" w:color="auto"/>
            </w:tcBorders>
          </w:tcPr>
          <w:p w14:paraId="0ABE4F9C" w14:textId="77777777" w:rsidR="004F07E1" w:rsidRPr="00BF6CC9" w:rsidRDefault="004F07E1" w:rsidP="00BF6CC9">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BF6CC9">
              <w:rPr>
                <w:rFonts w:eastAsia="SimSun"/>
                <w:szCs w:val="22"/>
                <w:lang w:eastAsia="zh-CN"/>
              </w:rPr>
              <w:t>These changes are typically described in terms of dollar amounts and year-over-year</w:t>
            </w:r>
            <w:r>
              <w:rPr>
                <w:rFonts w:eastAsia="SimSun"/>
                <w:szCs w:val="22"/>
                <w:lang w:eastAsia="zh-CN"/>
              </w:rPr>
              <w:t xml:space="preserve"> </w:t>
            </w:r>
            <w:r w:rsidRPr="00BF6CC9">
              <w:rPr>
                <w:rFonts w:eastAsia="SimSun"/>
                <w:szCs w:val="22"/>
                <w:lang w:eastAsia="zh-CN"/>
              </w:rPr>
              <w:t>percentages</w:t>
            </w:r>
            <w:r>
              <w:rPr>
                <w:rFonts w:eastAsia="SimSun"/>
                <w:szCs w:val="22"/>
                <w:lang w:eastAsia="zh-CN"/>
              </w:rPr>
              <w:t>.</w:t>
            </w:r>
          </w:p>
        </w:tc>
        <w:tc>
          <w:tcPr>
            <w:tcW w:w="2862" w:type="dxa"/>
            <w:tcBorders>
              <w:left w:val="single" w:sz="4" w:space="0" w:color="auto"/>
            </w:tcBorders>
          </w:tcPr>
          <w:p w14:paraId="4200D7EF" w14:textId="77777777" w:rsidR="004F07E1" w:rsidRDefault="004F07E1" w:rsidP="00FC124C">
            <w:pPr>
              <w:pStyle w:val="TableBody"/>
            </w:pPr>
          </w:p>
        </w:tc>
      </w:tr>
      <w:tr w:rsidR="004F07E1" w14:paraId="2793A161" w14:textId="77777777">
        <w:tc>
          <w:tcPr>
            <w:tcW w:w="6498" w:type="dxa"/>
            <w:tcBorders>
              <w:right w:val="single" w:sz="4" w:space="0" w:color="auto"/>
            </w:tcBorders>
          </w:tcPr>
          <w:p w14:paraId="0C6E9F39" w14:textId="77777777" w:rsidR="004F07E1" w:rsidRPr="003D68F2" w:rsidRDefault="004F07E1" w:rsidP="00BF6CC9">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BF6CC9">
              <w:rPr>
                <w:rFonts w:eastAsia="SimSun"/>
                <w:szCs w:val="22"/>
                <w:lang w:eastAsia="zh-CN"/>
              </w:rPr>
              <w:t xml:space="preserve">Vertical analyses focus on important relationships between items on the same financial statement. </w:t>
            </w:r>
          </w:p>
        </w:tc>
        <w:tc>
          <w:tcPr>
            <w:tcW w:w="2862" w:type="dxa"/>
            <w:tcBorders>
              <w:left w:val="single" w:sz="4" w:space="0" w:color="auto"/>
            </w:tcBorders>
          </w:tcPr>
          <w:p w14:paraId="0ADEFCC4" w14:textId="77777777" w:rsidR="004F07E1" w:rsidRDefault="004F07E1" w:rsidP="00FC124C">
            <w:pPr>
              <w:pStyle w:val="TableBody"/>
            </w:pPr>
          </w:p>
        </w:tc>
      </w:tr>
      <w:tr w:rsidR="004F07E1" w14:paraId="582C8C4C" w14:textId="77777777">
        <w:tc>
          <w:tcPr>
            <w:tcW w:w="6498" w:type="dxa"/>
            <w:tcBorders>
              <w:right w:val="single" w:sz="4" w:space="0" w:color="auto"/>
            </w:tcBorders>
          </w:tcPr>
          <w:p w14:paraId="65A2C63A" w14:textId="77777777" w:rsidR="004F07E1" w:rsidRDefault="004F07E1" w:rsidP="00BF6CC9">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BF6CC9">
              <w:rPr>
                <w:rFonts w:eastAsia="SimSun"/>
                <w:szCs w:val="22"/>
                <w:lang w:eastAsia="zh-CN"/>
              </w:rPr>
              <w:t>These items are compared vertically (one account balance versus another).</w:t>
            </w:r>
          </w:p>
        </w:tc>
        <w:tc>
          <w:tcPr>
            <w:tcW w:w="2862" w:type="dxa"/>
            <w:tcBorders>
              <w:left w:val="single" w:sz="4" w:space="0" w:color="auto"/>
            </w:tcBorders>
          </w:tcPr>
          <w:p w14:paraId="309B7D8E" w14:textId="77777777" w:rsidR="004F07E1" w:rsidRDefault="004F07E1" w:rsidP="00FC124C">
            <w:pPr>
              <w:pStyle w:val="TableBody"/>
            </w:pPr>
          </w:p>
        </w:tc>
      </w:tr>
      <w:tr w:rsidR="004F07E1" w14:paraId="617BECCC" w14:textId="77777777">
        <w:tc>
          <w:tcPr>
            <w:tcW w:w="6498" w:type="dxa"/>
            <w:tcBorders>
              <w:right w:val="single" w:sz="4" w:space="0" w:color="auto"/>
            </w:tcBorders>
          </w:tcPr>
          <w:p w14:paraId="400F2609" w14:textId="77777777" w:rsidR="004F07E1" w:rsidRDefault="004F07E1" w:rsidP="00BF6CC9">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BF6CC9">
              <w:rPr>
                <w:rFonts w:eastAsia="SimSun"/>
                <w:szCs w:val="22"/>
                <w:lang w:eastAsia="zh-CN"/>
              </w:rPr>
              <w:t>These items are typically expressed as percentages to reveal the relative contributions made by each financial statement item.</w:t>
            </w:r>
          </w:p>
        </w:tc>
        <w:tc>
          <w:tcPr>
            <w:tcW w:w="2862" w:type="dxa"/>
            <w:tcBorders>
              <w:left w:val="single" w:sz="4" w:space="0" w:color="auto"/>
            </w:tcBorders>
          </w:tcPr>
          <w:p w14:paraId="20330CBA" w14:textId="77777777" w:rsidR="004F07E1" w:rsidRDefault="004F07E1" w:rsidP="00FC124C">
            <w:pPr>
              <w:pStyle w:val="TableBody"/>
            </w:pPr>
          </w:p>
        </w:tc>
      </w:tr>
      <w:tr w:rsidR="004F07E1" w14:paraId="444CE0C0" w14:textId="77777777">
        <w:tc>
          <w:tcPr>
            <w:tcW w:w="6498" w:type="dxa"/>
            <w:tcBorders>
              <w:right w:val="single" w:sz="4" w:space="0" w:color="auto"/>
            </w:tcBorders>
          </w:tcPr>
          <w:p w14:paraId="6A3834E9" w14:textId="77777777" w:rsidR="004F07E1" w:rsidRDefault="004F07E1" w:rsidP="00BF6CC9">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BF6CC9">
              <w:rPr>
                <w:rFonts w:eastAsia="SimSun"/>
                <w:szCs w:val="22"/>
                <w:lang w:eastAsia="zh-CN"/>
              </w:rPr>
              <w:t xml:space="preserve">Ratio analyses are conducted to understand relationships among various items reported in one or more of the financial statements. </w:t>
            </w:r>
          </w:p>
        </w:tc>
        <w:tc>
          <w:tcPr>
            <w:tcW w:w="2862" w:type="dxa"/>
            <w:tcBorders>
              <w:left w:val="single" w:sz="4" w:space="0" w:color="auto"/>
            </w:tcBorders>
          </w:tcPr>
          <w:p w14:paraId="0952B094" w14:textId="77777777" w:rsidR="004F07E1" w:rsidRDefault="004F07E1" w:rsidP="00FC124C">
            <w:pPr>
              <w:pStyle w:val="TableBody"/>
            </w:pPr>
          </w:p>
        </w:tc>
      </w:tr>
      <w:tr w:rsidR="004F07E1" w14:paraId="37F49BC9" w14:textId="77777777">
        <w:tc>
          <w:tcPr>
            <w:tcW w:w="6498" w:type="dxa"/>
            <w:tcBorders>
              <w:right w:val="single" w:sz="4" w:space="0" w:color="auto"/>
            </w:tcBorders>
          </w:tcPr>
          <w:p w14:paraId="54570E6D" w14:textId="77777777" w:rsidR="004F07E1" w:rsidRDefault="004F07E1" w:rsidP="00BF6CC9">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t>N</w:t>
            </w:r>
            <w:r w:rsidRPr="00BF6CC9">
              <w:rPr>
                <w:rFonts w:eastAsia="SimSun"/>
                <w:szCs w:val="22"/>
                <w:lang w:eastAsia="zh-CN"/>
              </w:rPr>
              <w:t>o analysis is complete unless it leads to an interpretation that helps financial statement users understand and evaluate a company’s financial results.</w:t>
            </w:r>
          </w:p>
        </w:tc>
        <w:tc>
          <w:tcPr>
            <w:tcW w:w="2862" w:type="dxa"/>
            <w:tcBorders>
              <w:left w:val="single" w:sz="4" w:space="0" w:color="auto"/>
            </w:tcBorders>
          </w:tcPr>
          <w:p w14:paraId="2AD13BEC" w14:textId="77777777" w:rsidR="004F07E1" w:rsidRDefault="004F07E1" w:rsidP="004F07E1">
            <w:pPr>
              <w:pStyle w:val="ListParagraph"/>
              <w:numPr>
                <w:ilvl w:val="0"/>
                <w:numId w:val="17"/>
              </w:numPr>
              <w:ind w:left="288" w:hanging="288"/>
              <w:jc w:val="left"/>
            </w:pPr>
            <w:r>
              <w:t>Supplemental Enrichment Activity (Activity) #1</w:t>
            </w:r>
          </w:p>
        </w:tc>
      </w:tr>
      <w:tr w:rsidR="004F07E1" w14:paraId="64533745" w14:textId="77777777">
        <w:tc>
          <w:tcPr>
            <w:tcW w:w="6498" w:type="dxa"/>
            <w:tcBorders>
              <w:right w:val="single" w:sz="4" w:space="0" w:color="auto"/>
            </w:tcBorders>
          </w:tcPr>
          <w:p w14:paraId="3E0939B3" w14:textId="77777777" w:rsidR="004F07E1" w:rsidRPr="007939AD" w:rsidRDefault="004F07E1" w:rsidP="00265392">
            <w:pPr>
              <w:pStyle w:val="TableBody"/>
              <w:ind w:left="288" w:hanging="288"/>
            </w:pPr>
            <w:r>
              <w:t>II.</w:t>
            </w:r>
            <w:r>
              <w:tab/>
            </w:r>
            <w:r>
              <w:tab/>
              <w:t>Study the Accounting Methods</w:t>
            </w:r>
          </w:p>
        </w:tc>
        <w:tc>
          <w:tcPr>
            <w:tcW w:w="2862" w:type="dxa"/>
            <w:tcBorders>
              <w:left w:val="single" w:sz="4" w:space="0" w:color="auto"/>
            </w:tcBorders>
          </w:tcPr>
          <w:p w14:paraId="02F74D0A" w14:textId="77777777" w:rsidR="004F07E1" w:rsidRDefault="004F07E1" w:rsidP="00FC124C">
            <w:pPr>
              <w:pStyle w:val="TableBody"/>
            </w:pPr>
          </w:p>
        </w:tc>
      </w:tr>
      <w:tr w:rsidR="004F07E1" w:rsidRPr="00D53C32" w14:paraId="26929392" w14:textId="77777777" w:rsidTr="00E61C8F">
        <w:tc>
          <w:tcPr>
            <w:tcW w:w="9360" w:type="dxa"/>
            <w:gridSpan w:val="2"/>
            <w:tcBorders>
              <w:top w:val="single" w:sz="4" w:space="0" w:color="auto"/>
              <w:left w:val="single" w:sz="4" w:space="0" w:color="auto"/>
              <w:bottom w:val="single" w:sz="4" w:space="0" w:color="auto"/>
              <w:right w:val="single" w:sz="4" w:space="0" w:color="auto"/>
            </w:tcBorders>
          </w:tcPr>
          <w:p w14:paraId="677C4C93" w14:textId="3687EEBC" w:rsidR="004F07E1" w:rsidRPr="00D53C32" w:rsidRDefault="005742DA" w:rsidP="00E61C8F">
            <w:pPr>
              <w:pStyle w:val="TableBody"/>
              <w:spacing w:before="60" w:after="60"/>
              <w:rPr>
                <w:b/>
                <w:i/>
                <w:iCs/>
              </w:rPr>
            </w:pPr>
            <w:r w:rsidRPr="005742DA">
              <w:rPr>
                <w:b/>
                <w:i/>
                <w:iCs/>
              </w:rPr>
              <w:t>LO 13-</w:t>
            </w:r>
            <w:r w:rsidR="004F07E1" w:rsidRPr="00D53C32">
              <w:rPr>
                <w:b/>
                <w:i/>
                <w:iCs/>
              </w:rPr>
              <w:t>2 Use horizontal (trend) analys</w:t>
            </w:r>
            <w:r w:rsidR="004F07E1">
              <w:rPr>
                <w:b/>
                <w:i/>
                <w:iCs/>
              </w:rPr>
              <w:t>e</w:t>
            </w:r>
            <w:r w:rsidR="004F07E1" w:rsidRPr="00D53C32">
              <w:rPr>
                <w:b/>
                <w:i/>
                <w:iCs/>
              </w:rPr>
              <w:t>s to recognize financial changes that unfold over time.</w:t>
            </w:r>
          </w:p>
        </w:tc>
      </w:tr>
      <w:tr w:rsidR="004F07E1" w14:paraId="01D17A3D" w14:textId="77777777" w:rsidTr="00DE6AC4">
        <w:tc>
          <w:tcPr>
            <w:tcW w:w="6498" w:type="dxa"/>
            <w:tcBorders>
              <w:right w:val="single" w:sz="4" w:space="0" w:color="auto"/>
            </w:tcBorders>
          </w:tcPr>
          <w:p w14:paraId="60341EA8" w14:textId="77777777" w:rsidR="004F07E1" w:rsidRPr="007939AD" w:rsidRDefault="004F07E1" w:rsidP="00DE6AC4">
            <w:pPr>
              <w:pStyle w:val="TableBody"/>
              <w:ind w:left="864" w:hanging="288"/>
            </w:pPr>
            <w:r>
              <w:t>A.</w:t>
            </w:r>
            <w:r>
              <w:tab/>
              <w:t>Horizontal (Trend) Computations</w:t>
            </w:r>
          </w:p>
        </w:tc>
        <w:tc>
          <w:tcPr>
            <w:tcW w:w="2862" w:type="dxa"/>
            <w:tcBorders>
              <w:left w:val="single" w:sz="4" w:space="0" w:color="auto"/>
            </w:tcBorders>
          </w:tcPr>
          <w:p w14:paraId="4A88EBF9" w14:textId="77777777" w:rsidR="004F07E1" w:rsidRDefault="004F07E1" w:rsidP="00FC124C">
            <w:pPr>
              <w:pStyle w:val="TableBody"/>
            </w:pPr>
          </w:p>
        </w:tc>
      </w:tr>
      <w:tr w:rsidR="004F07E1" w14:paraId="35416855" w14:textId="77777777" w:rsidTr="00DE6AC4">
        <w:tc>
          <w:tcPr>
            <w:tcW w:w="6498" w:type="dxa"/>
            <w:tcBorders>
              <w:right w:val="single" w:sz="4" w:space="0" w:color="auto"/>
            </w:tcBorders>
          </w:tcPr>
          <w:p w14:paraId="5C4B3446" w14:textId="5D85A131" w:rsidR="004F07E1" w:rsidRPr="00B80335" w:rsidRDefault="004F07E1" w:rsidP="00051189">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B80335">
              <w:rPr>
                <w:rFonts w:eastAsia="SimSun"/>
                <w:b/>
                <w:bCs/>
                <w:szCs w:val="22"/>
                <w:lang w:eastAsia="zh-CN"/>
              </w:rPr>
              <w:t>Horizontal analyses</w:t>
            </w:r>
            <w:r w:rsidR="00051189">
              <w:rPr>
                <w:rFonts w:eastAsia="SimSun"/>
                <w:szCs w:val="22"/>
                <w:lang w:eastAsia="zh-CN"/>
              </w:rPr>
              <w:t>—</w:t>
            </w:r>
            <w:r>
              <w:rPr>
                <w:rFonts w:eastAsia="SimSun"/>
                <w:szCs w:val="22"/>
                <w:lang w:eastAsia="zh-CN"/>
              </w:rPr>
              <w:t xml:space="preserve">Comparing </w:t>
            </w:r>
            <w:r w:rsidRPr="00B80335">
              <w:rPr>
                <w:rFonts w:eastAsia="SimSun"/>
                <w:szCs w:val="22"/>
                <w:lang w:eastAsia="zh-CN"/>
              </w:rPr>
              <w:t>across time, often</w:t>
            </w:r>
            <w:r>
              <w:rPr>
                <w:rFonts w:eastAsia="SimSun"/>
                <w:szCs w:val="22"/>
                <w:lang w:eastAsia="zh-CN"/>
              </w:rPr>
              <w:t xml:space="preserve"> </w:t>
            </w:r>
            <w:r w:rsidRPr="00B80335">
              <w:rPr>
                <w:rFonts w:eastAsia="SimSun"/>
                <w:szCs w:val="22"/>
                <w:lang w:eastAsia="zh-CN"/>
              </w:rPr>
              <w:t>expressing changes in account</w:t>
            </w:r>
            <w:r>
              <w:rPr>
                <w:rFonts w:eastAsia="SimSun"/>
                <w:szCs w:val="22"/>
                <w:lang w:eastAsia="zh-CN"/>
              </w:rPr>
              <w:t xml:space="preserve"> </w:t>
            </w:r>
            <w:r w:rsidRPr="00B80335">
              <w:rPr>
                <w:rFonts w:eastAsia="SimSun"/>
                <w:szCs w:val="22"/>
                <w:lang w:eastAsia="zh-CN"/>
              </w:rPr>
              <w:t>balances as a percentage of prior</w:t>
            </w:r>
            <w:r>
              <w:rPr>
                <w:rFonts w:eastAsia="SimSun"/>
                <w:szCs w:val="22"/>
                <w:lang w:eastAsia="zh-CN"/>
              </w:rPr>
              <w:t xml:space="preserve"> </w:t>
            </w:r>
            <w:r w:rsidRPr="00B80335">
              <w:rPr>
                <w:rFonts w:eastAsia="SimSun"/>
                <w:szCs w:val="22"/>
                <w:lang w:eastAsia="zh-CN"/>
              </w:rPr>
              <w:t>year balances.</w:t>
            </w:r>
          </w:p>
        </w:tc>
        <w:tc>
          <w:tcPr>
            <w:tcW w:w="2862" w:type="dxa"/>
            <w:tcBorders>
              <w:left w:val="single" w:sz="4" w:space="0" w:color="auto"/>
            </w:tcBorders>
          </w:tcPr>
          <w:p w14:paraId="4C215186" w14:textId="77777777" w:rsidR="004F07E1" w:rsidRDefault="004F07E1" w:rsidP="00FC124C">
            <w:pPr>
              <w:pStyle w:val="TableBody"/>
            </w:pPr>
            <w:r>
              <w:t>Illustrated in Exhibits 13.1 and 13.2</w:t>
            </w:r>
          </w:p>
        </w:tc>
      </w:tr>
      <w:tr w:rsidR="004F07E1" w14:paraId="4E8C7FDF" w14:textId="77777777">
        <w:tc>
          <w:tcPr>
            <w:tcW w:w="6498" w:type="dxa"/>
            <w:tcBorders>
              <w:right w:val="single" w:sz="4" w:space="0" w:color="auto"/>
            </w:tcBorders>
          </w:tcPr>
          <w:p w14:paraId="294C58E0" w14:textId="28550FD4" w:rsidR="004F07E1" w:rsidRDefault="004F07E1" w:rsidP="00051189">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B80335">
              <w:rPr>
                <w:rFonts w:eastAsia="SimSun"/>
                <w:b/>
                <w:bCs/>
                <w:szCs w:val="22"/>
                <w:lang w:eastAsia="zh-CN"/>
              </w:rPr>
              <w:t>Time-series analyses</w:t>
            </w:r>
            <w:r w:rsidR="00051189">
              <w:rPr>
                <w:rFonts w:eastAsia="SimSun"/>
                <w:szCs w:val="22"/>
                <w:lang w:eastAsia="zh-CN"/>
              </w:rPr>
              <w:t>—</w:t>
            </w:r>
            <w:r>
              <w:rPr>
                <w:rFonts w:eastAsia="SimSun"/>
                <w:szCs w:val="22"/>
                <w:lang w:eastAsia="zh-CN"/>
              </w:rPr>
              <w:t>C</w:t>
            </w:r>
            <w:r w:rsidRPr="00B80335">
              <w:rPr>
                <w:rFonts w:eastAsia="SimSun"/>
                <w:szCs w:val="22"/>
                <w:lang w:eastAsia="zh-CN"/>
              </w:rPr>
              <w:t>ompare changes in account</w:t>
            </w:r>
            <w:r>
              <w:rPr>
                <w:rFonts w:eastAsia="SimSun"/>
                <w:szCs w:val="22"/>
                <w:lang w:eastAsia="zh-CN"/>
              </w:rPr>
              <w:t xml:space="preserve"> </w:t>
            </w:r>
            <w:r w:rsidRPr="00B80335">
              <w:rPr>
                <w:rFonts w:eastAsia="SimSun"/>
                <w:szCs w:val="22"/>
                <w:lang w:eastAsia="zh-CN"/>
              </w:rPr>
              <w:t>balances over a series of time periods.</w:t>
            </w:r>
          </w:p>
        </w:tc>
        <w:tc>
          <w:tcPr>
            <w:tcW w:w="2862" w:type="dxa"/>
            <w:tcBorders>
              <w:left w:val="single" w:sz="4" w:space="0" w:color="auto"/>
            </w:tcBorders>
          </w:tcPr>
          <w:p w14:paraId="70FA549A" w14:textId="77777777" w:rsidR="004F07E1" w:rsidRDefault="004F07E1" w:rsidP="00FC124C">
            <w:pPr>
              <w:pStyle w:val="TableBody"/>
            </w:pPr>
          </w:p>
        </w:tc>
      </w:tr>
      <w:tr w:rsidR="004F07E1" w14:paraId="26CCCCB0" w14:textId="77777777">
        <w:tc>
          <w:tcPr>
            <w:tcW w:w="6498" w:type="dxa"/>
            <w:tcBorders>
              <w:right w:val="single" w:sz="4" w:space="0" w:color="auto"/>
            </w:tcBorders>
          </w:tcPr>
          <w:p w14:paraId="7F126573" w14:textId="7E3694A1" w:rsidR="004F07E1" w:rsidRDefault="004F07E1" w:rsidP="00051189">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B80335">
              <w:rPr>
                <w:rFonts w:eastAsia="SimSun"/>
                <w:szCs w:val="22"/>
                <w:lang w:eastAsia="zh-CN"/>
              </w:rPr>
              <w:t>Year-</w:t>
            </w:r>
            <w:r>
              <w:rPr>
                <w:rFonts w:eastAsia="SimSun"/>
                <w:szCs w:val="22"/>
                <w:lang w:eastAsia="zh-CN"/>
              </w:rPr>
              <w:t>to</w:t>
            </w:r>
            <w:r w:rsidRPr="00B80335">
              <w:rPr>
                <w:rFonts w:eastAsia="SimSun"/>
                <w:szCs w:val="22"/>
                <w:lang w:eastAsia="zh-CN"/>
              </w:rPr>
              <w:t xml:space="preserve">-Year Change (%) = (Change This Year divided by Prior Year’s Total) </w:t>
            </w:r>
            <w:r w:rsidR="00051189">
              <w:rPr>
                <w:rFonts w:eastAsia="SimSun"/>
                <w:szCs w:val="22"/>
                <w:lang w:eastAsia="zh-CN"/>
              </w:rPr>
              <w:t>×</w:t>
            </w:r>
            <w:r w:rsidRPr="00B80335">
              <w:rPr>
                <w:rFonts w:eastAsia="SimSun"/>
                <w:szCs w:val="22"/>
                <w:lang w:eastAsia="zh-CN"/>
              </w:rPr>
              <w:t>100</w:t>
            </w:r>
            <w:r>
              <w:rPr>
                <w:rFonts w:eastAsia="SimSun"/>
                <w:szCs w:val="22"/>
                <w:lang w:eastAsia="zh-CN"/>
              </w:rPr>
              <w:t xml:space="preserve"> </w:t>
            </w:r>
            <w:r w:rsidRPr="00B80335">
              <w:rPr>
                <w:rFonts w:eastAsia="SimSun"/>
                <w:szCs w:val="22"/>
                <w:lang w:eastAsia="zh-CN"/>
              </w:rPr>
              <w:t>or</w:t>
            </w:r>
            <w:r>
              <w:rPr>
                <w:rFonts w:eastAsia="SimSun"/>
                <w:szCs w:val="22"/>
                <w:lang w:eastAsia="zh-CN"/>
              </w:rPr>
              <w:t xml:space="preserve">, in other words, </w:t>
            </w:r>
            <w:r>
              <w:rPr>
                <w:rFonts w:eastAsia="SimSun"/>
                <w:szCs w:val="22"/>
                <w:lang w:eastAsia="zh-CN"/>
              </w:rPr>
              <w:br/>
            </w:r>
            <w:r w:rsidRPr="00B80335">
              <w:rPr>
                <w:rFonts w:eastAsia="SimSun"/>
                <w:szCs w:val="22"/>
                <w:lang w:eastAsia="zh-CN"/>
              </w:rPr>
              <w:t xml:space="preserve">(Current Year’s Total </w:t>
            </w:r>
            <w:r w:rsidR="00051189">
              <w:rPr>
                <w:rFonts w:eastAsia="SimSun"/>
                <w:szCs w:val="22"/>
                <w:lang w:eastAsia="zh-CN"/>
              </w:rPr>
              <w:t>−</w:t>
            </w:r>
            <w:r w:rsidRPr="00B80335">
              <w:rPr>
                <w:rFonts w:eastAsia="SimSun"/>
                <w:szCs w:val="22"/>
                <w:lang w:eastAsia="zh-CN"/>
              </w:rPr>
              <w:t xml:space="preserve"> Prior Year’s Total) divided by Prior Year’s Total) </w:t>
            </w:r>
            <w:r w:rsidR="00051189">
              <w:rPr>
                <w:rFonts w:eastAsia="SimSun"/>
                <w:szCs w:val="22"/>
                <w:lang w:eastAsia="zh-CN"/>
              </w:rPr>
              <w:t>×</w:t>
            </w:r>
            <w:r w:rsidRPr="00B80335">
              <w:rPr>
                <w:rFonts w:eastAsia="SimSun"/>
                <w:szCs w:val="22"/>
                <w:lang w:eastAsia="zh-CN"/>
              </w:rPr>
              <w:t xml:space="preserve"> 100.</w:t>
            </w:r>
          </w:p>
        </w:tc>
        <w:tc>
          <w:tcPr>
            <w:tcW w:w="2862" w:type="dxa"/>
            <w:tcBorders>
              <w:left w:val="single" w:sz="4" w:space="0" w:color="auto"/>
            </w:tcBorders>
          </w:tcPr>
          <w:p w14:paraId="7FCAEC01" w14:textId="77777777" w:rsidR="004F07E1" w:rsidRDefault="004F07E1" w:rsidP="00FC124C">
            <w:pPr>
              <w:pStyle w:val="TableBody"/>
            </w:pPr>
          </w:p>
        </w:tc>
      </w:tr>
      <w:tr w:rsidR="004F07E1" w:rsidRPr="00D53C32" w14:paraId="26D89585" w14:textId="77777777" w:rsidTr="00EF639E">
        <w:tc>
          <w:tcPr>
            <w:tcW w:w="9360" w:type="dxa"/>
            <w:gridSpan w:val="2"/>
            <w:tcBorders>
              <w:top w:val="single" w:sz="4" w:space="0" w:color="auto"/>
              <w:left w:val="single" w:sz="4" w:space="0" w:color="auto"/>
              <w:bottom w:val="single" w:sz="4" w:space="0" w:color="auto"/>
              <w:right w:val="single" w:sz="4" w:space="0" w:color="auto"/>
            </w:tcBorders>
          </w:tcPr>
          <w:p w14:paraId="19D54C30" w14:textId="0EF0D6FB" w:rsidR="004F07E1" w:rsidRPr="00D53C32" w:rsidRDefault="005742DA" w:rsidP="00DE6AC4">
            <w:pPr>
              <w:pStyle w:val="TableBody"/>
              <w:spacing w:before="60" w:after="60"/>
              <w:ind w:left="648" w:hanging="648"/>
              <w:rPr>
                <w:b/>
                <w:i/>
                <w:iCs/>
              </w:rPr>
            </w:pPr>
            <w:r w:rsidRPr="005742DA">
              <w:rPr>
                <w:b/>
                <w:i/>
                <w:iCs/>
              </w:rPr>
              <w:t>LO 13-</w:t>
            </w:r>
            <w:r w:rsidR="004F07E1">
              <w:rPr>
                <w:b/>
                <w:i/>
                <w:iCs/>
              </w:rPr>
              <w:t>3</w:t>
            </w:r>
            <w:r w:rsidR="004F07E1" w:rsidRPr="00D53C32">
              <w:rPr>
                <w:b/>
                <w:i/>
                <w:iCs/>
              </w:rPr>
              <w:t xml:space="preserve"> Use vertical (common size) analys</w:t>
            </w:r>
            <w:r w:rsidR="004F07E1">
              <w:rPr>
                <w:b/>
                <w:i/>
                <w:iCs/>
              </w:rPr>
              <w:t>e</w:t>
            </w:r>
            <w:r w:rsidR="004F07E1" w:rsidRPr="00D53C32">
              <w:rPr>
                <w:b/>
                <w:i/>
                <w:iCs/>
              </w:rPr>
              <w:t>s to understand important relationships within financial statements.</w:t>
            </w:r>
          </w:p>
        </w:tc>
      </w:tr>
      <w:tr w:rsidR="004F07E1" w14:paraId="00F6B7EF" w14:textId="77777777" w:rsidTr="00E61C8F">
        <w:tc>
          <w:tcPr>
            <w:tcW w:w="6498" w:type="dxa"/>
            <w:tcBorders>
              <w:right w:val="single" w:sz="4" w:space="0" w:color="auto"/>
            </w:tcBorders>
          </w:tcPr>
          <w:p w14:paraId="5DECDF1D" w14:textId="77777777" w:rsidR="004F07E1" w:rsidRPr="007939AD" w:rsidRDefault="004F07E1" w:rsidP="00DE6AC4">
            <w:pPr>
              <w:pStyle w:val="TableBody"/>
              <w:ind w:left="864" w:hanging="288"/>
            </w:pPr>
            <w:r>
              <w:t>B.</w:t>
            </w:r>
            <w:r>
              <w:tab/>
              <w:t>Vertical (Common Size) Computations</w:t>
            </w:r>
          </w:p>
        </w:tc>
        <w:tc>
          <w:tcPr>
            <w:tcW w:w="2862" w:type="dxa"/>
            <w:tcBorders>
              <w:left w:val="single" w:sz="4" w:space="0" w:color="auto"/>
            </w:tcBorders>
          </w:tcPr>
          <w:p w14:paraId="63384688" w14:textId="77777777" w:rsidR="004F07E1" w:rsidRDefault="004F07E1" w:rsidP="00E61C8F">
            <w:pPr>
              <w:pStyle w:val="TableBody"/>
            </w:pPr>
          </w:p>
        </w:tc>
      </w:tr>
      <w:tr w:rsidR="004F07E1" w14:paraId="08923514" w14:textId="77777777" w:rsidTr="00E61C8F">
        <w:tc>
          <w:tcPr>
            <w:tcW w:w="6498" w:type="dxa"/>
            <w:tcBorders>
              <w:right w:val="single" w:sz="4" w:space="0" w:color="auto"/>
            </w:tcBorders>
          </w:tcPr>
          <w:p w14:paraId="13FB0E37" w14:textId="2A8816DB" w:rsidR="004F07E1" w:rsidRPr="00B80335" w:rsidRDefault="004F07E1" w:rsidP="00DE6AC4">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DE6AC4">
              <w:rPr>
                <w:rFonts w:eastAsia="SimSun"/>
                <w:b/>
                <w:szCs w:val="22"/>
                <w:lang w:eastAsia="zh-CN"/>
              </w:rPr>
              <w:t xml:space="preserve">Vertical </w:t>
            </w:r>
            <w:r>
              <w:rPr>
                <w:rFonts w:eastAsia="SimSun"/>
                <w:b/>
                <w:szCs w:val="22"/>
                <w:lang w:eastAsia="zh-CN"/>
              </w:rPr>
              <w:t xml:space="preserve">(common size) </w:t>
            </w:r>
            <w:r w:rsidRPr="00DE6AC4">
              <w:rPr>
                <w:rFonts w:eastAsia="SimSun"/>
                <w:b/>
                <w:szCs w:val="22"/>
                <w:lang w:eastAsia="zh-CN"/>
              </w:rPr>
              <w:t>analyses</w:t>
            </w:r>
            <w:r w:rsidR="00051189">
              <w:rPr>
                <w:rFonts w:eastAsia="SimSun"/>
                <w:szCs w:val="22"/>
                <w:lang w:eastAsia="zh-CN"/>
              </w:rPr>
              <w:t>—</w:t>
            </w:r>
            <w:r>
              <w:rPr>
                <w:rFonts w:eastAsia="SimSun"/>
                <w:szCs w:val="22"/>
                <w:lang w:eastAsia="zh-CN"/>
              </w:rPr>
              <w:t xml:space="preserve">Expressing each </w:t>
            </w:r>
            <w:r w:rsidRPr="00DE6AC4">
              <w:rPr>
                <w:rFonts w:eastAsia="SimSun"/>
                <w:szCs w:val="22"/>
                <w:lang w:eastAsia="zh-CN"/>
              </w:rPr>
              <w:t>financial statement amount as a percentage of another amount on the same financial statement.</w:t>
            </w:r>
          </w:p>
        </w:tc>
        <w:tc>
          <w:tcPr>
            <w:tcW w:w="2862" w:type="dxa"/>
            <w:tcBorders>
              <w:left w:val="single" w:sz="4" w:space="0" w:color="auto"/>
            </w:tcBorders>
          </w:tcPr>
          <w:p w14:paraId="215D04E9" w14:textId="77777777" w:rsidR="004F07E1" w:rsidRDefault="004F07E1" w:rsidP="00E61C8F">
            <w:pPr>
              <w:pStyle w:val="TableBody"/>
            </w:pPr>
          </w:p>
        </w:tc>
      </w:tr>
    </w:tbl>
    <w:p w14:paraId="6C0AF49A" w14:textId="77777777" w:rsidR="00DE6AC4" w:rsidRPr="004F07E1" w:rsidRDefault="00DE6AC4" w:rsidP="00DE6AC4">
      <w:pPr>
        <w:rPr>
          <w:sz w:val="4"/>
          <w:szCs w:val="4"/>
        </w:rPr>
      </w:pPr>
      <w:r>
        <w:br w:type="page"/>
      </w:r>
    </w:p>
    <w:tbl>
      <w:tblPr>
        <w:tblW w:w="0" w:type="auto"/>
        <w:tblLayout w:type="fixed"/>
        <w:tblLook w:val="01E0" w:firstRow="1" w:lastRow="1" w:firstColumn="1" w:lastColumn="1" w:noHBand="0" w:noVBand="0"/>
      </w:tblPr>
      <w:tblGrid>
        <w:gridCol w:w="6498"/>
        <w:gridCol w:w="2862"/>
      </w:tblGrid>
      <w:tr w:rsidR="00DE6AC4" w:rsidRPr="00CD480D" w14:paraId="345978A7" w14:textId="77777777" w:rsidTr="00E61C8F">
        <w:tc>
          <w:tcPr>
            <w:tcW w:w="6498" w:type="dxa"/>
            <w:tcBorders>
              <w:right w:val="single" w:sz="4" w:space="0" w:color="auto"/>
            </w:tcBorders>
          </w:tcPr>
          <w:p w14:paraId="7B56A034" w14:textId="77777777" w:rsidR="00DE6AC4" w:rsidRPr="00507ED2" w:rsidRDefault="00DE6AC4" w:rsidP="00E61C8F">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54CF4D5" w14:textId="77777777" w:rsidR="00DE6AC4" w:rsidRPr="00CD480D" w:rsidRDefault="00DE6AC4" w:rsidP="00DE6AC4">
            <w:pPr>
              <w:pStyle w:val="Heading1"/>
            </w:pPr>
            <w:r w:rsidRPr="00CD480D">
              <w:t>Teaching Notes</w:t>
            </w:r>
          </w:p>
        </w:tc>
      </w:tr>
      <w:tr w:rsidR="00DE6AC4" w14:paraId="36B09377" w14:textId="77777777" w:rsidTr="00E61C8F">
        <w:tc>
          <w:tcPr>
            <w:tcW w:w="6498" w:type="dxa"/>
            <w:tcBorders>
              <w:right w:val="single" w:sz="4" w:space="0" w:color="auto"/>
            </w:tcBorders>
          </w:tcPr>
          <w:p w14:paraId="6776805F" w14:textId="77777777" w:rsidR="00DE6AC4" w:rsidRDefault="00DE6AC4" w:rsidP="00DE6AC4">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DE6AC4">
              <w:rPr>
                <w:rFonts w:eastAsia="SimSun"/>
                <w:szCs w:val="22"/>
                <w:lang w:eastAsia="zh-CN"/>
              </w:rPr>
              <w:t>When a company is growing or shrinking overall,</w:t>
            </w:r>
            <w:r>
              <w:rPr>
                <w:rFonts w:eastAsia="SimSun"/>
                <w:szCs w:val="22"/>
                <w:lang w:eastAsia="zh-CN"/>
              </w:rPr>
              <w:t xml:space="preserve"> </w:t>
            </w:r>
            <w:r w:rsidRPr="00DE6AC4">
              <w:rPr>
                <w:rFonts w:eastAsia="SimSun"/>
                <w:szCs w:val="22"/>
                <w:lang w:eastAsia="zh-CN"/>
              </w:rPr>
              <w:t>it is difficult to tell from the dollar amounts whether the proportions within each statement</w:t>
            </w:r>
            <w:r>
              <w:rPr>
                <w:rFonts w:eastAsia="SimSun"/>
                <w:szCs w:val="22"/>
                <w:lang w:eastAsia="zh-CN"/>
              </w:rPr>
              <w:t xml:space="preserve"> </w:t>
            </w:r>
            <w:r w:rsidRPr="00DE6AC4">
              <w:rPr>
                <w:rFonts w:eastAsia="SimSun"/>
                <w:szCs w:val="22"/>
                <w:lang w:eastAsia="zh-CN"/>
              </w:rPr>
              <w:t xml:space="preserve">category are changing. </w:t>
            </w:r>
          </w:p>
        </w:tc>
        <w:tc>
          <w:tcPr>
            <w:tcW w:w="2862" w:type="dxa"/>
            <w:tcBorders>
              <w:left w:val="single" w:sz="4" w:space="0" w:color="auto"/>
            </w:tcBorders>
          </w:tcPr>
          <w:p w14:paraId="4827B752" w14:textId="77777777" w:rsidR="00DE6AC4" w:rsidRDefault="00DE6AC4" w:rsidP="00E61C8F">
            <w:pPr>
              <w:pStyle w:val="TableBody"/>
            </w:pPr>
          </w:p>
        </w:tc>
      </w:tr>
      <w:tr w:rsidR="00DE6AC4" w14:paraId="42D66E88" w14:textId="77777777" w:rsidTr="00E61C8F">
        <w:tc>
          <w:tcPr>
            <w:tcW w:w="6498" w:type="dxa"/>
            <w:tcBorders>
              <w:right w:val="single" w:sz="4" w:space="0" w:color="auto"/>
            </w:tcBorders>
          </w:tcPr>
          <w:p w14:paraId="2F160B6E" w14:textId="77777777" w:rsidR="00DE6AC4" w:rsidRDefault="00DE6AC4" w:rsidP="00DE6AC4">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DE6AC4">
              <w:rPr>
                <w:rFonts w:eastAsia="SimSun"/>
                <w:szCs w:val="22"/>
                <w:lang w:eastAsia="zh-CN"/>
              </w:rPr>
              <w:t>Common size financial statements provide this information</w:t>
            </w:r>
            <w:r>
              <w:rPr>
                <w:rFonts w:eastAsia="SimSun"/>
                <w:szCs w:val="22"/>
                <w:lang w:eastAsia="zh-CN"/>
              </w:rPr>
              <w:t xml:space="preserve"> </w:t>
            </w:r>
            <w:r w:rsidRPr="00DE6AC4">
              <w:rPr>
                <w:rFonts w:eastAsia="SimSun"/>
                <w:szCs w:val="22"/>
                <w:lang w:eastAsia="zh-CN"/>
              </w:rPr>
              <w:t>by expressing each financial statement amount as a percentage of another amount on</w:t>
            </w:r>
            <w:r>
              <w:rPr>
                <w:rFonts w:eastAsia="SimSun"/>
                <w:szCs w:val="22"/>
                <w:lang w:eastAsia="zh-CN"/>
              </w:rPr>
              <w:t xml:space="preserve"> </w:t>
            </w:r>
            <w:r w:rsidRPr="00DE6AC4">
              <w:rPr>
                <w:rFonts w:eastAsia="SimSun"/>
                <w:szCs w:val="22"/>
                <w:lang w:eastAsia="zh-CN"/>
              </w:rPr>
              <w:t>that statement.</w:t>
            </w:r>
          </w:p>
        </w:tc>
        <w:tc>
          <w:tcPr>
            <w:tcW w:w="2862" w:type="dxa"/>
            <w:tcBorders>
              <w:left w:val="single" w:sz="4" w:space="0" w:color="auto"/>
            </w:tcBorders>
          </w:tcPr>
          <w:p w14:paraId="7BC15492" w14:textId="77777777" w:rsidR="00DE6AC4" w:rsidRDefault="00DE6AC4" w:rsidP="00E61C8F">
            <w:pPr>
              <w:pStyle w:val="TableBody"/>
            </w:pPr>
          </w:p>
        </w:tc>
      </w:tr>
      <w:tr w:rsidR="00DE6AC4" w14:paraId="04CCE8D9" w14:textId="77777777" w:rsidTr="00E61C8F">
        <w:tc>
          <w:tcPr>
            <w:tcW w:w="6498" w:type="dxa"/>
            <w:tcBorders>
              <w:right w:val="single" w:sz="4" w:space="0" w:color="auto"/>
            </w:tcBorders>
          </w:tcPr>
          <w:p w14:paraId="375B3D3C" w14:textId="77777777" w:rsidR="00DE6AC4" w:rsidRDefault="00DE6AC4" w:rsidP="00DE6AC4">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DE6AC4">
              <w:rPr>
                <w:rFonts w:eastAsia="SimSun"/>
                <w:szCs w:val="22"/>
                <w:lang w:eastAsia="zh-CN"/>
              </w:rPr>
              <w:t>In a common size balance sheet, each asset appears as a percent of total assets, and each liability or stockholders’ equity item appears as a percent of total liabilities and stockholders’ equity.</w:t>
            </w:r>
          </w:p>
        </w:tc>
        <w:tc>
          <w:tcPr>
            <w:tcW w:w="2862" w:type="dxa"/>
            <w:tcBorders>
              <w:left w:val="single" w:sz="4" w:space="0" w:color="auto"/>
            </w:tcBorders>
          </w:tcPr>
          <w:p w14:paraId="4248FADE" w14:textId="77777777" w:rsidR="00DE6AC4" w:rsidRDefault="00DE6AC4" w:rsidP="00DE6AC4">
            <w:pPr>
              <w:pStyle w:val="TableBody"/>
            </w:pPr>
            <w:r>
              <w:t>Illustrated in Exhibit 13.3</w:t>
            </w:r>
          </w:p>
        </w:tc>
      </w:tr>
      <w:tr w:rsidR="00DE6AC4" w14:paraId="4CAEA15C" w14:textId="77777777" w:rsidTr="00DE6AC4">
        <w:tc>
          <w:tcPr>
            <w:tcW w:w="6498" w:type="dxa"/>
            <w:tcBorders>
              <w:bottom w:val="single" w:sz="4" w:space="0" w:color="auto"/>
              <w:right w:val="single" w:sz="4" w:space="0" w:color="auto"/>
            </w:tcBorders>
          </w:tcPr>
          <w:p w14:paraId="440D8A46" w14:textId="77777777" w:rsidR="00DE6AC4" w:rsidRDefault="00DE6AC4" w:rsidP="00DE6AC4">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DE6AC4">
              <w:rPr>
                <w:rFonts w:eastAsia="SimSun"/>
                <w:szCs w:val="22"/>
                <w:lang w:eastAsia="zh-CN"/>
              </w:rPr>
              <w:t>The common size income statement reports each income statement item as a percentage of sales.</w:t>
            </w:r>
          </w:p>
        </w:tc>
        <w:tc>
          <w:tcPr>
            <w:tcW w:w="2862" w:type="dxa"/>
            <w:tcBorders>
              <w:left w:val="single" w:sz="4" w:space="0" w:color="auto"/>
              <w:bottom w:val="single" w:sz="4" w:space="0" w:color="auto"/>
            </w:tcBorders>
          </w:tcPr>
          <w:p w14:paraId="567E772B" w14:textId="77777777" w:rsidR="00DE6AC4" w:rsidRDefault="00DE6AC4" w:rsidP="00DE6AC4">
            <w:pPr>
              <w:pStyle w:val="TableBody"/>
            </w:pPr>
            <w:r>
              <w:t>Illustrated in Exhibit 13.4</w:t>
            </w:r>
          </w:p>
        </w:tc>
      </w:tr>
      <w:tr w:rsidR="00DE6AC4" w:rsidRPr="00DE6AC4" w14:paraId="28E9BC46" w14:textId="77777777" w:rsidTr="00DE6AC4">
        <w:tc>
          <w:tcPr>
            <w:tcW w:w="9360" w:type="dxa"/>
            <w:gridSpan w:val="2"/>
            <w:tcBorders>
              <w:top w:val="single" w:sz="4" w:space="0" w:color="auto"/>
              <w:left w:val="single" w:sz="4" w:space="0" w:color="auto"/>
              <w:bottom w:val="single" w:sz="4" w:space="0" w:color="auto"/>
              <w:right w:val="single" w:sz="4" w:space="0" w:color="auto"/>
            </w:tcBorders>
          </w:tcPr>
          <w:p w14:paraId="6271201C" w14:textId="41E1A5F3" w:rsidR="00DE6AC4" w:rsidRPr="00D53C32" w:rsidRDefault="005742DA" w:rsidP="00E61C8F">
            <w:pPr>
              <w:pStyle w:val="TableBody"/>
              <w:spacing w:before="60" w:after="60"/>
              <w:rPr>
                <w:b/>
                <w:i/>
                <w:iCs/>
              </w:rPr>
            </w:pPr>
            <w:r w:rsidRPr="005742DA">
              <w:rPr>
                <w:b/>
                <w:i/>
                <w:iCs/>
              </w:rPr>
              <w:t>LO 13-</w:t>
            </w:r>
            <w:r w:rsidR="00DE6AC4">
              <w:rPr>
                <w:b/>
                <w:i/>
                <w:iCs/>
              </w:rPr>
              <w:t>4</w:t>
            </w:r>
            <w:r w:rsidR="00DE6AC4" w:rsidRPr="00D53C32">
              <w:rPr>
                <w:b/>
                <w:i/>
                <w:iCs/>
              </w:rPr>
              <w:t xml:space="preserve"> Calculate financial ratios to assess profitability, liquidity, and solvency.</w:t>
            </w:r>
          </w:p>
        </w:tc>
      </w:tr>
      <w:tr w:rsidR="00DE6AC4" w14:paraId="6748EBA8" w14:textId="77777777" w:rsidTr="00DE6AC4">
        <w:tc>
          <w:tcPr>
            <w:tcW w:w="6498" w:type="dxa"/>
            <w:tcBorders>
              <w:top w:val="single" w:sz="4" w:space="0" w:color="auto"/>
              <w:right w:val="single" w:sz="4" w:space="0" w:color="auto"/>
            </w:tcBorders>
          </w:tcPr>
          <w:p w14:paraId="29E884B3" w14:textId="77777777" w:rsidR="00DE6AC4" w:rsidRPr="003D68F2" w:rsidRDefault="00DE6AC4" w:rsidP="00DE6AC4">
            <w:pPr>
              <w:pStyle w:val="TableBody"/>
              <w:ind w:left="864" w:hanging="288"/>
              <w:rPr>
                <w:rFonts w:eastAsia="SimSun"/>
                <w:szCs w:val="22"/>
                <w:lang w:eastAsia="zh-CN"/>
              </w:rPr>
            </w:pPr>
            <w:r>
              <w:rPr>
                <w:rFonts w:eastAsia="SimSun"/>
                <w:szCs w:val="22"/>
                <w:lang w:eastAsia="zh-CN"/>
              </w:rPr>
              <w:t>C.</w:t>
            </w:r>
            <w:r>
              <w:rPr>
                <w:rFonts w:eastAsia="SimSun"/>
                <w:szCs w:val="22"/>
                <w:lang w:eastAsia="zh-CN"/>
              </w:rPr>
              <w:tab/>
              <w:t>Ratio Computations</w:t>
            </w:r>
          </w:p>
        </w:tc>
        <w:tc>
          <w:tcPr>
            <w:tcW w:w="2862" w:type="dxa"/>
            <w:tcBorders>
              <w:top w:val="single" w:sz="4" w:space="0" w:color="auto"/>
              <w:left w:val="single" w:sz="4" w:space="0" w:color="auto"/>
            </w:tcBorders>
          </w:tcPr>
          <w:p w14:paraId="58379481" w14:textId="77777777" w:rsidR="00DE6AC4" w:rsidRDefault="00DE6AC4" w:rsidP="00E61C8F">
            <w:pPr>
              <w:pStyle w:val="TableBody"/>
            </w:pPr>
          </w:p>
        </w:tc>
      </w:tr>
      <w:tr w:rsidR="00DE6AC4" w14:paraId="1C8D2622" w14:textId="77777777" w:rsidTr="00DE6AC4">
        <w:tc>
          <w:tcPr>
            <w:tcW w:w="6498" w:type="dxa"/>
            <w:tcBorders>
              <w:right w:val="single" w:sz="4" w:space="0" w:color="auto"/>
            </w:tcBorders>
          </w:tcPr>
          <w:p w14:paraId="73858137" w14:textId="3A85D4FD" w:rsidR="00DE6AC4" w:rsidRPr="003D68F2" w:rsidRDefault="00DE6AC4" w:rsidP="00DE6AC4">
            <w:pPr>
              <w:pStyle w:val="TableBody"/>
              <w:ind w:left="1152" w:hanging="288"/>
              <w:rPr>
                <w:rFonts w:eastAsia="SimSun"/>
                <w:szCs w:val="22"/>
                <w:lang w:eastAsia="zh-CN"/>
              </w:rPr>
            </w:pPr>
            <w:r>
              <w:rPr>
                <w:rFonts w:eastAsia="SimSun"/>
                <w:szCs w:val="22"/>
                <w:lang w:eastAsia="zh-CN"/>
              </w:rPr>
              <w:t>1</w:t>
            </w:r>
            <w:r w:rsidRPr="003D68F2">
              <w:rPr>
                <w:rFonts w:eastAsia="SimSun"/>
                <w:szCs w:val="22"/>
                <w:lang w:eastAsia="zh-CN"/>
              </w:rPr>
              <w:t>.</w:t>
            </w:r>
            <w:r w:rsidRPr="003D68F2">
              <w:rPr>
                <w:rFonts w:eastAsia="SimSun"/>
                <w:szCs w:val="22"/>
                <w:lang w:eastAsia="zh-CN"/>
              </w:rPr>
              <w:tab/>
            </w:r>
            <w:r w:rsidRPr="00DE6AC4">
              <w:rPr>
                <w:rFonts w:eastAsia="SimSun"/>
                <w:b/>
                <w:szCs w:val="22"/>
                <w:lang w:eastAsia="zh-CN"/>
              </w:rPr>
              <w:t>Ratio analyses</w:t>
            </w:r>
            <w:r w:rsidR="00051189">
              <w:rPr>
                <w:rFonts w:eastAsia="SimSun"/>
                <w:szCs w:val="22"/>
                <w:lang w:eastAsia="zh-CN"/>
              </w:rPr>
              <w:t>—</w:t>
            </w:r>
            <w:r>
              <w:rPr>
                <w:rFonts w:eastAsia="SimSun"/>
                <w:szCs w:val="22"/>
                <w:lang w:eastAsia="zh-CN"/>
              </w:rPr>
              <w:t>H</w:t>
            </w:r>
            <w:r w:rsidRPr="00DE6AC4">
              <w:rPr>
                <w:rFonts w:eastAsia="SimSun"/>
                <w:szCs w:val="22"/>
                <w:lang w:eastAsia="zh-CN"/>
              </w:rPr>
              <w:t>elp financial statement users to understand relationships among various items reported in the financial statements</w:t>
            </w:r>
            <w:r w:rsidR="00DC04CC">
              <w:rPr>
                <w:rFonts w:eastAsia="SimSun"/>
                <w:szCs w:val="22"/>
                <w:lang w:eastAsia="zh-CN"/>
              </w:rPr>
              <w:t>.</w:t>
            </w:r>
          </w:p>
        </w:tc>
        <w:tc>
          <w:tcPr>
            <w:tcW w:w="2862" w:type="dxa"/>
            <w:tcBorders>
              <w:left w:val="single" w:sz="4" w:space="0" w:color="auto"/>
            </w:tcBorders>
          </w:tcPr>
          <w:p w14:paraId="63BB1E7A" w14:textId="77777777" w:rsidR="00DE6AC4" w:rsidRDefault="00DE6AC4" w:rsidP="00E61C8F">
            <w:pPr>
              <w:pStyle w:val="TableBody"/>
            </w:pPr>
          </w:p>
        </w:tc>
      </w:tr>
      <w:tr w:rsidR="00993956" w14:paraId="6056BD95" w14:textId="77777777" w:rsidTr="00DE6AC4">
        <w:tc>
          <w:tcPr>
            <w:tcW w:w="6498" w:type="dxa"/>
            <w:tcBorders>
              <w:right w:val="single" w:sz="4" w:space="0" w:color="auto"/>
            </w:tcBorders>
          </w:tcPr>
          <w:p w14:paraId="6DFCAAD5" w14:textId="77777777" w:rsidR="00993956" w:rsidRDefault="00993956" w:rsidP="00993956">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993956">
              <w:rPr>
                <w:rFonts w:eastAsia="SimSun"/>
                <w:szCs w:val="22"/>
                <w:lang w:eastAsia="zh-CN"/>
              </w:rPr>
              <w:t>This type of analysis compares the amounts for one or more line items to the amounts for other line items in the same year.</w:t>
            </w:r>
          </w:p>
        </w:tc>
        <w:tc>
          <w:tcPr>
            <w:tcW w:w="2862" w:type="dxa"/>
            <w:tcBorders>
              <w:left w:val="single" w:sz="4" w:space="0" w:color="auto"/>
            </w:tcBorders>
          </w:tcPr>
          <w:p w14:paraId="1132AE55" w14:textId="77777777" w:rsidR="00993956" w:rsidRDefault="00993956" w:rsidP="00E61C8F">
            <w:pPr>
              <w:pStyle w:val="TableBody"/>
            </w:pPr>
          </w:p>
        </w:tc>
      </w:tr>
      <w:tr w:rsidR="004F07E1" w14:paraId="493FB24F" w14:textId="77777777" w:rsidTr="00DE6AC4">
        <w:tc>
          <w:tcPr>
            <w:tcW w:w="6498" w:type="dxa"/>
            <w:tcBorders>
              <w:right w:val="single" w:sz="4" w:space="0" w:color="auto"/>
            </w:tcBorders>
          </w:tcPr>
          <w:p w14:paraId="7AB3DAA3" w14:textId="77777777" w:rsidR="004F07E1" w:rsidRPr="003D68F2" w:rsidRDefault="004F07E1" w:rsidP="00E61C8F">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DE6AC4">
              <w:rPr>
                <w:rFonts w:eastAsia="SimSun"/>
                <w:szCs w:val="22"/>
                <w:lang w:eastAsia="zh-CN"/>
              </w:rPr>
              <w:t>Most analysts classify ratios into three categories of performance:</w:t>
            </w:r>
          </w:p>
        </w:tc>
        <w:tc>
          <w:tcPr>
            <w:tcW w:w="2862" w:type="dxa"/>
            <w:tcBorders>
              <w:left w:val="single" w:sz="4" w:space="0" w:color="auto"/>
            </w:tcBorders>
          </w:tcPr>
          <w:p w14:paraId="60D7936D" w14:textId="77777777" w:rsidR="004F07E1" w:rsidRDefault="004F07E1" w:rsidP="00101039">
            <w:pPr>
              <w:pStyle w:val="ListParagraph"/>
              <w:numPr>
                <w:ilvl w:val="0"/>
                <w:numId w:val="17"/>
              </w:numPr>
              <w:ind w:left="288" w:hanging="288"/>
              <w:jc w:val="left"/>
            </w:pPr>
            <w:r>
              <w:t>Activity #2</w:t>
            </w:r>
          </w:p>
        </w:tc>
      </w:tr>
      <w:tr w:rsidR="004F07E1" w14:paraId="7B273737" w14:textId="77777777" w:rsidTr="00DE6AC4">
        <w:tc>
          <w:tcPr>
            <w:tcW w:w="6498" w:type="dxa"/>
            <w:tcBorders>
              <w:right w:val="single" w:sz="4" w:space="0" w:color="auto"/>
            </w:tcBorders>
          </w:tcPr>
          <w:p w14:paraId="2BA86840" w14:textId="7390F1FF" w:rsidR="004F07E1" w:rsidRPr="003D68F2" w:rsidRDefault="004F07E1" w:rsidP="00993956">
            <w:pPr>
              <w:pStyle w:val="TableBody"/>
              <w:ind w:left="1440" w:hanging="288"/>
              <w:rPr>
                <w:rFonts w:eastAsia="SimSun"/>
                <w:szCs w:val="22"/>
                <w:lang w:eastAsia="zh-CN"/>
              </w:rPr>
            </w:pPr>
            <w:r w:rsidRPr="003D68F2">
              <w:rPr>
                <w:rFonts w:eastAsia="SimSun"/>
                <w:szCs w:val="22"/>
                <w:lang w:eastAsia="zh-CN"/>
              </w:rPr>
              <w:t>a.</w:t>
            </w:r>
            <w:r w:rsidRPr="003D68F2">
              <w:rPr>
                <w:rFonts w:eastAsia="SimSun"/>
                <w:szCs w:val="22"/>
                <w:lang w:eastAsia="zh-CN"/>
              </w:rPr>
              <w:tab/>
            </w:r>
            <w:r w:rsidRPr="00993956">
              <w:rPr>
                <w:rFonts w:eastAsia="SimSun"/>
                <w:b/>
                <w:szCs w:val="22"/>
                <w:lang w:eastAsia="zh-CN"/>
              </w:rPr>
              <w:t>Profitability</w:t>
            </w:r>
            <w:r w:rsidR="00051189">
              <w:rPr>
                <w:rFonts w:eastAsia="SimSun"/>
                <w:szCs w:val="22"/>
                <w:lang w:eastAsia="zh-CN"/>
              </w:rPr>
              <w:t>—</w:t>
            </w:r>
            <w:r>
              <w:rPr>
                <w:rFonts w:eastAsia="SimSun"/>
                <w:szCs w:val="22"/>
                <w:lang w:eastAsia="zh-CN"/>
              </w:rPr>
              <w:t xml:space="preserve">The </w:t>
            </w:r>
            <w:r w:rsidRPr="00993956">
              <w:rPr>
                <w:rFonts w:eastAsia="SimSun"/>
                <w:szCs w:val="22"/>
                <w:lang w:eastAsia="zh-CN"/>
              </w:rPr>
              <w:t xml:space="preserve">extent to which a company generates income. </w:t>
            </w:r>
          </w:p>
        </w:tc>
        <w:tc>
          <w:tcPr>
            <w:tcW w:w="2862" w:type="dxa"/>
            <w:tcBorders>
              <w:left w:val="single" w:sz="4" w:space="0" w:color="auto"/>
            </w:tcBorders>
          </w:tcPr>
          <w:p w14:paraId="76B43A23" w14:textId="77777777" w:rsidR="004F07E1" w:rsidRDefault="004F07E1" w:rsidP="004F07E1">
            <w:pPr>
              <w:pStyle w:val="ListParagraph"/>
              <w:ind w:left="0" w:firstLine="0"/>
              <w:jc w:val="left"/>
            </w:pPr>
          </w:p>
        </w:tc>
      </w:tr>
      <w:tr w:rsidR="004F07E1" w14:paraId="3F9DD283" w14:textId="77777777" w:rsidTr="00DE6AC4">
        <w:tc>
          <w:tcPr>
            <w:tcW w:w="6498" w:type="dxa"/>
            <w:tcBorders>
              <w:right w:val="single" w:sz="4" w:space="0" w:color="auto"/>
            </w:tcBorders>
          </w:tcPr>
          <w:p w14:paraId="2A7E2567" w14:textId="20C2EC1B" w:rsidR="004F07E1" w:rsidRPr="003D68F2" w:rsidRDefault="004F07E1" w:rsidP="00993956">
            <w:pPr>
              <w:pStyle w:val="TableBody"/>
              <w:ind w:left="1440" w:hanging="288"/>
              <w:rPr>
                <w:rFonts w:eastAsia="SimSun"/>
                <w:szCs w:val="22"/>
                <w:lang w:eastAsia="zh-CN"/>
              </w:rPr>
            </w:pPr>
            <w:r w:rsidRPr="003D68F2">
              <w:rPr>
                <w:rFonts w:eastAsia="SimSun"/>
                <w:szCs w:val="22"/>
                <w:lang w:eastAsia="zh-CN"/>
              </w:rPr>
              <w:t>b.</w:t>
            </w:r>
            <w:r w:rsidRPr="003D68F2">
              <w:rPr>
                <w:rFonts w:eastAsia="SimSun"/>
                <w:szCs w:val="22"/>
                <w:lang w:eastAsia="zh-CN"/>
              </w:rPr>
              <w:tab/>
            </w:r>
            <w:r w:rsidRPr="00993956">
              <w:rPr>
                <w:rFonts w:eastAsia="SimSun"/>
                <w:b/>
                <w:szCs w:val="22"/>
                <w:lang w:eastAsia="zh-CN"/>
              </w:rPr>
              <w:t>Liquidity</w:t>
            </w:r>
            <w:r w:rsidR="00051189">
              <w:rPr>
                <w:rFonts w:eastAsia="SimSun"/>
                <w:szCs w:val="22"/>
                <w:lang w:eastAsia="zh-CN"/>
              </w:rPr>
              <w:t>—</w:t>
            </w:r>
            <w:r>
              <w:rPr>
                <w:rFonts w:eastAsia="SimSun"/>
                <w:szCs w:val="22"/>
                <w:lang w:eastAsia="zh-CN"/>
              </w:rPr>
              <w:t xml:space="preserve">The </w:t>
            </w:r>
            <w:r w:rsidRPr="00993956">
              <w:rPr>
                <w:rFonts w:eastAsia="SimSun"/>
                <w:szCs w:val="22"/>
                <w:lang w:eastAsia="zh-CN"/>
              </w:rPr>
              <w:t>extent to which a company is able to pay its currently maturing obligations.</w:t>
            </w:r>
          </w:p>
        </w:tc>
        <w:tc>
          <w:tcPr>
            <w:tcW w:w="2862" w:type="dxa"/>
            <w:tcBorders>
              <w:left w:val="single" w:sz="4" w:space="0" w:color="auto"/>
            </w:tcBorders>
          </w:tcPr>
          <w:p w14:paraId="446DB3F7" w14:textId="77777777" w:rsidR="004F07E1" w:rsidRDefault="004F07E1" w:rsidP="00E61C8F">
            <w:pPr>
              <w:pStyle w:val="TableBody"/>
            </w:pPr>
          </w:p>
        </w:tc>
      </w:tr>
      <w:tr w:rsidR="004F07E1" w14:paraId="10534197" w14:textId="77777777" w:rsidTr="00DE6AC4">
        <w:tc>
          <w:tcPr>
            <w:tcW w:w="6498" w:type="dxa"/>
            <w:tcBorders>
              <w:right w:val="single" w:sz="4" w:space="0" w:color="auto"/>
            </w:tcBorders>
          </w:tcPr>
          <w:p w14:paraId="24A1C5E1" w14:textId="21A912E0" w:rsidR="004F07E1" w:rsidRDefault="004F07E1" w:rsidP="00993956">
            <w:pPr>
              <w:pStyle w:val="TableBody"/>
              <w:ind w:left="1440" w:hanging="288"/>
              <w:rPr>
                <w:rFonts w:eastAsia="SimSun"/>
                <w:szCs w:val="22"/>
                <w:lang w:eastAsia="zh-CN"/>
              </w:rPr>
            </w:pPr>
            <w:r w:rsidRPr="003D68F2">
              <w:rPr>
                <w:rFonts w:eastAsia="SimSun"/>
                <w:szCs w:val="22"/>
                <w:lang w:eastAsia="zh-CN"/>
              </w:rPr>
              <w:t>c.</w:t>
            </w:r>
            <w:r w:rsidRPr="003D68F2">
              <w:rPr>
                <w:rFonts w:eastAsia="SimSun"/>
                <w:szCs w:val="22"/>
                <w:lang w:eastAsia="zh-CN"/>
              </w:rPr>
              <w:tab/>
            </w:r>
            <w:r w:rsidRPr="00993956">
              <w:rPr>
                <w:rFonts w:eastAsia="SimSun"/>
                <w:b/>
                <w:szCs w:val="22"/>
                <w:lang w:eastAsia="zh-CN"/>
              </w:rPr>
              <w:t>Solvency</w:t>
            </w:r>
            <w:r w:rsidR="00051189">
              <w:rPr>
                <w:rFonts w:eastAsia="SimSun"/>
                <w:szCs w:val="22"/>
                <w:lang w:eastAsia="zh-CN"/>
              </w:rPr>
              <w:t>—</w:t>
            </w:r>
            <w:r>
              <w:rPr>
                <w:rFonts w:eastAsia="SimSun"/>
                <w:szCs w:val="22"/>
                <w:lang w:eastAsia="zh-CN"/>
              </w:rPr>
              <w:t xml:space="preserve">The </w:t>
            </w:r>
            <w:r w:rsidRPr="00993956">
              <w:rPr>
                <w:rFonts w:eastAsia="SimSun"/>
                <w:szCs w:val="22"/>
                <w:lang w:eastAsia="zh-CN"/>
              </w:rPr>
              <w:t>ability to survive long enough to repay lenders when debt matures.</w:t>
            </w:r>
          </w:p>
        </w:tc>
        <w:tc>
          <w:tcPr>
            <w:tcW w:w="2862" w:type="dxa"/>
            <w:tcBorders>
              <w:left w:val="single" w:sz="4" w:space="0" w:color="auto"/>
            </w:tcBorders>
          </w:tcPr>
          <w:p w14:paraId="6D311DDB" w14:textId="77777777" w:rsidR="004F07E1" w:rsidRDefault="004F07E1" w:rsidP="00E61C8F">
            <w:pPr>
              <w:pStyle w:val="TableBody"/>
            </w:pPr>
          </w:p>
        </w:tc>
      </w:tr>
      <w:tr w:rsidR="004F07E1" w14:paraId="538C7F2B" w14:textId="77777777">
        <w:tc>
          <w:tcPr>
            <w:tcW w:w="6498" w:type="dxa"/>
            <w:tcBorders>
              <w:right w:val="single" w:sz="4" w:space="0" w:color="auto"/>
            </w:tcBorders>
          </w:tcPr>
          <w:p w14:paraId="6507E80A" w14:textId="77777777" w:rsidR="004F07E1" w:rsidRPr="003445DC" w:rsidRDefault="004F07E1" w:rsidP="003445DC">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r>
            <w:r w:rsidRPr="003445DC">
              <w:rPr>
                <w:rFonts w:eastAsia="SimSun"/>
                <w:szCs w:val="22"/>
                <w:lang w:eastAsia="zh-CN"/>
              </w:rPr>
              <w:t>Profitability Ratios</w:t>
            </w:r>
            <w:r>
              <w:rPr>
                <w:rFonts w:eastAsia="SimSun"/>
                <w:szCs w:val="22"/>
                <w:lang w:eastAsia="zh-CN"/>
              </w:rPr>
              <w:t xml:space="preserve"> include:</w:t>
            </w:r>
          </w:p>
        </w:tc>
        <w:tc>
          <w:tcPr>
            <w:tcW w:w="2862" w:type="dxa"/>
            <w:tcBorders>
              <w:left w:val="single" w:sz="4" w:space="0" w:color="auto"/>
            </w:tcBorders>
          </w:tcPr>
          <w:p w14:paraId="7B5DAB95" w14:textId="77777777" w:rsidR="004F07E1" w:rsidRDefault="004F07E1" w:rsidP="00101039">
            <w:pPr>
              <w:pStyle w:val="TableBody"/>
            </w:pPr>
            <w:r>
              <w:t>Illustrated in Exhibit 13.5</w:t>
            </w:r>
          </w:p>
        </w:tc>
      </w:tr>
      <w:tr w:rsidR="004F07E1" w14:paraId="34AD6646" w14:textId="77777777">
        <w:tc>
          <w:tcPr>
            <w:tcW w:w="6498" w:type="dxa"/>
            <w:tcBorders>
              <w:right w:val="single" w:sz="4" w:space="0" w:color="auto"/>
            </w:tcBorders>
          </w:tcPr>
          <w:p w14:paraId="4FF78131" w14:textId="6E45DDAF" w:rsidR="004F07E1" w:rsidRDefault="004F07E1" w:rsidP="001F4E0F">
            <w:pPr>
              <w:pStyle w:val="TableBody"/>
              <w:numPr>
                <w:ilvl w:val="0"/>
                <w:numId w:val="3"/>
              </w:numPr>
              <w:rPr>
                <w:rFonts w:eastAsia="SimSun"/>
                <w:szCs w:val="22"/>
                <w:lang w:eastAsia="zh-CN"/>
              </w:rPr>
            </w:pPr>
            <w:r w:rsidRPr="00D84086">
              <w:rPr>
                <w:rFonts w:eastAsia="SimSun"/>
                <w:b/>
                <w:bCs/>
                <w:szCs w:val="22"/>
                <w:lang w:eastAsia="zh-CN"/>
              </w:rPr>
              <w:t>Net profit margin</w:t>
            </w:r>
            <w:r w:rsidRPr="003445DC">
              <w:rPr>
                <w:rFonts w:eastAsia="SimSun"/>
                <w:szCs w:val="22"/>
                <w:lang w:eastAsia="zh-CN"/>
              </w:rPr>
              <w:t xml:space="preserve"> = </w:t>
            </w:r>
            <w:r w:rsidR="00474288">
              <w:rPr>
                <w:rFonts w:eastAsia="SimSun"/>
                <w:szCs w:val="22"/>
                <w:lang w:eastAsia="zh-CN"/>
              </w:rPr>
              <w:t>(</w:t>
            </w:r>
            <w:r w:rsidRPr="003445DC">
              <w:rPr>
                <w:rFonts w:eastAsia="SimSun"/>
                <w:szCs w:val="22"/>
                <w:lang w:eastAsia="zh-CN"/>
              </w:rPr>
              <w:t>Net income divided by Net sales revenue</w:t>
            </w:r>
            <w:r w:rsidR="00474288">
              <w:rPr>
                <w:rFonts w:eastAsia="SimSun"/>
                <w:szCs w:val="22"/>
                <w:lang w:eastAsia="zh-CN"/>
              </w:rPr>
              <w:t xml:space="preserve">) </w:t>
            </w:r>
            <w:r w:rsidR="00051189">
              <w:rPr>
                <w:rFonts w:eastAsia="SimSun"/>
                <w:szCs w:val="22"/>
                <w:lang w:eastAsia="zh-CN"/>
              </w:rPr>
              <w:t>×</w:t>
            </w:r>
            <w:r w:rsidR="00474288">
              <w:rPr>
                <w:rFonts w:eastAsia="SimSun"/>
                <w:szCs w:val="22"/>
                <w:lang w:eastAsia="zh-CN"/>
              </w:rPr>
              <w:t xml:space="preserve"> 100</w:t>
            </w:r>
          </w:p>
          <w:p w14:paraId="65241635" w14:textId="09567944" w:rsidR="004F07E1" w:rsidRDefault="004F07E1" w:rsidP="00474288">
            <w:pPr>
              <w:pStyle w:val="TableBody"/>
              <w:numPr>
                <w:ilvl w:val="0"/>
                <w:numId w:val="3"/>
              </w:numPr>
              <w:rPr>
                <w:rFonts w:eastAsia="SimSun"/>
                <w:szCs w:val="22"/>
                <w:lang w:eastAsia="zh-CN"/>
              </w:rPr>
            </w:pPr>
            <w:r w:rsidRPr="00D84086">
              <w:rPr>
                <w:rFonts w:eastAsia="SimSun"/>
                <w:b/>
                <w:bCs/>
                <w:szCs w:val="22"/>
                <w:lang w:eastAsia="zh-CN"/>
              </w:rPr>
              <w:t>Gross profit percentage</w:t>
            </w:r>
            <w:r w:rsidRPr="003445DC">
              <w:rPr>
                <w:rFonts w:eastAsia="SimSun"/>
                <w:szCs w:val="22"/>
                <w:lang w:eastAsia="zh-CN"/>
              </w:rPr>
              <w:t xml:space="preserve"> = (Net sales revenue </w:t>
            </w:r>
            <w:r w:rsidR="00051189">
              <w:rPr>
                <w:rFonts w:eastAsia="SimSun"/>
                <w:szCs w:val="22"/>
                <w:lang w:eastAsia="zh-CN"/>
              </w:rPr>
              <w:t>−</w:t>
            </w:r>
            <w:r w:rsidRPr="003445DC">
              <w:rPr>
                <w:rFonts w:eastAsia="SimSun"/>
                <w:szCs w:val="22"/>
                <w:lang w:eastAsia="zh-CN"/>
              </w:rPr>
              <w:t xml:space="preserve"> </w:t>
            </w:r>
            <w:r w:rsidR="00476423">
              <w:rPr>
                <w:rFonts w:eastAsia="SimSun"/>
                <w:szCs w:val="22"/>
                <w:lang w:eastAsia="zh-CN"/>
              </w:rPr>
              <w:t>C</w:t>
            </w:r>
            <w:r w:rsidRPr="003445DC">
              <w:rPr>
                <w:rFonts w:eastAsia="SimSun"/>
                <w:szCs w:val="22"/>
                <w:lang w:eastAsia="zh-CN"/>
              </w:rPr>
              <w:t>ost of goods sold) divided by Net sales revenue</w:t>
            </w:r>
          </w:p>
          <w:p w14:paraId="3474CE30" w14:textId="77777777" w:rsidR="004F07E1" w:rsidRDefault="004F07E1" w:rsidP="001F4E0F">
            <w:pPr>
              <w:pStyle w:val="TableBody"/>
              <w:numPr>
                <w:ilvl w:val="0"/>
                <w:numId w:val="3"/>
              </w:numPr>
              <w:rPr>
                <w:rFonts w:eastAsia="SimSun"/>
                <w:szCs w:val="22"/>
                <w:lang w:eastAsia="zh-CN"/>
              </w:rPr>
            </w:pPr>
            <w:r w:rsidRPr="00D84086">
              <w:rPr>
                <w:rFonts w:eastAsia="SimSun"/>
                <w:b/>
                <w:bCs/>
                <w:szCs w:val="22"/>
                <w:lang w:eastAsia="zh-CN"/>
              </w:rPr>
              <w:t>Fixed asset turnover</w:t>
            </w:r>
            <w:r w:rsidRPr="003445DC">
              <w:rPr>
                <w:rFonts w:eastAsia="SimSun"/>
                <w:szCs w:val="22"/>
                <w:lang w:eastAsia="zh-CN"/>
              </w:rPr>
              <w:t xml:space="preserve"> = </w:t>
            </w:r>
            <w:r w:rsidR="00474288">
              <w:rPr>
                <w:rFonts w:eastAsia="SimSun"/>
                <w:szCs w:val="22"/>
                <w:lang w:eastAsia="zh-CN"/>
              </w:rPr>
              <w:t xml:space="preserve">Total </w:t>
            </w:r>
            <w:r w:rsidRPr="003445DC">
              <w:rPr>
                <w:rFonts w:eastAsia="SimSun"/>
                <w:szCs w:val="22"/>
                <w:lang w:eastAsia="zh-CN"/>
              </w:rPr>
              <w:t>revenue divided by Average net fixed assets</w:t>
            </w:r>
          </w:p>
          <w:p w14:paraId="0016E69A" w14:textId="29284C4D" w:rsidR="004F07E1" w:rsidRDefault="004F07E1" w:rsidP="001F4E0F">
            <w:pPr>
              <w:pStyle w:val="TableBody"/>
              <w:numPr>
                <w:ilvl w:val="0"/>
                <w:numId w:val="3"/>
              </w:numPr>
              <w:rPr>
                <w:rFonts w:eastAsia="SimSun"/>
                <w:szCs w:val="22"/>
                <w:lang w:eastAsia="zh-CN"/>
              </w:rPr>
            </w:pPr>
            <w:r w:rsidRPr="00D84086">
              <w:rPr>
                <w:rFonts w:eastAsia="SimSun"/>
                <w:b/>
                <w:bCs/>
                <w:szCs w:val="22"/>
                <w:lang w:eastAsia="zh-CN"/>
              </w:rPr>
              <w:t>Return on equity (ROE)</w:t>
            </w:r>
            <w:r w:rsidRPr="003445DC">
              <w:rPr>
                <w:rFonts w:eastAsia="SimSun"/>
                <w:szCs w:val="22"/>
                <w:lang w:eastAsia="zh-CN"/>
              </w:rPr>
              <w:t xml:space="preserve"> = </w:t>
            </w:r>
            <w:r w:rsidR="00474288">
              <w:rPr>
                <w:rFonts w:eastAsia="SimSun"/>
                <w:szCs w:val="22"/>
                <w:lang w:eastAsia="zh-CN"/>
              </w:rPr>
              <w:t>[(</w:t>
            </w:r>
            <w:r w:rsidR="00474288" w:rsidRPr="003445DC">
              <w:rPr>
                <w:rFonts w:eastAsia="SimSun"/>
                <w:szCs w:val="22"/>
                <w:lang w:eastAsia="zh-CN"/>
              </w:rPr>
              <w:t xml:space="preserve">Net income </w:t>
            </w:r>
            <w:r w:rsidR="00051189">
              <w:rPr>
                <w:rFonts w:eastAsia="SimSun"/>
                <w:szCs w:val="22"/>
                <w:lang w:eastAsia="zh-CN"/>
              </w:rPr>
              <w:t>−</w:t>
            </w:r>
            <w:r w:rsidR="00474288">
              <w:rPr>
                <w:rFonts w:eastAsia="SimSun"/>
                <w:szCs w:val="22"/>
                <w:lang w:eastAsia="zh-CN"/>
              </w:rPr>
              <w:t xml:space="preserve"> Preferred dividends)</w:t>
            </w:r>
            <w:r w:rsidR="00051189">
              <w:rPr>
                <w:rFonts w:eastAsia="SimSun"/>
                <w:szCs w:val="22"/>
                <w:lang w:eastAsia="zh-CN"/>
              </w:rPr>
              <w:t xml:space="preserve"> </w:t>
            </w:r>
            <w:r w:rsidRPr="003445DC">
              <w:rPr>
                <w:rFonts w:eastAsia="SimSun"/>
                <w:szCs w:val="22"/>
                <w:lang w:eastAsia="zh-CN"/>
              </w:rPr>
              <w:t xml:space="preserve">divided by Average </w:t>
            </w:r>
            <w:r w:rsidR="00474288">
              <w:rPr>
                <w:rFonts w:eastAsia="SimSun"/>
                <w:szCs w:val="22"/>
                <w:lang w:eastAsia="zh-CN"/>
              </w:rPr>
              <w:t xml:space="preserve">common </w:t>
            </w:r>
            <w:r w:rsidRPr="003445DC">
              <w:rPr>
                <w:rFonts w:eastAsia="SimSun"/>
                <w:szCs w:val="22"/>
                <w:lang w:eastAsia="zh-CN"/>
              </w:rPr>
              <w:t>stockholders’ equity</w:t>
            </w:r>
            <w:r w:rsidR="00474288">
              <w:rPr>
                <w:rFonts w:eastAsia="SimSun"/>
                <w:szCs w:val="22"/>
                <w:lang w:eastAsia="zh-CN"/>
              </w:rPr>
              <w:t xml:space="preserve">] </w:t>
            </w:r>
            <w:r w:rsidR="00051189">
              <w:rPr>
                <w:rFonts w:eastAsia="SimSun"/>
                <w:szCs w:val="22"/>
                <w:lang w:eastAsia="zh-CN"/>
              </w:rPr>
              <w:t>×</w:t>
            </w:r>
            <w:r w:rsidR="00474288">
              <w:rPr>
                <w:rFonts w:eastAsia="SimSun"/>
                <w:szCs w:val="22"/>
                <w:lang w:eastAsia="zh-CN"/>
              </w:rPr>
              <w:t xml:space="preserve"> 100</w:t>
            </w:r>
          </w:p>
          <w:p w14:paraId="09994949" w14:textId="0A03FA1F" w:rsidR="004F07E1" w:rsidRDefault="004F07E1" w:rsidP="001F4E0F">
            <w:pPr>
              <w:pStyle w:val="TableBody"/>
              <w:numPr>
                <w:ilvl w:val="0"/>
                <w:numId w:val="3"/>
              </w:numPr>
              <w:rPr>
                <w:rFonts w:eastAsia="SimSun"/>
                <w:szCs w:val="22"/>
                <w:lang w:eastAsia="zh-CN"/>
              </w:rPr>
            </w:pPr>
            <w:r w:rsidRPr="00D84086">
              <w:rPr>
                <w:rFonts w:eastAsia="SimSun"/>
                <w:b/>
                <w:bCs/>
                <w:szCs w:val="22"/>
                <w:lang w:eastAsia="zh-CN"/>
              </w:rPr>
              <w:t>Earnings per share (EPS)</w:t>
            </w:r>
            <w:r w:rsidRPr="003445DC">
              <w:rPr>
                <w:rFonts w:eastAsia="SimSun"/>
                <w:szCs w:val="22"/>
                <w:lang w:eastAsia="zh-CN"/>
              </w:rPr>
              <w:t xml:space="preserve"> = </w:t>
            </w:r>
            <w:r w:rsidR="00474288">
              <w:rPr>
                <w:rFonts w:eastAsia="SimSun"/>
                <w:szCs w:val="22"/>
                <w:lang w:eastAsia="zh-CN"/>
              </w:rPr>
              <w:t>(</w:t>
            </w:r>
            <w:r w:rsidRPr="003445DC">
              <w:rPr>
                <w:rFonts w:eastAsia="SimSun"/>
                <w:szCs w:val="22"/>
                <w:lang w:eastAsia="zh-CN"/>
              </w:rPr>
              <w:t xml:space="preserve">Net income </w:t>
            </w:r>
            <w:r w:rsidR="00051189">
              <w:rPr>
                <w:rFonts w:eastAsia="SimSun"/>
                <w:szCs w:val="22"/>
                <w:lang w:eastAsia="zh-CN"/>
              </w:rPr>
              <w:t>−</w:t>
            </w:r>
            <w:r w:rsidR="00474288">
              <w:rPr>
                <w:rFonts w:eastAsia="SimSun"/>
                <w:szCs w:val="22"/>
                <w:lang w:eastAsia="zh-CN"/>
              </w:rPr>
              <w:t xml:space="preserve"> Preferred dividends) </w:t>
            </w:r>
            <w:r w:rsidRPr="003445DC">
              <w:rPr>
                <w:rFonts w:eastAsia="SimSun"/>
                <w:szCs w:val="22"/>
                <w:lang w:eastAsia="zh-CN"/>
              </w:rPr>
              <w:t>divided by Average number of common shares</w:t>
            </w:r>
          </w:p>
          <w:p w14:paraId="589D36DB" w14:textId="559F2A10" w:rsidR="004F07E1" w:rsidRDefault="004F07E1" w:rsidP="001F4E0F">
            <w:pPr>
              <w:pStyle w:val="TableBody"/>
              <w:numPr>
                <w:ilvl w:val="0"/>
                <w:numId w:val="3"/>
              </w:numPr>
              <w:rPr>
                <w:rFonts w:eastAsia="SimSun"/>
                <w:szCs w:val="22"/>
                <w:lang w:eastAsia="zh-CN"/>
              </w:rPr>
            </w:pPr>
            <w:r w:rsidRPr="00D84086">
              <w:rPr>
                <w:rFonts w:eastAsia="SimSun"/>
                <w:b/>
                <w:bCs/>
                <w:szCs w:val="22"/>
                <w:lang w:eastAsia="zh-CN"/>
              </w:rPr>
              <w:t>Price/earnings (P/E) ratio</w:t>
            </w:r>
            <w:r w:rsidRPr="003445DC">
              <w:rPr>
                <w:rFonts w:eastAsia="SimSun"/>
                <w:szCs w:val="22"/>
                <w:lang w:eastAsia="zh-CN"/>
              </w:rPr>
              <w:t xml:space="preserve"> = Stock price divided by EPS</w:t>
            </w:r>
          </w:p>
        </w:tc>
        <w:tc>
          <w:tcPr>
            <w:tcW w:w="2862" w:type="dxa"/>
            <w:tcBorders>
              <w:left w:val="single" w:sz="4" w:space="0" w:color="auto"/>
            </w:tcBorders>
          </w:tcPr>
          <w:p w14:paraId="224E660B" w14:textId="77777777" w:rsidR="004F07E1" w:rsidRDefault="004F07E1" w:rsidP="00101039">
            <w:pPr>
              <w:pStyle w:val="ListParagraph"/>
              <w:numPr>
                <w:ilvl w:val="0"/>
                <w:numId w:val="17"/>
              </w:numPr>
              <w:ind w:left="288" w:hanging="288"/>
              <w:jc w:val="left"/>
            </w:pPr>
            <w:r>
              <w:t>Activity #3</w:t>
            </w:r>
          </w:p>
        </w:tc>
      </w:tr>
    </w:tbl>
    <w:p w14:paraId="7B3960B2" w14:textId="77777777" w:rsidR="00993956" w:rsidRPr="004F07E1" w:rsidRDefault="00993956" w:rsidP="00993956">
      <w:pPr>
        <w:rPr>
          <w:sz w:val="4"/>
          <w:szCs w:val="4"/>
        </w:rPr>
      </w:pPr>
      <w:r>
        <w:br w:type="page"/>
      </w:r>
    </w:p>
    <w:tbl>
      <w:tblPr>
        <w:tblW w:w="0" w:type="auto"/>
        <w:tblLayout w:type="fixed"/>
        <w:tblLook w:val="01E0" w:firstRow="1" w:lastRow="1" w:firstColumn="1" w:lastColumn="1" w:noHBand="0" w:noVBand="0"/>
      </w:tblPr>
      <w:tblGrid>
        <w:gridCol w:w="6498"/>
        <w:gridCol w:w="2862"/>
      </w:tblGrid>
      <w:tr w:rsidR="00993956" w:rsidRPr="00CD480D" w14:paraId="001CE174" w14:textId="77777777" w:rsidTr="00E61C8F">
        <w:tc>
          <w:tcPr>
            <w:tcW w:w="6498" w:type="dxa"/>
            <w:tcBorders>
              <w:right w:val="single" w:sz="4" w:space="0" w:color="auto"/>
            </w:tcBorders>
          </w:tcPr>
          <w:p w14:paraId="633F81A0" w14:textId="77777777" w:rsidR="00993956" w:rsidRPr="00507ED2" w:rsidRDefault="00993956" w:rsidP="00E61C8F">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165CC5CC" w14:textId="77777777" w:rsidR="00993956" w:rsidRPr="00CD480D" w:rsidRDefault="00993956" w:rsidP="00E61C8F">
            <w:pPr>
              <w:pStyle w:val="Heading1"/>
            </w:pPr>
            <w:r w:rsidRPr="00CD480D">
              <w:t>Teaching Notes</w:t>
            </w:r>
          </w:p>
        </w:tc>
      </w:tr>
      <w:tr w:rsidR="004F07E1" w14:paraId="223E1852" w14:textId="77777777">
        <w:tc>
          <w:tcPr>
            <w:tcW w:w="6498" w:type="dxa"/>
            <w:tcBorders>
              <w:right w:val="single" w:sz="4" w:space="0" w:color="auto"/>
            </w:tcBorders>
          </w:tcPr>
          <w:p w14:paraId="6F01D769" w14:textId="77777777" w:rsidR="004F07E1" w:rsidRPr="003445DC" w:rsidRDefault="004F07E1" w:rsidP="003445DC">
            <w:pPr>
              <w:pStyle w:val="TableBody"/>
              <w:ind w:left="1152" w:hanging="288"/>
              <w:rPr>
                <w:rFonts w:eastAsia="SimSun"/>
                <w:szCs w:val="22"/>
                <w:lang w:eastAsia="zh-CN"/>
              </w:rPr>
            </w:pPr>
            <w:r>
              <w:rPr>
                <w:rFonts w:eastAsia="SimSun"/>
                <w:szCs w:val="22"/>
                <w:lang w:eastAsia="zh-CN"/>
              </w:rPr>
              <w:t>5.</w:t>
            </w:r>
            <w:r>
              <w:rPr>
                <w:rFonts w:eastAsia="SimSun"/>
                <w:szCs w:val="22"/>
                <w:lang w:eastAsia="zh-CN"/>
              </w:rPr>
              <w:tab/>
            </w:r>
            <w:r w:rsidRPr="003445DC">
              <w:rPr>
                <w:rFonts w:eastAsia="SimSun"/>
                <w:szCs w:val="22"/>
                <w:lang w:eastAsia="zh-CN"/>
              </w:rPr>
              <w:t>Liquidity Ratios</w:t>
            </w:r>
            <w:r>
              <w:rPr>
                <w:rFonts w:eastAsia="SimSun"/>
                <w:szCs w:val="22"/>
                <w:lang w:eastAsia="zh-CN"/>
              </w:rPr>
              <w:t xml:space="preserve"> include:</w:t>
            </w:r>
          </w:p>
        </w:tc>
        <w:tc>
          <w:tcPr>
            <w:tcW w:w="2862" w:type="dxa"/>
            <w:tcBorders>
              <w:left w:val="single" w:sz="4" w:space="0" w:color="auto"/>
            </w:tcBorders>
          </w:tcPr>
          <w:p w14:paraId="34B1C0CC" w14:textId="77777777" w:rsidR="004F07E1" w:rsidRDefault="004F07E1" w:rsidP="00101039">
            <w:pPr>
              <w:pStyle w:val="TableBody"/>
            </w:pPr>
            <w:r>
              <w:t>Illustrated in Exhibit 13.5</w:t>
            </w:r>
          </w:p>
        </w:tc>
      </w:tr>
      <w:tr w:rsidR="004F07E1" w14:paraId="124FCDD9" w14:textId="77777777">
        <w:tc>
          <w:tcPr>
            <w:tcW w:w="6498" w:type="dxa"/>
            <w:tcBorders>
              <w:right w:val="single" w:sz="4" w:space="0" w:color="auto"/>
            </w:tcBorders>
          </w:tcPr>
          <w:p w14:paraId="4337BCD5" w14:textId="77777777" w:rsidR="004F07E1" w:rsidRPr="003445DC" w:rsidRDefault="004F07E1" w:rsidP="0085275A">
            <w:pPr>
              <w:pStyle w:val="TableBody"/>
              <w:numPr>
                <w:ilvl w:val="0"/>
                <w:numId w:val="23"/>
              </w:numPr>
              <w:rPr>
                <w:rFonts w:asciiTheme="majorHAnsi" w:eastAsia="SimSun" w:hAnsiTheme="majorHAnsi" w:cstheme="majorBidi"/>
                <w:i/>
                <w:iCs/>
                <w:color w:val="404040" w:themeColor="text1" w:themeTint="BF"/>
                <w:szCs w:val="22"/>
                <w:lang w:eastAsia="zh-CN"/>
              </w:rPr>
            </w:pPr>
            <w:r w:rsidRPr="00D84086">
              <w:rPr>
                <w:rFonts w:eastAsia="SimSun"/>
                <w:b/>
                <w:bCs/>
                <w:szCs w:val="22"/>
                <w:lang w:eastAsia="zh-CN"/>
              </w:rPr>
              <w:t>Receivables turnover</w:t>
            </w:r>
            <w:r w:rsidRPr="003445DC">
              <w:rPr>
                <w:rFonts w:eastAsia="SimSun"/>
                <w:szCs w:val="22"/>
                <w:lang w:eastAsia="zh-CN"/>
              </w:rPr>
              <w:t xml:space="preserve"> = Net sales revenue divided by Average net receivables</w:t>
            </w:r>
          </w:p>
          <w:p w14:paraId="4C541650" w14:textId="77777777" w:rsidR="004F07E1" w:rsidRPr="003445DC" w:rsidRDefault="004F07E1" w:rsidP="0085275A">
            <w:pPr>
              <w:pStyle w:val="TableBody"/>
              <w:numPr>
                <w:ilvl w:val="0"/>
                <w:numId w:val="23"/>
              </w:numPr>
              <w:rPr>
                <w:rFonts w:asciiTheme="majorHAnsi" w:eastAsia="SimSun" w:hAnsiTheme="majorHAnsi" w:cstheme="majorBidi"/>
                <w:i/>
                <w:iCs/>
                <w:color w:val="404040" w:themeColor="text1" w:themeTint="BF"/>
                <w:szCs w:val="22"/>
                <w:lang w:eastAsia="zh-CN"/>
              </w:rPr>
            </w:pPr>
            <w:r w:rsidRPr="00D84086">
              <w:rPr>
                <w:rFonts w:eastAsia="SimSun"/>
                <w:b/>
                <w:bCs/>
                <w:szCs w:val="22"/>
                <w:lang w:eastAsia="zh-CN"/>
              </w:rPr>
              <w:t>Days to collect</w:t>
            </w:r>
            <w:r w:rsidRPr="003445DC">
              <w:rPr>
                <w:rFonts w:eastAsia="SimSun"/>
                <w:szCs w:val="22"/>
                <w:lang w:eastAsia="zh-CN"/>
              </w:rPr>
              <w:t xml:space="preserve"> = 365 divided by Receivables turnover ratio</w:t>
            </w:r>
          </w:p>
          <w:p w14:paraId="50E8DA39" w14:textId="77777777" w:rsidR="004F07E1" w:rsidRPr="003445DC" w:rsidRDefault="004F07E1" w:rsidP="0085275A">
            <w:pPr>
              <w:pStyle w:val="TableBody"/>
              <w:numPr>
                <w:ilvl w:val="0"/>
                <w:numId w:val="23"/>
              </w:numPr>
              <w:rPr>
                <w:rFonts w:asciiTheme="majorHAnsi" w:eastAsia="SimSun" w:hAnsiTheme="majorHAnsi" w:cstheme="majorBidi"/>
                <w:i/>
                <w:iCs/>
                <w:color w:val="404040" w:themeColor="text1" w:themeTint="BF"/>
                <w:szCs w:val="22"/>
                <w:lang w:eastAsia="zh-CN"/>
              </w:rPr>
            </w:pPr>
            <w:r w:rsidRPr="00D84086">
              <w:rPr>
                <w:rFonts w:eastAsia="SimSun"/>
                <w:b/>
                <w:bCs/>
                <w:szCs w:val="22"/>
                <w:lang w:eastAsia="zh-CN"/>
              </w:rPr>
              <w:t>Inventory turnover</w:t>
            </w:r>
            <w:r w:rsidRPr="003445DC">
              <w:rPr>
                <w:rFonts w:eastAsia="SimSun"/>
                <w:szCs w:val="22"/>
                <w:lang w:eastAsia="zh-CN"/>
              </w:rPr>
              <w:t xml:space="preserve"> = Cost of </w:t>
            </w:r>
            <w:r w:rsidR="00474288">
              <w:rPr>
                <w:rFonts w:eastAsia="SimSun"/>
                <w:szCs w:val="22"/>
                <w:lang w:eastAsia="zh-CN"/>
              </w:rPr>
              <w:t>good sold</w:t>
            </w:r>
            <w:r w:rsidRPr="003445DC">
              <w:rPr>
                <w:rFonts w:eastAsia="SimSun"/>
                <w:szCs w:val="22"/>
                <w:lang w:eastAsia="zh-CN"/>
              </w:rPr>
              <w:t xml:space="preserve"> divided by Average inventory</w:t>
            </w:r>
          </w:p>
          <w:p w14:paraId="10088A69" w14:textId="77777777" w:rsidR="004F07E1" w:rsidRPr="003445DC" w:rsidRDefault="004F07E1" w:rsidP="0085275A">
            <w:pPr>
              <w:pStyle w:val="TableBody"/>
              <w:numPr>
                <w:ilvl w:val="0"/>
                <w:numId w:val="23"/>
              </w:numPr>
              <w:rPr>
                <w:rFonts w:asciiTheme="majorHAnsi" w:eastAsia="SimSun" w:hAnsiTheme="majorHAnsi" w:cstheme="majorBidi"/>
                <w:i/>
                <w:iCs/>
                <w:color w:val="404040" w:themeColor="text1" w:themeTint="BF"/>
                <w:szCs w:val="22"/>
                <w:lang w:eastAsia="zh-CN"/>
              </w:rPr>
            </w:pPr>
            <w:r w:rsidRPr="00D84086">
              <w:rPr>
                <w:rFonts w:eastAsia="SimSun"/>
                <w:b/>
                <w:bCs/>
                <w:szCs w:val="22"/>
                <w:lang w:eastAsia="zh-CN"/>
              </w:rPr>
              <w:t>Days to sell</w:t>
            </w:r>
            <w:r w:rsidRPr="003445DC">
              <w:rPr>
                <w:rFonts w:eastAsia="SimSun"/>
                <w:szCs w:val="22"/>
                <w:lang w:eastAsia="zh-CN"/>
              </w:rPr>
              <w:t xml:space="preserve"> = 365 divided by Inventory turnover ratio</w:t>
            </w:r>
          </w:p>
          <w:p w14:paraId="32B29F7C" w14:textId="77777777" w:rsidR="004F07E1" w:rsidRPr="003445DC" w:rsidRDefault="004F07E1" w:rsidP="0085275A">
            <w:pPr>
              <w:pStyle w:val="TableBody"/>
              <w:numPr>
                <w:ilvl w:val="0"/>
                <w:numId w:val="23"/>
              </w:numPr>
              <w:rPr>
                <w:rFonts w:asciiTheme="majorHAnsi" w:eastAsia="SimSun" w:hAnsiTheme="majorHAnsi" w:cstheme="majorBidi"/>
                <w:i/>
                <w:iCs/>
                <w:color w:val="404040" w:themeColor="text1" w:themeTint="BF"/>
                <w:szCs w:val="22"/>
                <w:lang w:eastAsia="zh-CN"/>
              </w:rPr>
            </w:pPr>
            <w:r w:rsidRPr="00D84086">
              <w:rPr>
                <w:rFonts w:eastAsia="SimSun"/>
                <w:b/>
                <w:bCs/>
                <w:szCs w:val="22"/>
                <w:lang w:eastAsia="zh-CN"/>
              </w:rPr>
              <w:t>Current ratio</w:t>
            </w:r>
            <w:r w:rsidRPr="003445DC">
              <w:rPr>
                <w:rFonts w:eastAsia="SimSun"/>
                <w:szCs w:val="22"/>
                <w:lang w:eastAsia="zh-CN"/>
              </w:rPr>
              <w:t xml:space="preserve"> = Current assets divided by Current liabilities</w:t>
            </w:r>
          </w:p>
        </w:tc>
        <w:tc>
          <w:tcPr>
            <w:tcW w:w="2862" w:type="dxa"/>
            <w:tcBorders>
              <w:left w:val="single" w:sz="4" w:space="0" w:color="auto"/>
            </w:tcBorders>
          </w:tcPr>
          <w:p w14:paraId="099D1A83" w14:textId="77777777" w:rsidR="004F07E1" w:rsidRDefault="004F07E1" w:rsidP="00101039">
            <w:pPr>
              <w:pStyle w:val="ListParagraph"/>
              <w:numPr>
                <w:ilvl w:val="0"/>
                <w:numId w:val="17"/>
              </w:numPr>
              <w:ind w:left="288" w:hanging="288"/>
              <w:jc w:val="left"/>
            </w:pPr>
            <w:r>
              <w:t>Activity #3</w:t>
            </w:r>
          </w:p>
          <w:p w14:paraId="6B0ECB7C" w14:textId="77777777" w:rsidR="00474288" w:rsidRDefault="00474288" w:rsidP="00474288"/>
          <w:p w14:paraId="31A14138" w14:textId="77777777" w:rsidR="00474288" w:rsidRDefault="00474288" w:rsidP="00474288">
            <w:r>
              <w:t>The “Spotlight on Business Decisions” feature explains how Lowe’s helps suppliers collect on account</w:t>
            </w:r>
          </w:p>
        </w:tc>
      </w:tr>
      <w:tr w:rsidR="004F07E1" w14:paraId="25A6776D" w14:textId="77777777">
        <w:tc>
          <w:tcPr>
            <w:tcW w:w="6498" w:type="dxa"/>
            <w:tcBorders>
              <w:right w:val="single" w:sz="4" w:space="0" w:color="auto"/>
            </w:tcBorders>
          </w:tcPr>
          <w:p w14:paraId="1A98C2C5" w14:textId="77777777" w:rsidR="004F07E1" w:rsidRPr="003445DC" w:rsidRDefault="004F07E1" w:rsidP="003445DC">
            <w:pPr>
              <w:pStyle w:val="TableBody"/>
              <w:ind w:left="1152" w:hanging="288"/>
              <w:rPr>
                <w:rFonts w:eastAsia="SimSun"/>
                <w:szCs w:val="22"/>
                <w:lang w:eastAsia="zh-CN"/>
              </w:rPr>
            </w:pPr>
            <w:r>
              <w:rPr>
                <w:rFonts w:eastAsia="SimSun"/>
                <w:szCs w:val="22"/>
                <w:lang w:eastAsia="zh-CN"/>
              </w:rPr>
              <w:t>6.</w:t>
            </w:r>
            <w:r>
              <w:rPr>
                <w:rFonts w:eastAsia="SimSun"/>
                <w:szCs w:val="22"/>
                <w:lang w:eastAsia="zh-CN"/>
              </w:rPr>
              <w:tab/>
            </w:r>
            <w:r w:rsidRPr="003445DC">
              <w:rPr>
                <w:rFonts w:eastAsia="SimSun"/>
                <w:szCs w:val="22"/>
                <w:lang w:eastAsia="zh-CN"/>
              </w:rPr>
              <w:t>Solvency Ratios</w:t>
            </w:r>
            <w:r>
              <w:rPr>
                <w:rFonts w:eastAsia="SimSun"/>
                <w:szCs w:val="22"/>
                <w:lang w:eastAsia="zh-CN"/>
              </w:rPr>
              <w:t xml:space="preserve"> include:</w:t>
            </w:r>
          </w:p>
        </w:tc>
        <w:tc>
          <w:tcPr>
            <w:tcW w:w="2862" w:type="dxa"/>
            <w:tcBorders>
              <w:left w:val="single" w:sz="4" w:space="0" w:color="auto"/>
            </w:tcBorders>
          </w:tcPr>
          <w:p w14:paraId="7174B73C" w14:textId="77777777" w:rsidR="004F07E1" w:rsidRDefault="004F07E1" w:rsidP="00101039">
            <w:pPr>
              <w:pStyle w:val="TableBody"/>
            </w:pPr>
            <w:r>
              <w:t>Illustrated in Exhibit 13.5</w:t>
            </w:r>
          </w:p>
        </w:tc>
      </w:tr>
      <w:tr w:rsidR="004F07E1" w14:paraId="7358CD18" w14:textId="77777777">
        <w:tc>
          <w:tcPr>
            <w:tcW w:w="6498" w:type="dxa"/>
            <w:tcBorders>
              <w:right w:val="single" w:sz="4" w:space="0" w:color="auto"/>
            </w:tcBorders>
          </w:tcPr>
          <w:p w14:paraId="7E406989" w14:textId="77777777" w:rsidR="004F07E1" w:rsidRPr="003445DC" w:rsidRDefault="004F07E1" w:rsidP="0085275A">
            <w:pPr>
              <w:pStyle w:val="TableBody"/>
              <w:numPr>
                <w:ilvl w:val="0"/>
                <w:numId w:val="24"/>
              </w:numPr>
              <w:rPr>
                <w:rFonts w:asciiTheme="majorHAnsi" w:eastAsia="SimSun" w:hAnsiTheme="majorHAnsi" w:cstheme="majorBidi"/>
                <w:color w:val="404040" w:themeColor="text1" w:themeTint="BF"/>
                <w:szCs w:val="22"/>
                <w:lang w:eastAsia="zh-CN"/>
              </w:rPr>
            </w:pPr>
            <w:r w:rsidRPr="00D84086">
              <w:rPr>
                <w:rFonts w:eastAsia="SimSun"/>
                <w:b/>
                <w:bCs/>
                <w:szCs w:val="22"/>
                <w:lang w:eastAsia="zh-CN"/>
              </w:rPr>
              <w:t>Debt-to-assets</w:t>
            </w:r>
            <w:r w:rsidRPr="003445DC">
              <w:rPr>
                <w:rFonts w:eastAsia="SimSun"/>
                <w:szCs w:val="22"/>
                <w:lang w:eastAsia="zh-CN"/>
              </w:rPr>
              <w:t xml:space="preserve"> = Total liabilities divided by Total assets</w:t>
            </w:r>
          </w:p>
          <w:p w14:paraId="081D9DEA" w14:textId="77777777" w:rsidR="004F07E1" w:rsidRPr="003445DC" w:rsidRDefault="004F07E1" w:rsidP="0085275A">
            <w:pPr>
              <w:pStyle w:val="TableBody"/>
              <w:numPr>
                <w:ilvl w:val="0"/>
                <w:numId w:val="24"/>
              </w:numPr>
              <w:rPr>
                <w:rFonts w:asciiTheme="majorHAnsi" w:eastAsia="SimSun" w:hAnsiTheme="majorHAnsi" w:cstheme="majorBidi"/>
                <w:i/>
                <w:iCs/>
                <w:color w:val="404040" w:themeColor="text1" w:themeTint="BF"/>
                <w:szCs w:val="22"/>
                <w:lang w:eastAsia="zh-CN"/>
              </w:rPr>
            </w:pPr>
            <w:r w:rsidRPr="00D84086">
              <w:rPr>
                <w:rFonts w:eastAsia="SimSun"/>
                <w:b/>
                <w:bCs/>
                <w:szCs w:val="22"/>
                <w:lang w:eastAsia="zh-CN"/>
              </w:rPr>
              <w:t>Times interest earned</w:t>
            </w:r>
            <w:r w:rsidRPr="003445DC">
              <w:rPr>
                <w:rFonts w:eastAsia="SimSun"/>
                <w:szCs w:val="22"/>
                <w:lang w:eastAsia="zh-CN"/>
              </w:rPr>
              <w:t xml:space="preserve"> = (Net income + Interest expense + Income tax expense) divided by Interest expense</w:t>
            </w:r>
          </w:p>
        </w:tc>
        <w:tc>
          <w:tcPr>
            <w:tcW w:w="2862" w:type="dxa"/>
            <w:tcBorders>
              <w:left w:val="single" w:sz="4" w:space="0" w:color="auto"/>
            </w:tcBorders>
          </w:tcPr>
          <w:p w14:paraId="733FD845" w14:textId="77777777" w:rsidR="004F07E1" w:rsidRDefault="004F07E1" w:rsidP="00101039">
            <w:pPr>
              <w:pStyle w:val="ListParagraph"/>
              <w:numPr>
                <w:ilvl w:val="0"/>
                <w:numId w:val="17"/>
              </w:numPr>
              <w:ind w:left="288" w:hanging="288"/>
              <w:jc w:val="left"/>
            </w:pPr>
            <w:r>
              <w:t>Activity #3</w:t>
            </w:r>
          </w:p>
        </w:tc>
      </w:tr>
      <w:tr w:rsidR="004F07E1" w14:paraId="07A0CDB9" w14:textId="77777777">
        <w:tc>
          <w:tcPr>
            <w:tcW w:w="6498" w:type="dxa"/>
            <w:tcBorders>
              <w:right w:val="single" w:sz="4" w:space="0" w:color="auto"/>
            </w:tcBorders>
          </w:tcPr>
          <w:p w14:paraId="30C0FFA4" w14:textId="77777777" w:rsidR="004F07E1" w:rsidRPr="003D68F2" w:rsidRDefault="004F07E1" w:rsidP="00993956">
            <w:pPr>
              <w:pStyle w:val="TableBody"/>
              <w:ind w:left="288" w:hanging="288"/>
            </w:pPr>
            <w:r w:rsidRPr="003D68F2">
              <w:t>III.</w:t>
            </w:r>
            <w:r w:rsidRPr="003D68F2">
              <w:tab/>
            </w:r>
            <w:r w:rsidRPr="003D68F2">
              <w:tab/>
              <w:t>Evaluate the Results</w:t>
            </w:r>
          </w:p>
        </w:tc>
        <w:tc>
          <w:tcPr>
            <w:tcW w:w="2862" w:type="dxa"/>
            <w:tcBorders>
              <w:left w:val="single" w:sz="4" w:space="0" w:color="auto"/>
            </w:tcBorders>
          </w:tcPr>
          <w:p w14:paraId="771BFC09" w14:textId="77777777" w:rsidR="004F07E1" w:rsidRDefault="004F07E1" w:rsidP="00FC124C">
            <w:pPr>
              <w:pStyle w:val="TableBody"/>
            </w:pPr>
          </w:p>
        </w:tc>
      </w:tr>
      <w:tr w:rsidR="004F07E1" w:rsidRPr="00D53C32" w14:paraId="21AEAE48" w14:textId="77777777" w:rsidTr="00E61C8F">
        <w:tc>
          <w:tcPr>
            <w:tcW w:w="9360" w:type="dxa"/>
            <w:gridSpan w:val="2"/>
            <w:tcBorders>
              <w:top w:val="single" w:sz="4" w:space="0" w:color="auto"/>
              <w:left w:val="single" w:sz="4" w:space="0" w:color="auto"/>
              <w:bottom w:val="single" w:sz="4" w:space="0" w:color="auto"/>
              <w:right w:val="single" w:sz="4" w:space="0" w:color="auto"/>
            </w:tcBorders>
          </w:tcPr>
          <w:p w14:paraId="3F00EDC7" w14:textId="561D877F" w:rsidR="004F07E1" w:rsidRPr="00D53C32" w:rsidRDefault="005742DA" w:rsidP="00E61C8F">
            <w:pPr>
              <w:pStyle w:val="TableBody"/>
              <w:spacing w:before="60" w:after="60"/>
              <w:rPr>
                <w:b/>
                <w:i/>
                <w:iCs/>
              </w:rPr>
            </w:pPr>
            <w:r w:rsidRPr="005742DA">
              <w:rPr>
                <w:b/>
                <w:i/>
                <w:iCs/>
              </w:rPr>
              <w:t>LO 13-</w:t>
            </w:r>
            <w:r w:rsidR="004F07E1">
              <w:rPr>
                <w:b/>
                <w:i/>
                <w:iCs/>
              </w:rPr>
              <w:t>5</w:t>
            </w:r>
            <w:r w:rsidR="004F07E1" w:rsidRPr="00D53C32">
              <w:rPr>
                <w:b/>
                <w:i/>
                <w:iCs/>
              </w:rPr>
              <w:t xml:space="preserve"> Interpret the results of financial analyses.</w:t>
            </w:r>
          </w:p>
        </w:tc>
      </w:tr>
      <w:tr w:rsidR="004F07E1" w14:paraId="2DB4176C" w14:textId="77777777" w:rsidTr="00993956">
        <w:tc>
          <w:tcPr>
            <w:tcW w:w="6498" w:type="dxa"/>
            <w:tcBorders>
              <w:right w:val="single" w:sz="4" w:space="0" w:color="auto"/>
            </w:tcBorders>
          </w:tcPr>
          <w:p w14:paraId="4560C278" w14:textId="77777777" w:rsidR="004F07E1" w:rsidRPr="007939AD" w:rsidRDefault="004F07E1" w:rsidP="00993956">
            <w:pPr>
              <w:pStyle w:val="TableBody"/>
              <w:ind w:left="576"/>
              <w:rPr>
                <w:i/>
                <w:iCs/>
              </w:rPr>
            </w:pPr>
            <w:r>
              <w:rPr>
                <w:rFonts w:eastAsia="SimSun"/>
                <w:szCs w:val="22"/>
                <w:lang w:eastAsia="zh-CN"/>
              </w:rPr>
              <w:t>A.</w:t>
            </w:r>
            <w:r>
              <w:rPr>
                <w:rFonts w:eastAsia="SimSun"/>
                <w:szCs w:val="22"/>
                <w:lang w:eastAsia="zh-CN"/>
              </w:rPr>
              <w:tab/>
              <w:t>Interpreting Horizontal and Vertical Analyses</w:t>
            </w:r>
          </w:p>
        </w:tc>
        <w:tc>
          <w:tcPr>
            <w:tcW w:w="2862" w:type="dxa"/>
            <w:tcBorders>
              <w:left w:val="single" w:sz="4" w:space="0" w:color="auto"/>
            </w:tcBorders>
          </w:tcPr>
          <w:p w14:paraId="2C1145EB" w14:textId="77777777" w:rsidR="004F07E1" w:rsidRDefault="004F07E1" w:rsidP="00FC124C">
            <w:pPr>
              <w:pStyle w:val="TableBody"/>
            </w:pPr>
          </w:p>
        </w:tc>
      </w:tr>
      <w:tr w:rsidR="004F07E1" w14:paraId="5500F988" w14:textId="77777777" w:rsidTr="00993956">
        <w:tc>
          <w:tcPr>
            <w:tcW w:w="6498" w:type="dxa"/>
            <w:tcBorders>
              <w:right w:val="single" w:sz="4" w:space="0" w:color="auto"/>
            </w:tcBorders>
          </w:tcPr>
          <w:p w14:paraId="70F355E9" w14:textId="77777777" w:rsidR="004F07E1" w:rsidRPr="00142B0F" w:rsidRDefault="004F07E1" w:rsidP="001078A7">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001078A7">
              <w:rPr>
                <w:rFonts w:eastAsia="SimSun"/>
                <w:szCs w:val="22"/>
                <w:lang w:eastAsia="zh-CN"/>
              </w:rPr>
              <w:t>F</w:t>
            </w:r>
            <w:r w:rsidR="001078A7" w:rsidRPr="001078A7">
              <w:rPr>
                <w:rFonts w:eastAsia="SimSun"/>
                <w:szCs w:val="22"/>
                <w:lang w:eastAsia="zh-CN"/>
              </w:rPr>
              <w:t>inancial statement analyses are not complete unless</w:t>
            </w:r>
            <w:r w:rsidR="001078A7">
              <w:rPr>
                <w:rFonts w:eastAsia="SimSun"/>
                <w:szCs w:val="22"/>
                <w:lang w:eastAsia="zh-CN"/>
              </w:rPr>
              <w:t xml:space="preserve"> </w:t>
            </w:r>
            <w:r w:rsidR="001078A7" w:rsidRPr="001078A7">
              <w:rPr>
                <w:rFonts w:eastAsia="SimSun"/>
                <w:szCs w:val="22"/>
                <w:lang w:eastAsia="zh-CN"/>
              </w:rPr>
              <w:t xml:space="preserve">they lead to interpretations that help users understand and </w:t>
            </w:r>
            <w:r w:rsidR="001078A7">
              <w:rPr>
                <w:rFonts w:eastAsia="SimSun"/>
                <w:szCs w:val="22"/>
                <w:lang w:eastAsia="zh-CN"/>
              </w:rPr>
              <w:t>e</w:t>
            </w:r>
            <w:r w:rsidR="001078A7" w:rsidRPr="001078A7">
              <w:rPr>
                <w:rFonts w:eastAsia="SimSun"/>
                <w:szCs w:val="22"/>
                <w:lang w:eastAsia="zh-CN"/>
              </w:rPr>
              <w:t>valuate a company’s financial</w:t>
            </w:r>
            <w:r w:rsidR="001078A7">
              <w:rPr>
                <w:rFonts w:eastAsia="SimSun"/>
                <w:szCs w:val="22"/>
                <w:lang w:eastAsia="zh-CN"/>
              </w:rPr>
              <w:t xml:space="preserve"> </w:t>
            </w:r>
            <w:r w:rsidR="001078A7" w:rsidRPr="001078A7">
              <w:rPr>
                <w:rFonts w:eastAsia="SimSun"/>
                <w:szCs w:val="22"/>
                <w:lang w:eastAsia="zh-CN"/>
              </w:rPr>
              <w:t>results.</w:t>
            </w:r>
          </w:p>
        </w:tc>
        <w:tc>
          <w:tcPr>
            <w:tcW w:w="2862" w:type="dxa"/>
            <w:tcBorders>
              <w:left w:val="single" w:sz="4" w:space="0" w:color="auto"/>
            </w:tcBorders>
          </w:tcPr>
          <w:p w14:paraId="4233B704" w14:textId="77777777" w:rsidR="004F07E1" w:rsidRDefault="004F07E1" w:rsidP="00FC124C">
            <w:pPr>
              <w:pStyle w:val="TableBody"/>
            </w:pPr>
          </w:p>
        </w:tc>
      </w:tr>
      <w:tr w:rsidR="004F07E1" w14:paraId="13E4797C" w14:textId="77777777" w:rsidTr="00993956">
        <w:tc>
          <w:tcPr>
            <w:tcW w:w="6498" w:type="dxa"/>
            <w:tcBorders>
              <w:right w:val="single" w:sz="4" w:space="0" w:color="auto"/>
            </w:tcBorders>
          </w:tcPr>
          <w:p w14:paraId="2171B185" w14:textId="77777777" w:rsidR="004F07E1" w:rsidRPr="00142B0F" w:rsidRDefault="001078A7" w:rsidP="001078A7">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G</w:t>
            </w:r>
            <w:r w:rsidRPr="001078A7">
              <w:rPr>
                <w:rFonts w:eastAsia="SimSun"/>
                <w:szCs w:val="22"/>
                <w:lang w:eastAsia="zh-CN"/>
              </w:rPr>
              <w:t>oals should be to understand what each</w:t>
            </w:r>
            <w:r>
              <w:rPr>
                <w:rFonts w:eastAsia="SimSun"/>
                <w:szCs w:val="22"/>
                <w:lang w:eastAsia="zh-CN"/>
              </w:rPr>
              <w:t xml:space="preserve"> </w:t>
            </w:r>
            <w:r w:rsidRPr="001078A7">
              <w:rPr>
                <w:rFonts w:eastAsia="SimSun"/>
                <w:szCs w:val="22"/>
                <w:lang w:eastAsia="zh-CN"/>
              </w:rPr>
              <w:t>analysis is telling you and then combine your findings into a coherent “story” that</w:t>
            </w:r>
            <w:r w:rsidR="00FA4DCF">
              <w:rPr>
                <w:rFonts w:eastAsia="SimSun"/>
                <w:szCs w:val="22"/>
                <w:lang w:eastAsia="zh-CN"/>
              </w:rPr>
              <w:t xml:space="preserve"> </w:t>
            </w:r>
            <w:r w:rsidRPr="001078A7">
              <w:rPr>
                <w:rFonts w:eastAsia="SimSun"/>
                <w:szCs w:val="22"/>
                <w:lang w:eastAsia="zh-CN"/>
              </w:rPr>
              <w:t>explains the results of the company’s business activities.</w:t>
            </w:r>
          </w:p>
        </w:tc>
        <w:tc>
          <w:tcPr>
            <w:tcW w:w="2862" w:type="dxa"/>
            <w:tcBorders>
              <w:left w:val="single" w:sz="4" w:space="0" w:color="auto"/>
            </w:tcBorders>
          </w:tcPr>
          <w:p w14:paraId="21B4105D" w14:textId="77777777" w:rsidR="004F07E1" w:rsidRDefault="004F07E1" w:rsidP="00FC124C">
            <w:pPr>
              <w:pStyle w:val="TableBody"/>
            </w:pPr>
          </w:p>
        </w:tc>
      </w:tr>
      <w:tr w:rsidR="00FA4DCF" w14:paraId="69A6D4BC" w14:textId="77777777">
        <w:tc>
          <w:tcPr>
            <w:tcW w:w="6498" w:type="dxa"/>
            <w:tcBorders>
              <w:right w:val="single" w:sz="4" w:space="0" w:color="auto"/>
            </w:tcBorders>
          </w:tcPr>
          <w:p w14:paraId="3F153847" w14:textId="77777777" w:rsidR="00FA4DCF" w:rsidRDefault="00FA4DCF" w:rsidP="00FA4DCF">
            <w:pPr>
              <w:pStyle w:val="TableBody"/>
              <w:ind w:left="1152" w:hanging="288"/>
            </w:pPr>
            <w:r>
              <w:rPr>
                <w:rFonts w:eastAsia="SimSun"/>
                <w:szCs w:val="22"/>
                <w:lang w:eastAsia="zh-CN"/>
              </w:rPr>
              <w:t>3.</w:t>
            </w:r>
            <w:r>
              <w:rPr>
                <w:rFonts w:eastAsia="SimSun"/>
                <w:szCs w:val="22"/>
                <w:lang w:eastAsia="zh-CN"/>
              </w:rPr>
              <w:tab/>
              <w:t>Trends Revealed in Horizontal Analyses</w:t>
            </w:r>
          </w:p>
        </w:tc>
        <w:tc>
          <w:tcPr>
            <w:tcW w:w="2862" w:type="dxa"/>
            <w:tcBorders>
              <w:left w:val="single" w:sz="4" w:space="0" w:color="auto"/>
            </w:tcBorders>
          </w:tcPr>
          <w:p w14:paraId="2C1CD868" w14:textId="77777777" w:rsidR="00FA4DCF" w:rsidRDefault="00FA4DCF" w:rsidP="002B5285">
            <w:pPr>
              <w:pStyle w:val="TableBody"/>
              <w:ind w:left="1152" w:hanging="288"/>
            </w:pPr>
          </w:p>
        </w:tc>
      </w:tr>
      <w:tr w:rsidR="00FA4DCF" w:rsidRPr="00FA4DCF" w14:paraId="6852069B" w14:textId="77777777">
        <w:tc>
          <w:tcPr>
            <w:tcW w:w="6498" w:type="dxa"/>
            <w:tcBorders>
              <w:right w:val="single" w:sz="4" w:space="0" w:color="auto"/>
            </w:tcBorders>
          </w:tcPr>
          <w:p w14:paraId="403C3106" w14:textId="77777777" w:rsidR="00FA4DCF" w:rsidRPr="00993956" w:rsidRDefault="00FA4DCF" w:rsidP="00FA4DCF">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FA4DCF">
              <w:rPr>
                <w:rFonts w:eastAsia="SimSun"/>
                <w:szCs w:val="22"/>
                <w:lang w:eastAsia="zh-CN"/>
              </w:rPr>
              <w:t xml:space="preserve">Horizontal (trend) analysis of </w:t>
            </w:r>
            <w:r>
              <w:rPr>
                <w:rFonts w:eastAsia="SimSun"/>
                <w:szCs w:val="22"/>
                <w:lang w:eastAsia="zh-CN"/>
              </w:rPr>
              <w:t>a company’s</w:t>
            </w:r>
            <w:r w:rsidRPr="00FA4DCF">
              <w:rPr>
                <w:rFonts w:eastAsia="SimSun"/>
                <w:szCs w:val="22"/>
                <w:lang w:eastAsia="zh-CN"/>
              </w:rPr>
              <w:t xml:space="preserve"> balance sheet </w:t>
            </w:r>
            <w:r>
              <w:rPr>
                <w:rFonts w:eastAsia="SimSun"/>
                <w:szCs w:val="22"/>
                <w:lang w:eastAsia="zh-CN"/>
              </w:rPr>
              <w:t xml:space="preserve">reveals whether a </w:t>
            </w:r>
            <w:r w:rsidRPr="00FA4DCF">
              <w:rPr>
                <w:rFonts w:eastAsia="SimSun"/>
                <w:szCs w:val="22"/>
                <w:lang w:eastAsia="zh-CN"/>
              </w:rPr>
              <w:t>company</w:t>
            </w:r>
            <w:r>
              <w:rPr>
                <w:rFonts w:eastAsia="SimSun"/>
                <w:szCs w:val="22"/>
                <w:lang w:eastAsia="zh-CN"/>
              </w:rPr>
              <w:t xml:space="preserve"> grew during the year and indicates whether the company changed its reliance on </w:t>
            </w:r>
            <w:r w:rsidRPr="00FA4DCF">
              <w:rPr>
                <w:rFonts w:eastAsia="SimSun"/>
                <w:szCs w:val="22"/>
                <w:lang w:eastAsia="zh-CN"/>
              </w:rPr>
              <w:t xml:space="preserve">debt </w:t>
            </w:r>
            <w:r>
              <w:rPr>
                <w:rFonts w:eastAsia="SimSun"/>
                <w:szCs w:val="22"/>
                <w:lang w:eastAsia="zh-CN"/>
              </w:rPr>
              <w:t xml:space="preserve">vs. </w:t>
            </w:r>
            <w:r w:rsidRPr="00FA4DCF">
              <w:rPr>
                <w:rFonts w:eastAsia="SimSun"/>
                <w:szCs w:val="22"/>
                <w:lang w:eastAsia="zh-CN"/>
              </w:rPr>
              <w:t>equity financing.</w:t>
            </w:r>
          </w:p>
        </w:tc>
        <w:tc>
          <w:tcPr>
            <w:tcW w:w="2862" w:type="dxa"/>
            <w:tcBorders>
              <w:left w:val="single" w:sz="4" w:space="0" w:color="auto"/>
            </w:tcBorders>
          </w:tcPr>
          <w:p w14:paraId="60318F44" w14:textId="77777777" w:rsidR="00FA4DCF" w:rsidRPr="00FA4DCF" w:rsidRDefault="00FA4DCF" w:rsidP="00FA4DCF">
            <w:pPr>
              <w:pStyle w:val="TableBody"/>
              <w:rPr>
                <w:rFonts w:eastAsia="SimSun"/>
                <w:szCs w:val="22"/>
                <w:lang w:eastAsia="zh-CN"/>
              </w:rPr>
            </w:pPr>
            <w:r w:rsidRPr="00FA4DCF">
              <w:rPr>
                <w:rFonts w:eastAsia="SimSun"/>
                <w:szCs w:val="22"/>
                <w:lang w:eastAsia="zh-CN"/>
              </w:rPr>
              <w:t>Refer to Exhibit 13.1</w:t>
            </w:r>
          </w:p>
        </w:tc>
      </w:tr>
      <w:tr w:rsidR="00FA4DCF" w14:paraId="7A7EAFD9" w14:textId="77777777">
        <w:tc>
          <w:tcPr>
            <w:tcW w:w="6498" w:type="dxa"/>
            <w:tcBorders>
              <w:right w:val="single" w:sz="4" w:space="0" w:color="auto"/>
            </w:tcBorders>
          </w:tcPr>
          <w:p w14:paraId="2DD45F85" w14:textId="77777777" w:rsidR="00FA4DCF" w:rsidRPr="00993956" w:rsidRDefault="00FA4DCF" w:rsidP="00FA4DCF">
            <w:pPr>
              <w:pStyle w:val="TableBody"/>
              <w:ind w:left="1440" w:hanging="288"/>
              <w:rPr>
                <w:rFonts w:eastAsia="SimSun"/>
                <w:szCs w:val="22"/>
                <w:lang w:eastAsia="zh-CN"/>
              </w:rPr>
            </w:pPr>
            <w:r>
              <w:rPr>
                <w:rFonts w:eastAsia="SimSun"/>
                <w:szCs w:val="22"/>
                <w:lang w:eastAsia="zh-CN"/>
              </w:rPr>
              <w:t>b</w:t>
            </w:r>
            <w:r w:rsidRPr="00993956">
              <w:rPr>
                <w:rFonts w:eastAsia="SimSun"/>
                <w:szCs w:val="22"/>
                <w:lang w:eastAsia="zh-CN"/>
              </w:rPr>
              <w:t>.</w:t>
            </w:r>
            <w:r w:rsidRPr="00993956">
              <w:rPr>
                <w:rFonts w:eastAsia="SimSun"/>
                <w:szCs w:val="22"/>
                <w:lang w:eastAsia="zh-CN"/>
              </w:rPr>
              <w:tab/>
            </w:r>
            <w:r>
              <w:rPr>
                <w:rFonts w:eastAsia="SimSun"/>
                <w:szCs w:val="22"/>
                <w:lang w:eastAsia="zh-CN"/>
              </w:rPr>
              <w:t>Horizontal</w:t>
            </w:r>
            <w:r w:rsidRPr="00993956">
              <w:rPr>
                <w:rFonts w:eastAsia="SimSun"/>
                <w:szCs w:val="22"/>
                <w:lang w:eastAsia="zh-CN"/>
              </w:rPr>
              <w:t xml:space="preserve"> analysis of </w:t>
            </w:r>
            <w:r>
              <w:rPr>
                <w:rFonts w:eastAsia="SimSun"/>
                <w:szCs w:val="22"/>
                <w:lang w:eastAsia="zh-CN"/>
              </w:rPr>
              <w:t xml:space="preserve">a company’s income statement </w:t>
            </w:r>
            <w:r w:rsidRPr="00993956">
              <w:rPr>
                <w:rFonts w:eastAsia="SimSun"/>
                <w:szCs w:val="22"/>
                <w:lang w:eastAsia="zh-CN"/>
              </w:rPr>
              <w:t xml:space="preserve">highlights key </w:t>
            </w:r>
            <w:r>
              <w:rPr>
                <w:rFonts w:eastAsia="SimSun"/>
                <w:szCs w:val="22"/>
                <w:lang w:eastAsia="zh-CN"/>
              </w:rPr>
              <w:t>changes in its operations</w:t>
            </w:r>
            <w:r w:rsidRPr="00993956">
              <w:rPr>
                <w:rFonts w:eastAsia="SimSun"/>
                <w:szCs w:val="22"/>
                <w:lang w:eastAsia="zh-CN"/>
              </w:rPr>
              <w:t>.</w:t>
            </w:r>
          </w:p>
        </w:tc>
        <w:tc>
          <w:tcPr>
            <w:tcW w:w="2862" w:type="dxa"/>
            <w:tcBorders>
              <w:left w:val="single" w:sz="4" w:space="0" w:color="auto"/>
            </w:tcBorders>
          </w:tcPr>
          <w:p w14:paraId="47614AC8" w14:textId="77777777" w:rsidR="00FA4DCF" w:rsidRDefault="00FA4DCF" w:rsidP="002B5285">
            <w:pPr>
              <w:pStyle w:val="TableBody"/>
            </w:pPr>
            <w:r>
              <w:t>Refer to Exhibit 13.2</w:t>
            </w:r>
          </w:p>
        </w:tc>
      </w:tr>
      <w:tr w:rsidR="00FA4DCF" w14:paraId="23DB8D83" w14:textId="77777777">
        <w:tc>
          <w:tcPr>
            <w:tcW w:w="6498" w:type="dxa"/>
            <w:tcBorders>
              <w:right w:val="single" w:sz="4" w:space="0" w:color="auto"/>
            </w:tcBorders>
          </w:tcPr>
          <w:p w14:paraId="692D05D3" w14:textId="77777777" w:rsidR="00FA4DCF" w:rsidRDefault="00FA4DCF" w:rsidP="00FA4DCF">
            <w:pPr>
              <w:pStyle w:val="TableBody"/>
              <w:ind w:left="1152" w:hanging="288"/>
            </w:pPr>
            <w:r>
              <w:rPr>
                <w:rFonts w:eastAsia="SimSun"/>
                <w:szCs w:val="22"/>
                <w:lang w:eastAsia="zh-CN"/>
              </w:rPr>
              <w:t>4.</w:t>
            </w:r>
            <w:r>
              <w:rPr>
                <w:rFonts w:eastAsia="SimSun"/>
                <w:szCs w:val="22"/>
                <w:lang w:eastAsia="zh-CN"/>
              </w:rPr>
              <w:tab/>
              <w:t>Relationships Noted in Vertical Analyses</w:t>
            </w:r>
          </w:p>
        </w:tc>
        <w:tc>
          <w:tcPr>
            <w:tcW w:w="2862" w:type="dxa"/>
            <w:tcBorders>
              <w:left w:val="single" w:sz="4" w:space="0" w:color="auto"/>
            </w:tcBorders>
          </w:tcPr>
          <w:p w14:paraId="7F45625D" w14:textId="77777777" w:rsidR="00FA4DCF" w:rsidRDefault="00FA4DCF" w:rsidP="00265392">
            <w:pPr>
              <w:pStyle w:val="TableBody"/>
            </w:pPr>
          </w:p>
        </w:tc>
      </w:tr>
      <w:tr w:rsidR="00FA4DCF" w14:paraId="1C5B22DB" w14:textId="77777777">
        <w:tc>
          <w:tcPr>
            <w:tcW w:w="6498" w:type="dxa"/>
            <w:tcBorders>
              <w:right w:val="single" w:sz="4" w:space="0" w:color="auto"/>
            </w:tcBorders>
          </w:tcPr>
          <w:p w14:paraId="38D09AA8" w14:textId="77777777" w:rsidR="00FA4DCF" w:rsidRPr="00993956" w:rsidRDefault="00FA4DCF" w:rsidP="00FA4DCF">
            <w:pPr>
              <w:pStyle w:val="TableBody"/>
              <w:ind w:left="1440" w:hanging="288"/>
              <w:rPr>
                <w:rFonts w:eastAsia="SimSun"/>
                <w:szCs w:val="22"/>
                <w:lang w:eastAsia="zh-CN"/>
              </w:rPr>
            </w:pPr>
            <w:r w:rsidRPr="00993956">
              <w:rPr>
                <w:rFonts w:eastAsia="SimSun"/>
                <w:szCs w:val="22"/>
                <w:lang w:eastAsia="zh-CN"/>
              </w:rPr>
              <w:t>a.</w:t>
            </w:r>
            <w:r w:rsidRPr="00993956">
              <w:rPr>
                <w:rFonts w:eastAsia="SimSun"/>
                <w:szCs w:val="22"/>
                <w:lang w:eastAsia="zh-CN"/>
              </w:rPr>
              <w:tab/>
              <w:t xml:space="preserve">Vertical (common size) analysis of </w:t>
            </w:r>
            <w:r>
              <w:rPr>
                <w:rFonts w:eastAsia="SimSun"/>
                <w:szCs w:val="22"/>
                <w:lang w:eastAsia="zh-CN"/>
              </w:rPr>
              <w:t>a company’s</w:t>
            </w:r>
            <w:r w:rsidRPr="00993956">
              <w:rPr>
                <w:rFonts w:eastAsia="SimSun"/>
                <w:szCs w:val="22"/>
                <w:lang w:eastAsia="zh-CN"/>
              </w:rPr>
              <w:t xml:space="preserve"> balance sheet highlights key elements of the company.</w:t>
            </w:r>
          </w:p>
        </w:tc>
        <w:tc>
          <w:tcPr>
            <w:tcW w:w="2862" w:type="dxa"/>
            <w:tcBorders>
              <w:left w:val="single" w:sz="4" w:space="0" w:color="auto"/>
            </w:tcBorders>
          </w:tcPr>
          <w:p w14:paraId="35C9DE1F" w14:textId="77777777" w:rsidR="00FA4DCF" w:rsidRDefault="00FA4DCF" w:rsidP="002B5285">
            <w:pPr>
              <w:pStyle w:val="TableBody"/>
            </w:pPr>
            <w:r>
              <w:t>Refer to Exhibit 13.3</w:t>
            </w:r>
          </w:p>
        </w:tc>
      </w:tr>
      <w:tr w:rsidR="00FA4DCF" w14:paraId="026DDF1B" w14:textId="77777777">
        <w:tc>
          <w:tcPr>
            <w:tcW w:w="6498" w:type="dxa"/>
            <w:tcBorders>
              <w:right w:val="single" w:sz="4" w:space="0" w:color="auto"/>
            </w:tcBorders>
          </w:tcPr>
          <w:p w14:paraId="6F54EBFF" w14:textId="77777777" w:rsidR="00FA4DCF" w:rsidRPr="00993956" w:rsidRDefault="00FA4DCF" w:rsidP="00FA4DCF">
            <w:pPr>
              <w:pStyle w:val="TableBody"/>
              <w:ind w:left="1440" w:hanging="288"/>
              <w:rPr>
                <w:rFonts w:eastAsia="SimSun"/>
                <w:szCs w:val="22"/>
                <w:lang w:eastAsia="zh-CN"/>
              </w:rPr>
            </w:pPr>
            <w:r>
              <w:rPr>
                <w:rFonts w:eastAsia="SimSun"/>
                <w:szCs w:val="22"/>
                <w:lang w:eastAsia="zh-CN"/>
              </w:rPr>
              <w:t>b</w:t>
            </w:r>
            <w:r w:rsidRPr="00993956">
              <w:rPr>
                <w:rFonts w:eastAsia="SimSun"/>
                <w:szCs w:val="22"/>
                <w:lang w:eastAsia="zh-CN"/>
              </w:rPr>
              <w:t>.</w:t>
            </w:r>
            <w:r w:rsidRPr="00993956">
              <w:rPr>
                <w:rFonts w:eastAsia="SimSun"/>
                <w:szCs w:val="22"/>
                <w:lang w:eastAsia="zh-CN"/>
              </w:rPr>
              <w:tab/>
              <w:t xml:space="preserve">Vertical (common size) analysis of </w:t>
            </w:r>
            <w:r>
              <w:rPr>
                <w:rFonts w:eastAsia="SimSun"/>
                <w:szCs w:val="22"/>
                <w:lang w:eastAsia="zh-CN"/>
              </w:rPr>
              <w:t>a company’s</w:t>
            </w:r>
            <w:r w:rsidRPr="00993956">
              <w:rPr>
                <w:rFonts w:eastAsia="SimSun"/>
                <w:szCs w:val="22"/>
                <w:lang w:eastAsia="zh-CN"/>
              </w:rPr>
              <w:t xml:space="preserve"> </w:t>
            </w:r>
            <w:r>
              <w:rPr>
                <w:rFonts w:eastAsia="SimSun"/>
                <w:szCs w:val="22"/>
                <w:lang w:eastAsia="zh-CN"/>
              </w:rPr>
              <w:t xml:space="preserve">income statement reveals the </w:t>
            </w:r>
            <w:r w:rsidRPr="00FA4DCF">
              <w:rPr>
                <w:rFonts w:eastAsia="SimSun"/>
                <w:szCs w:val="22"/>
                <w:lang w:eastAsia="zh-CN"/>
              </w:rPr>
              <w:t>most important determinants of the company’s</w:t>
            </w:r>
            <w:r>
              <w:rPr>
                <w:rFonts w:eastAsia="SimSun"/>
                <w:szCs w:val="22"/>
                <w:lang w:eastAsia="zh-CN"/>
              </w:rPr>
              <w:t xml:space="preserve"> </w:t>
            </w:r>
            <w:r w:rsidRPr="00FA4DCF">
              <w:rPr>
                <w:rFonts w:eastAsia="SimSun"/>
                <w:szCs w:val="22"/>
                <w:lang w:eastAsia="zh-CN"/>
              </w:rPr>
              <w:t>profitability.</w:t>
            </w:r>
          </w:p>
        </w:tc>
        <w:tc>
          <w:tcPr>
            <w:tcW w:w="2862" w:type="dxa"/>
            <w:tcBorders>
              <w:left w:val="single" w:sz="4" w:space="0" w:color="auto"/>
            </w:tcBorders>
          </w:tcPr>
          <w:p w14:paraId="27EE7792" w14:textId="77777777" w:rsidR="00FA4DCF" w:rsidRDefault="00FA4DCF" w:rsidP="002B5285">
            <w:pPr>
              <w:pStyle w:val="TableBody"/>
            </w:pPr>
            <w:r>
              <w:t>Refer to Exhibit 13.4</w:t>
            </w:r>
          </w:p>
        </w:tc>
      </w:tr>
    </w:tbl>
    <w:p w14:paraId="4C14B1BA" w14:textId="77777777" w:rsidR="00FA4DCF" w:rsidRDefault="00FA4DCF">
      <w:r>
        <w:br w:type="page"/>
      </w:r>
    </w:p>
    <w:p w14:paraId="50F2F8C6" w14:textId="77777777" w:rsidR="00E61C8F" w:rsidRPr="004F07E1" w:rsidRDefault="00E61C8F" w:rsidP="00E61C8F">
      <w:pPr>
        <w:rPr>
          <w:sz w:val="4"/>
          <w:szCs w:val="4"/>
        </w:rPr>
      </w:pPr>
    </w:p>
    <w:tbl>
      <w:tblPr>
        <w:tblW w:w="0" w:type="auto"/>
        <w:tblLayout w:type="fixed"/>
        <w:tblLook w:val="01E0" w:firstRow="1" w:lastRow="1" w:firstColumn="1" w:lastColumn="1" w:noHBand="0" w:noVBand="0"/>
      </w:tblPr>
      <w:tblGrid>
        <w:gridCol w:w="6498"/>
        <w:gridCol w:w="2862"/>
      </w:tblGrid>
      <w:tr w:rsidR="00E61C8F" w:rsidRPr="00CD480D" w14:paraId="62A95B2E" w14:textId="77777777" w:rsidTr="00E61C8F">
        <w:tc>
          <w:tcPr>
            <w:tcW w:w="6498" w:type="dxa"/>
            <w:tcBorders>
              <w:right w:val="single" w:sz="4" w:space="0" w:color="auto"/>
            </w:tcBorders>
          </w:tcPr>
          <w:p w14:paraId="143EAA5C" w14:textId="77777777" w:rsidR="00E61C8F" w:rsidRPr="00507ED2" w:rsidRDefault="00E61C8F" w:rsidP="00E61C8F">
            <w:pPr>
              <w:pStyle w:val="Heading1"/>
              <w:rPr>
                <w:bCs/>
              </w:rPr>
            </w:pPr>
            <w:r>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31A4A83" w14:textId="77777777" w:rsidR="00E61C8F" w:rsidRPr="00CD480D" w:rsidRDefault="00E61C8F" w:rsidP="00E61C8F">
            <w:pPr>
              <w:pStyle w:val="Heading1"/>
            </w:pPr>
            <w:r w:rsidRPr="00CD480D">
              <w:t>Teaching Notes</w:t>
            </w:r>
          </w:p>
        </w:tc>
      </w:tr>
      <w:tr w:rsidR="00FA4DCF" w14:paraId="5B3298AA" w14:textId="77777777">
        <w:tc>
          <w:tcPr>
            <w:tcW w:w="6498" w:type="dxa"/>
            <w:tcBorders>
              <w:right w:val="single" w:sz="4" w:space="0" w:color="auto"/>
            </w:tcBorders>
          </w:tcPr>
          <w:p w14:paraId="161BDA84" w14:textId="77777777" w:rsidR="00FA4DCF" w:rsidRDefault="00FA4DCF" w:rsidP="00FA4DCF">
            <w:pPr>
              <w:pStyle w:val="TableBody"/>
              <w:ind w:left="864" w:hanging="288"/>
              <w:rPr>
                <w:rFonts w:eastAsia="SimSun"/>
                <w:szCs w:val="22"/>
                <w:lang w:eastAsia="zh-CN"/>
              </w:rPr>
            </w:pPr>
            <w:r>
              <w:t>B.</w:t>
            </w:r>
            <w:r>
              <w:tab/>
              <w:t xml:space="preserve">Interpreting </w:t>
            </w:r>
            <w:r w:rsidRPr="00142B0F">
              <w:t>Ratio Analyses</w:t>
            </w:r>
          </w:p>
        </w:tc>
        <w:tc>
          <w:tcPr>
            <w:tcW w:w="2862" w:type="dxa"/>
            <w:tcBorders>
              <w:left w:val="single" w:sz="4" w:space="0" w:color="auto"/>
            </w:tcBorders>
          </w:tcPr>
          <w:p w14:paraId="459AB585" w14:textId="77777777" w:rsidR="00FA4DCF" w:rsidRDefault="00FA4DCF" w:rsidP="002B5285">
            <w:pPr>
              <w:pStyle w:val="TableBody"/>
            </w:pPr>
            <w:r>
              <w:t>Refer to Exhibit 13.5</w:t>
            </w:r>
          </w:p>
        </w:tc>
      </w:tr>
      <w:tr w:rsidR="00FA4DCF" w14:paraId="2FFE035B" w14:textId="77777777">
        <w:tc>
          <w:tcPr>
            <w:tcW w:w="6498" w:type="dxa"/>
            <w:tcBorders>
              <w:right w:val="single" w:sz="4" w:space="0" w:color="auto"/>
            </w:tcBorders>
          </w:tcPr>
          <w:p w14:paraId="3F179A6F" w14:textId="77777777" w:rsidR="00FA4DCF" w:rsidRDefault="00FA4DCF" w:rsidP="00E61C8F">
            <w:pPr>
              <w:pStyle w:val="TableBody"/>
              <w:ind w:left="1152" w:hanging="288"/>
              <w:rPr>
                <w:rFonts w:eastAsia="SimSun"/>
                <w:szCs w:val="22"/>
                <w:lang w:eastAsia="zh-CN"/>
              </w:rPr>
            </w:pPr>
            <w:r>
              <w:rPr>
                <w:rFonts w:eastAsia="SimSun"/>
                <w:szCs w:val="22"/>
                <w:lang w:eastAsia="zh-CN"/>
              </w:rPr>
              <w:t>1</w:t>
            </w:r>
            <w:r w:rsidRPr="00142B0F">
              <w:rPr>
                <w:rFonts w:eastAsia="SimSun"/>
                <w:szCs w:val="22"/>
                <w:lang w:eastAsia="zh-CN"/>
              </w:rPr>
              <w:t>.</w:t>
            </w:r>
            <w:r w:rsidRPr="00142B0F">
              <w:rPr>
                <w:rFonts w:eastAsia="SimSun"/>
                <w:szCs w:val="22"/>
                <w:lang w:eastAsia="zh-CN"/>
              </w:rPr>
              <w:tab/>
            </w:r>
            <w:r w:rsidRPr="00FA5DEC">
              <w:rPr>
                <w:rFonts w:eastAsia="SimSun"/>
                <w:bCs/>
                <w:szCs w:val="22"/>
                <w:lang w:eastAsia="zh-CN"/>
              </w:rPr>
              <w:t>Benchmarks</w:t>
            </w:r>
            <w:r>
              <w:rPr>
                <w:rFonts w:eastAsia="SimSun"/>
                <w:bCs/>
                <w:szCs w:val="22"/>
                <w:lang w:eastAsia="zh-CN"/>
              </w:rPr>
              <w:t>, which</w:t>
            </w:r>
            <w:r w:rsidRPr="00142B0F">
              <w:rPr>
                <w:rFonts w:eastAsia="SimSun"/>
                <w:szCs w:val="22"/>
                <w:lang w:eastAsia="zh-CN"/>
              </w:rPr>
              <w:t xml:space="preserve"> help when interpreting a company’s ratios</w:t>
            </w:r>
            <w:r>
              <w:rPr>
                <w:rFonts w:eastAsia="SimSun"/>
                <w:szCs w:val="22"/>
                <w:lang w:eastAsia="zh-CN"/>
              </w:rPr>
              <w:t xml:space="preserve">, </w:t>
            </w:r>
            <w:r w:rsidRPr="00142B0F">
              <w:rPr>
                <w:rFonts w:eastAsia="SimSun"/>
                <w:szCs w:val="22"/>
                <w:lang w:eastAsia="zh-CN"/>
              </w:rPr>
              <w:t>can include the company’s prior year results, as well as the results of close competitors or the average for the industry</w:t>
            </w:r>
            <w:r>
              <w:rPr>
                <w:rFonts w:eastAsia="SimSun"/>
                <w:szCs w:val="22"/>
                <w:lang w:eastAsia="zh-CN"/>
              </w:rPr>
              <w:t>.</w:t>
            </w:r>
          </w:p>
        </w:tc>
        <w:tc>
          <w:tcPr>
            <w:tcW w:w="2862" w:type="dxa"/>
            <w:tcBorders>
              <w:left w:val="single" w:sz="4" w:space="0" w:color="auto"/>
            </w:tcBorders>
          </w:tcPr>
          <w:p w14:paraId="078C64A7" w14:textId="77777777" w:rsidR="00FA4DCF" w:rsidRDefault="00FA4DCF" w:rsidP="00E61C8F">
            <w:pPr>
              <w:pStyle w:val="TableBody"/>
            </w:pPr>
          </w:p>
        </w:tc>
      </w:tr>
      <w:tr w:rsidR="00FA4DCF" w14:paraId="4AC24D20" w14:textId="77777777">
        <w:tc>
          <w:tcPr>
            <w:tcW w:w="6498" w:type="dxa"/>
            <w:tcBorders>
              <w:right w:val="single" w:sz="4" w:space="0" w:color="auto"/>
            </w:tcBorders>
          </w:tcPr>
          <w:p w14:paraId="3ED385BD" w14:textId="77777777" w:rsidR="00FA4DCF" w:rsidRPr="00142B0F" w:rsidRDefault="00FA4DCF" w:rsidP="002B5285">
            <w:pPr>
              <w:pStyle w:val="TableBody"/>
              <w:ind w:left="1152" w:hanging="288"/>
              <w:rPr>
                <w:rFonts w:eastAsia="SimSun"/>
                <w:szCs w:val="22"/>
                <w:lang w:eastAsia="zh-CN"/>
              </w:rPr>
            </w:pPr>
            <w:r>
              <w:rPr>
                <w:rFonts w:eastAsia="SimSun"/>
                <w:szCs w:val="22"/>
                <w:lang w:eastAsia="zh-CN"/>
              </w:rPr>
              <w:t>2</w:t>
            </w:r>
            <w:r w:rsidRPr="00142B0F">
              <w:rPr>
                <w:rFonts w:eastAsia="SimSun"/>
                <w:szCs w:val="22"/>
                <w:lang w:eastAsia="zh-CN"/>
              </w:rPr>
              <w:t>.</w:t>
            </w:r>
            <w:r w:rsidRPr="00142B0F">
              <w:rPr>
                <w:rFonts w:eastAsia="SimSun"/>
                <w:szCs w:val="22"/>
                <w:lang w:eastAsia="zh-CN"/>
              </w:rPr>
              <w:tab/>
              <w:t>Industry averages are reported</w:t>
            </w:r>
            <w:r>
              <w:rPr>
                <w:rFonts w:eastAsia="SimSun"/>
                <w:szCs w:val="22"/>
                <w:lang w:eastAsia="zh-CN"/>
              </w:rPr>
              <w:t>:</w:t>
            </w:r>
            <w:r w:rsidRPr="00142B0F">
              <w:rPr>
                <w:rFonts w:eastAsia="SimSun"/>
                <w:szCs w:val="22"/>
                <w:lang w:eastAsia="zh-CN"/>
              </w:rPr>
              <w:t xml:space="preserve"> </w:t>
            </w:r>
          </w:p>
        </w:tc>
        <w:tc>
          <w:tcPr>
            <w:tcW w:w="2862" w:type="dxa"/>
            <w:tcBorders>
              <w:left w:val="single" w:sz="4" w:space="0" w:color="auto"/>
            </w:tcBorders>
          </w:tcPr>
          <w:p w14:paraId="53BE68AB" w14:textId="77777777" w:rsidR="00FA4DCF" w:rsidRDefault="00FA4DCF" w:rsidP="00E61C8F">
            <w:pPr>
              <w:pStyle w:val="TableBody"/>
            </w:pPr>
          </w:p>
        </w:tc>
      </w:tr>
      <w:tr w:rsidR="00FA4DCF" w14:paraId="60AD639E" w14:textId="77777777">
        <w:tc>
          <w:tcPr>
            <w:tcW w:w="6498" w:type="dxa"/>
            <w:tcBorders>
              <w:right w:val="single" w:sz="4" w:space="0" w:color="auto"/>
            </w:tcBorders>
          </w:tcPr>
          <w:p w14:paraId="1B1598C6" w14:textId="4D3E2EFC" w:rsidR="00FA4DCF" w:rsidRDefault="00FA4DCF" w:rsidP="002B5285">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I</w:t>
            </w:r>
            <w:r w:rsidRPr="00142B0F">
              <w:rPr>
                <w:rFonts w:eastAsia="SimSun"/>
                <w:szCs w:val="22"/>
                <w:lang w:eastAsia="zh-CN"/>
              </w:rPr>
              <w:t xml:space="preserve">n the </w:t>
            </w:r>
            <w:r w:rsidRPr="001078A7">
              <w:rPr>
                <w:rFonts w:eastAsia="SimSun"/>
                <w:i/>
                <w:szCs w:val="22"/>
                <w:lang w:eastAsia="zh-CN"/>
              </w:rPr>
              <w:t>Annual Statement Studies</w:t>
            </w:r>
            <w:r w:rsidRPr="00142B0F">
              <w:rPr>
                <w:rFonts w:eastAsia="SimSun"/>
                <w:szCs w:val="22"/>
                <w:lang w:eastAsia="zh-CN"/>
              </w:rPr>
              <w:t>, published by the Risk Management Association</w:t>
            </w:r>
            <w:r>
              <w:rPr>
                <w:rFonts w:eastAsia="SimSun"/>
                <w:szCs w:val="22"/>
                <w:lang w:eastAsia="zh-CN"/>
              </w:rPr>
              <w:t xml:space="preserve">, at </w:t>
            </w:r>
            <w:hyperlink r:id="rId9" w:history="1">
              <w:r w:rsidRPr="00051189">
                <w:rPr>
                  <w:rStyle w:val="Hyperlink"/>
                  <w:rFonts w:eastAsia="SimSun"/>
                  <w:szCs w:val="22"/>
                  <w:lang w:eastAsia="zh-CN"/>
                </w:rPr>
                <w:t>statementstudies.org</w:t>
              </w:r>
            </w:hyperlink>
            <w:r>
              <w:rPr>
                <w:rFonts w:eastAsia="SimSun"/>
                <w:szCs w:val="22"/>
                <w:lang w:eastAsia="zh-CN"/>
              </w:rPr>
              <w:t xml:space="preserve">. </w:t>
            </w:r>
          </w:p>
        </w:tc>
        <w:tc>
          <w:tcPr>
            <w:tcW w:w="2862" w:type="dxa"/>
            <w:tcBorders>
              <w:left w:val="single" w:sz="4" w:space="0" w:color="auto"/>
            </w:tcBorders>
          </w:tcPr>
          <w:p w14:paraId="269296BC" w14:textId="77777777" w:rsidR="00FA4DCF" w:rsidRDefault="00FA4DCF" w:rsidP="00E61C8F">
            <w:pPr>
              <w:pStyle w:val="TableBody"/>
            </w:pPr>
          </w:p>
        </w:tc>
      </w:tr>
      <w:tr w:rsidR="00FA4DCF" w14:paraId="3E45305C" w14:textId="77777777">
        <w:tc>
          <w:tcPr>
            <w:tcW w:w="6498" w:type="dxa"/>
            <w:tcBorders>
              <w:right w:val="single" w:sz="4" w:space="0" w:color="auto"/>
            </w:tcBorders>
          </w:tcPr>
          <w:p w14:paraId="76D37C83" w14:textId="77777777" w:rsidR="00FA4DCF" w:rsidRDefault="00FA4DCF" w:rsidP="002B5285">
            <w:pPr>
              <w:pStyle w:val="TableBody"/>
              <w:ind w:left="1440" w:hanging="288"/>
              <w:rPr>
                <w:rFonts w:eastAsia="SimSun"/>
                <w:szCs w:val="22"/>
                <w:lang w:eastAsia="zh-CN"/>
              </w:rPr>
            </w:pPr>
            <w:r>
              <w:rPr>
                <w:rFonts w:eastAsia="SimSun"/>
                <w:szCs w:val="22"/>
                <w:lang w:eastAsia="zh-CN"/>
              </w:rPr>
              <w:t xml:space="preserve">b. </w:t>
            </w:r>
            <w:r>
              <w:rPr>
                <w:rFonts w:eastAsia="SimSun"/>
                <w:szCs w:val="22"/>
                <w:lang w:eastAsia="zh-CN"/>
              </w:rPr>
              <w:tab/>
              <w:t xml:space="preserve">By </w:t>
            </w:r>
            <w:r w:rsidRPr="00FA5DEC">
              <w:rPr>
                <w:rFonts w:eastAsia="SimSun"/>
                <w:szCs w:val="22"/>
                <w:lang w:eastAsia="zh-CN"/>
              </w:rPr>
              <w:t>reuters.com/finance or google.com/finance.</w:t>
            </w:r>
          </w:p>
        </w:tc>
        <w:tc>
          <w:tcPr>
            <w:tcW w:w="2862" w:type="dxa"/>
            <w:tcBorders>
              <w:left w:val="single" w:sz="4" w:space="0" w:color="auto"/>
            </w:tcBorders>
          </w:tcPr>
          <w:p w14:paraId="2A5C9ECF" w14:textId="77777777" w:rsidR="00FA4DCF" w:rsidRDefault="00FA4DCF" w:rsidP="00E61C8F">
            <w:pPr>
              <w:pStyle w:val="TableBody"/>
            </w:pPr>
          </w:p>
        </w:tc>
      </w:tr>
      <w:tr w:rsidR="00FA4DCF" w14:paraId="7C6EECE7" w14:textId="77777777">
        <w:tc>
          <w:tcPr>
            <w:tcW w:w="6498" w:type="dxa"/>
            <w:tcBorders>
              <w:right w:val="single" w:sz="4" w:space="0" w:color="auto"/>
            </w:tcBorders>
          </w:tcPr>
          <w:p w14:paraId="7F5D05FF" w14:textId="45E3EB41" w:rsidR="00FA4DCF" w:rsidRDefault="00742C4B" w:rsidP="00742C4B">
            <w:pPr>
              <w:pStyle w:val="TableBody"/>
              <w:ind w:left="1152" w:hanging="288"/>
              <w:rPr>
                <w:rFonts w:eastAsia="SimSun"/>
                <w:szCs w:val="22"/>
                <w:lang w:eastAsia="zh-CN"/>
              </w:rPr>
            </w:pPr>
            <w:r>
              <w:rPr>
                <w:rFonts w:eastAsia="SimSun"/>
                <w:szCs w:val="22"/>
                <w:lang w:eastAsia="zh-CN"/>
              </w:rPr>
              <w:t>3</w:t>
            </w:r>
            <w:r w:rsidR="00FA4DCF">
              <w:rPr>
                <w:rFonts w:eastAsia="SimSun"/>
                <w:szCs w:val="22"/>
                <w:lang w:eastAsia="zh-CN"/>
              </w:rPr>
              <w:t>.</w:t>
            </w:r>
            <w:r w:rsidR="00FA4DCF">
              <w:rPr>
                <w:rFonts w:eastAsia="SimSun"/>
                <w:szCs w:val="22"/>
                <w:lang w:eastAsia="zh-CN"/>
              </w:rPr>
              <w:tab/>
            </w:r>
            <w:r w:rsidR="00FA4DCF" w:rsidRPr="003445DC">
              <w:rPr>
                <w:rFonts w:eastAsia="SimSun"/>
                <w:szCs w:val="22"/>
                <w:lang w:eastAsia="zh-CN"/>
              </w:rPr>
              <w:t>Profitability Ratios</w:t>
            </w:r>
            <w:r w:rsidR="00051189">
              <w:rPr>
                <w:rFonts w:eastAsia="SimSun"/>
                <w:szCs w:val="22"/>
                <w:lang w:eastAsia="zh-CN"/>
              </w:rPr>
              <w:t>—</w:t>
            </w:r>
            <w:r w:rsidR="00FA4DCF" w:rsidRPr="00FA5DEC">
              <w:rPr>
                <w:rFonts w:eastAsia="SimSun"/>
                <w:szCs w:val="22"/>
                <w:lang w:eastAsia="zh-CN"/>
              </w:rPr>
              <w:t>The analyses in this section focus on the level of profits the company generated during the period.</w:t>
            </w:r>
          </w:p>
        </w:tc>
        <w:tc>
          <w:tcPr>
            <w:tcW w:w="2862" w:type="dxa"/>
            <w:tcBorders>
              <w:left w:val="single" w:sz="4" w:space="0" w:color="auto"/>
            </w:tcBorders>
          </w:tcPr>
          <w:p w14:paraId="2EBBF9E7" w14:textId="77777777" w:rsidR="00FA4DCF" w:rsidRDefault="00FA4DCF" w:rsidP="00E61C8F">
            <w:pPr>
              <w:pStyle w:val="TableBody"/>
            </w:pPr>
          </w:p>
        </w:tc>
      </w:tr>
      <w:tr w:rsidR="00FA4DCF" w14:paraId="2FCE0BCC" w14:textId="77777777">
        <w:tc>
          <w:tcPr>
            <w:tcW w:w="6498" w:type="dxa"/>
            <w:tcBorders>
              <w:right w:val="single" w:sz="4" w:space="0" w:color="auto"/>
            </w:tcBorders>
          </w:tcPr>
          <w:p w14:paraId="46835FE4" w14:textId="53C4E777" w:rsidR="00FA4DCF" w:rsidRDefault="008F7348" w:rsidP="00E61C8F">
            <w:pPr>
              <w:pStyle w:val="TableBody"/>
              <w:ind w:left="1152" w:hanging="288"/>
              <w:rPr>
                <w:rFonts w:eastAsia="SimSun"/>
                <w:szCs w:val="22"/>
                <w:lang w:eastAsia="zh-CN"/>
              </w:rPr>
            </w:pPr>
            <w:r>
              <w:rPr>
                <w:rFonts w:eastAsia="SimSun"/>
                <w:szCs w:val="22"/>
                <w:lang w:eastAsia="zh-CN"/>
              </w:rPr>
              <w:t>4</w:t>
            </w:r>
            <w:r w:rsidR="00FA4DCF">
              <w:rPr>
                <w:rFonts w:eastAsia="SimSun"/>
                <w:szCs w:val="22"/>
                <w:lang w:eastAsia="zh-CN"/>
              </w:rPr>
              <w:t>.</w:t>
            </w:r>
            <w:r w:rsidR="00FA4DCF">
              <w:rPr>
                <w:rFonts w:eastAsia="SimSun"/>
                <w:szCs w:val="22"/>
                <w:lang w:eastAsia="zh-CN"/>
              </w:rPr>
              <w:tab/>
              <w:t>Liquidity Ratios</w:t>
            </w:r>
            <w:r w:rsidR="00051189">
              <w:rPr>
                <w:rFonts w:eastAsia="SimSun"/>
                <w:szCs w:val="22"/>
                <w:lang w:eastAsia="zh-CN"/>
              </w:rPr>
              <w:t>—</w:t>
            </w:r>
            <w:r w:rsidR="00FA4DCF" w:rsidRPr="00FA5DEC">
              <w:rPr>
                <w:rFonts w:eastAsia="SimSun"/>
                <w:szCs w:val="22"/>
                <w:lang w:eastAsia="zh-CN"/>
              </w:rPr>
              <w:t>The analyses in this section focus on the company’s ability to survive in the short term, by converting assets to cash that can be used to pay current liabilities as they come due.</w:t>
            </w:r>
          </w:p>
        </w:tc>
        <w:tc>
          <w:tcPr>
            <w:tcW w:w="2862" w:type="dxa"/>
            <w:tcBorders>
              <w:left w:val="single" w:sz="4" w:space="0" w:color="auto"/>
            </w:tcBorders>
          </w:tcPr>
          <w:p w14:paraId="39027EFA" w14:textId="77777777" w:rsidR="00FA4DCF" w:rsidRDefault="00FA4DCF" w:rsidP="00E61C8F">
            <w:pPr>
              <w:pStyle w:val="TableBody"/>
            </w:pPr>
            <w:r>
              <w:t>Refer to Exhibit 13.5</w:t>
            </w:r>
          </w:p>
        </w:tc>
      </w:tr>
      <w:tr w:rsidR="00FA4DCF" w14:paraId="01F94781" w14:textId="77777777">
        <w:tc>
          <w:tcPr>
            <w:tcW w:w="6498" w:type="dxa"/>
            <w:tcBorders>
              <w:right w:val="single" w:sz="4" w:space="0" w:color="auto"/>
            </w:tcBorders>
          </w:tcPr>
          <w:p w14:paraId="0EA755D2" w14:textId="43F0ABAD" w:rsidR="00FA4DCF" w:rsidRDefault="008F7348" w:rsidP="008F7348">
            <w:pPr>
              <w:pStyle w:val="TableBody"/>
              <w:ind w:left="1152" w:hanging="288"/>
              <w:rPr>
                <w:rFonts w:eastAsia="SimSun"/>
                <w:szCs w:val="22"/>
                <w:lang w:eastAsia="zh-CN"/>
              </w:rPr>
            </w:pPr>
            <w:r>
              <w:rPr>
                <w:rFonts w:eastAsia="SimSun"/>
                <w:szCs w:val="22"/>
                <w:lang w:eastAsia="zh-CN"/>
              </w:rPr>
              <w:t>5</w:t>
            </w:r>
            <w:r w:rsidR="00FA4DCF">
              <w:rPr>
                <w:rFonts w:eastAsia="SimSun"/>
                <w:szCs w:val="22"/>
                <w:lang w:eastAsia="zh-CN"/>
              </w:rPr>
              <w:t>.</w:t>
            </w:r>
            <w:r w:rsidR="00FA4DCF">
              <w:rPr>
                <w:rFonts w:eastAsia="SimSun"/>
                <w:szCs w:val="22"/>
                <w:lang w:eastAsia="zh-CN"/>
              </w:rPr>
              <w:tab/>
              <w:t>Solvency Ratios</w:t>
            </w:r>
            <w:r w:rsidR="00051189">
              <w:rPr>
                <w:rFonts w:eastAsia="SimSun"/>
                <w:szCs w:val="22"/>
                <w:lang w:eastAsia="zh-CN"/>
              </w:rPr>
              <w:t>—</w:t>
            </w:r>
            <w:r w:rsidR="00FA4DCF" w:rsidRPr="00FA5DEC">
              <w:rPr>
                <w:rFonts w:eastAsia="SimSun"/>
                <w:szCs w:val="22"/>
                <w:lang w:eastAsia="zh-CN"/>
              </w:rPr>
              <w:t xml:space="preserve">The analyses in this section focus on </w:t>
            </w:r>
            <w:r>
              <w:rPr>
                <w:rFonts w:eastAsia="SimSun"/>
                <w:szCs w:val="22"/>
                <w:lang w:eastAsia="zh-CN"/>
              </w:rPr>
              <w:t>the company’s</w:t>
            </w:r>
            <w:r w:rsidR="00FA4DCF" w:rsidRPr="00FA5DEC">
              <w:rPr>
                <w:rFonts w:eastAsia="SimSun"/>
                <w:szCs w:val="22"/>
                <w:lang w:eastAsia="zh-CN"/>
              </w:rPr>
              <w:t xml:space="preserve"> ability to survive over the long term—that is, its ability to repay debt when it matures, pay interest until that time, and finance the replacement and/or expansion of long-term assets. </w:t>
            </w:r>
          </w:p>
        </w:tc>
        <w:tc>
          <w:tcPr>
            <w:tcW w:w="2862" w:type="dxa"/>
            <w:tcBorders>
              <w:left w:val="single" w:sz="4" w:space="0" w:color="auto"/>
            </w:tcBorders>
          </w:tcPr>
          <w:p w14:paraId="4494226B" w14:textId="77777777" w:rsidR="00FA4DCF" w:rsidRDefault="00FA4DCF" w:rsidP="00E61C8F">
            <w:pPr>
              <w:pStyle w:val="TableBody"/>
            </w:pPr>
            <w:r>
              <w:t>Refer to Exhibit 13.5</w:t>
            </w:r>
          </w:p>
        </w:tc>
      </w:tr>
      <w:tr w:rsidR="00FA4DCF" w:rsidRPr="00D53C32" w14:paraId="45BD2608" w14:textId="77777777" w:rsidTr="00E61C8F">
        <w:tc>
          <w:tcPr>
            <w:tcW w:w="9360" w:type="dxa"/>
            <w:gridSpan w:val="2"/>
            <w:tcBorders>
              <w:top w:val="single" w:sz="4" w:space="0" w:color="auto"/>
              <w:left w:val="single" w:sz="4" w:space="0" w:color="auto"/>
              <w:bottom w:val="single" w:sz="4" w:space="0" w:color="auto"/>
              <w:right w:val="single" w:sz="4" w:space="0" w:color="auto"/>
            </w:tcBorders>
          </w:tcPr>
          <w:p w14:paraId="5338D12A" w14:textId="02F6F7D3" w:rsidR="00FA4DCF" w:rsidRPr="00D53C32" w:rsidRDefault="00FA4DCF" w:rsidP="00E61C8F">
            <w:pPr>
              <w:pStyle w:val="TableBody"/>
              <w:spacing w:before="60" w:after="60"/>
              <w:rPr>
                <w:b/>
                <w:i/>
                <w:iCs/>
              </w:rPr>
            </w:pPr>
            <w:r w:rsidRPr="005742DA">
              <w:rPr>
                <w:b/>
                <w:i/>
                <w:iCs/>
              </w:rPr>
              <w:t>LO 13-</w:t>
            </w:r>
            <w:r>
              <w:rPr>
                <w:b/>
                <w:i/>
                <w:iCs/>
              </w:rPr>
              <w:t>6</w:t>
            </w:r>
            <w:r w:rsidRPr="00D53C32">
              <w:rPr>
                <w:b/>
                <w:i/>
                <w:iCs/>
              </w:rPr>
              <w:t xml:space="preserve"> Describe how analyses depend on key accounting decisions and concepts.</w:t>
            </w:r>
          </w:p>
        </w:tc>
      </w:tr>
      <w:tr w:rsidR="00FA4DCF" w14:paraId="2B597076" w14:textId="77777777" w:rsidTr="00FA5DEC">
        <w:tc>
          <w:tcPr>
            <w:tcW w:w="6498" w:type="dxa"/>
            <w:tcBorders>
              <w:right w:val="single" w:sz="4" w:space="0" w:color="auto"/>
            </w:tcBorders>
          </w:tcPr>
          <w:p w14:paraId="0468CF5C" w14:textId="77777777" w:rsidR="00FA4DCF" w:rsidRPr="003D68F2" w:rsidRDefault="00FA4DCF" w:rsidP="00265392">
            <w:pPr>
              <w:pStyle w:val="TableBody"/>
              <w:ind w:left="576"/>
              <w:rPr>
                <w:i/>
                <w:iCs/>
                <w:szCs w:val="22"/>
              </w:rPr>
            </w:pPr>
            <w:r>
              <w:rPr>
                <w:rFonts w:eastAsia="SimSun"/>
                <w:szCs w:val="22"/>
                <w:lang w:eastAsia="zh-CN"/>
              </w:rPr>
              <w:t>C.</w:t>
            </w:r>
            <w:r>
              <w:rPr>
                <w:rFonts w:eastAsia="SimSun"/>
                <w:szCs w:val="22"/>
                <w:lang w:eastAsia="zh-CN"/>
              </w:rPr>
              <w:tab/>
            </w:r>
            <w:r w:rsidRPr="003D68F2">
              <w:rPr>
                <w:rFonts w:eastAsia="SimSun"/>
                <w:szCs w:val="22"/>
                <w:lang w:eastAsia="zh-CN"/>
              </w:rPr>
              <w:t xml:space="preserve">Underlying </w:t>
            </w:r>
            <w:r>
              <w:rPr>
                <w:rFonts w:eastAsia="SimSun"/>
                <w:szCs w:val="22"/>
                <w:lang w:eastAsia="zh-CN"/>
              </w:rPr>
              <w:t>A</w:t>
            </w:r>
            <w:r w:rsidRPr="003D68F2">
              <w:rPr>
                <w:rFonts w:eastAsia="SimSun"/>
                <w:szCs w:val="22"/>
                <w:lang w:eastAsia="zh-CN"/>
              </w:rPr>
              <w:t>ccounting</w:t>
            </w:r>
            <w:r>
              <w:rPr>
                <w:rFonts w:eastAsia="SimSun"/>
                <w:szCs w:val="22"/>
                <w:lang w:eastAsia="zh-CN"/>
              </w:rPr>
              <w:t xml:space="preserve"> D</w:t>
            </w:r>
            <w:r w:rsidRPr="003D68F2">
              <w:rPr>
                <w:rFonts w:eastAsia="SimSun"/>
                <w:szCs w:val="22"/>
                <w:lang w:eastAsia="zh-CN"/>
              </w:rPr>
              <w:t xml:space="preserve">ecisions and </w:t>
            </w:r>
            <w:r>
              <w:rPr>
                <w:rFonts w:eastAsia="SimSun"/>
                <w:szCs w:val="22"/>
                <w:lang w:eastAsia="zh-CN"/>
              </w:rPr>
              <w:t>C</w:t>
            </w:r>
            <w:r w:rsidRPr="003D68F2">
              <w:rPr>
                <w:rFonts w:eastAsia="SimSun"/>
                <w:szCs w:val="22"/>
                <w:lang w:eastAsia="zh-CN"/>
              </w:rPr>
              <w:t>oncepts</w:t>
            </w:r>
          </w:p>
        </w:tc>
        <w:tc>
          <w:tcPr>
            <w:tcW w:w="2862" w:type="dxa"/>
            <w:tcBorders>
              <w:left w:val="single" w:sz="4" w:space="0" w:color="auto"/>
            </w:tcBorders>
          </w:tcPr>
          <w:p w14:paraId="43E7B6B7" w14:textId="77777777" w:rsidR="00FA4DCF" w:rsidRDefault="00FA4DCF" w:rsidP="00101039">
            <w:pPr>
              <w:pStyle w:val="TableBody"/>
            </w:pPr>
          </w:p>
        </w:tc>
      </w:tr>
      <w:tr w:rsidR="00FA4DCF" w14:paraId="232D020D" w14:textId="77777777" w:rsidTr="00FA5DEC">
        <w:tc>
          <w:tcPr>
            <w:tcW w:w="6498" w:type="dxa"/>
            <w:tcBorders>
              <w:right w:val="single" w:sz="4" w:space="0" w:color="auto"/>
            </w:tcBorders>
          </w:tcPr>
          <w:p w14:paraId="213C1A83" w14:textId="77777777" w:rsidR="00FA4DCF" w:rsidRDefault="00FA4DCF" w:rsidP="009B3A7F">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t>Accounting Decisions</w:t>
            </w:r>
          </w:p>
        </w:tc>
        <w:tc>
          <w:tcPr>
            <w:tcW w:w="2862" w:type="dxa"/>
            <w:tcBorders>
              <w:left w:val="single" w:sz="4" w:space="0" w:color="auto"/>
            </w:tcBorders>
          </w:tcPr>
          <w:p w14:paraId="19D1DD8C" w14:textId="77777777" w:rsidR="00FA4DCF" w:rsidRDefault="00FA4DCF" w:rsidP="00FC124C">
            <w:pPr>
              <w:pStyle w:val="TableBody"/>
            </w:pPr>
          </w:p>
        </w:tc>
      </w:tr>
      <w:tr w:rsidR="00FA4DCF" w14:paraId="62CC0D46" w14:textId="77777777" w:rsidTr="00FA5DEC">
        <w:tc>
          <w:tcPr>
            <w:tcW w:w="6498" w:type="dxa"/>
            <w:tcBorders>
              <w:right w:val="single" w:sz="4" w:space="0" w:color="auto"/>
            </w:tcBorders>
          </w:tcPr>
          <w:p w14:paraId="10B47D6C" w14:textId="77777777" w:rsidR="00FA4DCF" w:rsidRPr="00E61C8F" w:rsidRDefault="00FA4DCF" w:rsidP="00E61C8F">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D</w:t>
            </w:r>
            <w:r w:rsidRPr="00E61C8F">
              <w:rPr>
                <w:rFonts w:eastAsia="SimSun"/>
                <w:szCs w:val="22"/>
                <w:lang w:eastAsia="zh-CN"/>
              </w:rPr>
              <w:t>ifferences between the two companies’ financial ratios might be caused by differences in their accounting decisions.</w:t>
            </w:r>
          </w:p>
        </w:tc>
        <w:tc>
          <w:tcPr>
            <w:tcW w:w="2862" w:type="dxa"/>
            <w:tcBorders>
              <w:left w:val="single" w:sz="4" w:space="0" w:color="auto"/>
            </w:tcBorders>
          </w:tcPr>
          <w:p w14:paraId="773C63C2" w14:textId="77777777" w:rsidR="00FA4DCF" w:rsidRDefault="00FA4DCF" w:rsidP="004F07E1">
            <w:pPr>
              <w:pStyle w:val="TableBody"/>
            </w:pPr>
          </w:p>
        </w:tc>
      </w:tr>
      <w:tr w:rsidR="00FA4DCF" w14:paraId="5AB8CF9F" w14:textId="77777777">
        <w:tc>
          <w:tcPr>
            <w:tcW w:w="6498" w:type="dxa"/>
            <w:tcBorders>
              <w:right w:val="single" w:sz="4" w:space="0" w:color="auto"/>
            </w:tcBorders>
          </w:tcPr>
          <w:p w14:paraId="492623C0" w14:textId="77777777" w:rsidR="00FA4DCF" w:rsidRPr="009B3A7F" w:rsidRDefault="00FA4DCF" w:rsidP="00E61C8F">
            <w:pPr>
              <w:pStyle w:val="TableBody"/>
              <w:ind w:left="1440" w:hanging="288"/>
              <w:rPr>
                <w:rFonts w:eastAsia="SimSun"/>
                <w:szCs w:val="22"/>
                <w:lang w:eastAsia="zh-CN"/>
              </w:rPr>
            </w:pPr>
            <w:r>
              <w:rPr>
                <w:rFonts w:eastAsia="SimSun"/>
                <w:szCs w:val="22"/>
                <w:lang w:eastAsia="zh-CN"/>
              </w:rPr>
              <w:t>b</w:t>
            </w:r>
            <w:r w:rsidRPr="009B3A7F">
              <w:rPr>
                <w:rFonts w:eastAsia="SimSun"/>
                <w:szCs w:val="22"/>
                <w:lang w:eastAsia="zh-CN"/>
              </w:rPr>
              <w:t>.</w:t>
            </w:r>
            <w:r w:rsidRPr="009B3A7F">
              <w:rPr>
                <w:rFonts w:eastAsia="SimSun"/>
                <w:szCs w:val="22"/>
                <w:lang w:eastAsia="zh-CN"/>
              </w:rPr>
              <w:tab/>
            </w:r>
            <w:r w:rsidRPr="00E61C8F">
              <w:rPr>
                <w:rFonts w:eastAsia="SimSun"/>
                <w:szCs w:val="22"/>
                <w:lang w:eastAsia="zh-CN"/>
              </w:rPr>
              <w:t>Information about a company’s accounting decisions is presented in a note to the financial statements.</w:t>
            </w:r>
            <w:r w:rsidRPr="009B3A7F">
              <w:rPr>
                <w:rFonts w:eastAsia="SimSun"/>
                <w:szCs w:val="22"/>
                <w:lang w:eastAsia="zh-CN"/>
              </w:rPr>
              <w:t xml:space="preserve"> </w:t>
            </w:r>
          </w:p>
        </w:tc>
        <w:tc>
          <w:tcPr>
            <w:tcW w:w="2862" w:type="dxa"/>
            <w:tcBorders>
              <w:left w:val="single" w:sz="4" w:space="0" w:color="auto"/>
            </w:tcBorders>
          </w:tcPr>
          <w:p w14:paraId="5736571D" w14:textId="77777777" w:rsidR="00FA4DCF" w:rsidRDefault="00FA4DCF" w:rsidP="00FC124C">
            <w:pPr>
              <w:pStyle w:val="TableBody"/>
            </w:pPr>
            <w:r>
              <w:t>Illustrated in Exhibit 13.6</w:t>
            </w:r>
          </w:p>
        </w:tc>
      </w:tr>
      <w:tr w:rsidR="00FA4DCF" w14:paraId="254DA4A3" w14:textId="77777777">
        <w:tc>
          <w:tcPr>
            <w:tcW w:w="6498" w:type="dxa"/>
            <w:tcBorders>
              <w:right w:val="single" w:sz="4" w:space="0" w:color="auto"/>
            </w:tcBorders>
          </w:tcPr>
          <w:p w14:paraId="7F01E9AA" w14:textId="77777777" w:rsidR="00FA4DCF" w:rsidRDefault="00FA4DCF" w:rsidP="00E61C8F">
            <w:pPr>
              <w:pStyle w:val="TableBody"/>
              <w:ind w:left="1152" w:hanging="288"/>
            </w:pPr>
            <w:r>
              <w:t>2.</w:t>
            </w:r>
            <w:r>
              <w:tab/>
              <w:t>Accounting Concepts</w:t>
            </w:r>
          </w:p>
        </w:tc>
        <w:tc>
          <w:tcPr>
            <w:tcW w:w="2862" w:type="dxa"/>
            <w:tcBorders>
              <w:left w:val="single" w:sz="4" w:space="0" w:color="auto"/>
            </w:tcBorders>
          </w:tcPr>
          <w:p w14:paraId="076E15F9" w14:textId="77777777" w:rsidR="00FA4DCF" w:rsidRDefault="00FA4DCF" w:rsidP="00FC124C">
            <w:pPr>
              <w:pStyle w:val="TableBody"/>
            </w:pPr>
          </w:p>
        </w:tc>
      </w:tr>
      <w:tr w:rsidR="00FA4DCF" w14:paraId="5157EB75" w14:textId="77777777">
        <w:tc>
          <w:tcPr>
            <w:tcW w:w="6498" w:type="dxa"/>
            <w:tcBorders>
              <w:right w:val="single" w:sz="4" w:space="0" w:color="auto"/>
            </w:tcBorders>
          </w:tcPr>
          <w:p w14:paraId="2EB1B704" w14:textId="77777777" w:rsidR="00FA4DCF" w:rsidRPr="009D5DA1" w:rsidRDefault="00FA4DCF" w:rsidP="00E61C8F">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9D5DA1">
              <w:rPr>
                <w:rFonts w:eastAsia="SimSun"/>
                <w:szCs w:val="22"/>
                <w:lang w:eastAsia="zh-CN"/>
              </w:rPr>
              <w:t>The Conceptual Framework for Financial Accounting and Reporting</w:t>
            </w:r>
            <w:r>
              <w:rPr>
                <w:rFonts w:eastAsia="SimSun"/>
                <w:szCs w:val="22"/>
                <w:lang w:eastAsia="zh-CN"/>
              </w:rPr>
              <w:t xml:space="preserve"> is summarized in Exhibit 13.7.</w:t>
            </w:r>
          </w:p>
        </w:tc>
        <w:tc>
          <w:tcPr>
            <w:tcW w:w="2862" w:type="dxa"/>
            <w:tcBorders>
              <w:left w:val="single" w:sz="4" w:space="0" w:color="auto"/>
            </w:tcBorders>
          </w:tcPr>
          <w:p w14:paraId="72C6D7F6" w14:textId="77777777" w:rsidR="00FA4DCF" w:rsidRPr="009D5DA1" w:rsidRDefault="00FA4DCF" w:rsidP="009D5DA1">
            <w:pPr>
              <w:pStyle w:val="TableBody"/>
              <w:rPr>
                <w:rFonts w:eastAsia="SimSun"/>
                <w:szCs w:val="22"/>
                <w:lang w:eastAsia="zh-CN"/>
              </w:rPr>
            </w:pPr>
          </w:p>
        </w:tc>
      </w:tr>
      <w:tr w:rsidR="00FA4DCF" w14:paraId="1E4252F8" w14:textId="77777777">
        <w:tc>
          <w:tcPr>
            <w:tcW w:w="6498" w:type="dxa"/>
            <w:tcBorders>
              <w:right w:val="single" w:sz="4" w:space="0" w:color="auto"/>
            </w:tcBorders>
          </w:tcPr>
          <w:p w14:paraId="34F0C158" w14:textId="77777777" w:rsidR="00FA4DCF" w:rsidRDefault="00FA4DCF" w:rsidP="00E61C8F">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r>
            <w:r w:rsidRPr="00E61C8F">
              <w:rPr>
                <w:rFonts w:eastAsia="SimSun"/>
                <w:szCs w:val="22"/>
                <w:lang w:eastAsia="zh-CN"/>
              </w:rPr>
              <w:t>The primary objective of financial accounting and reporting</w:t>
            </w:r>
            <w:r>
              <w:rPr>
                <w:rFonts w:eastAsia="SimSun"/>
                <w:szCs w:val="22"/>
                <w:lang w:eastAsia="zh-CN"/>
              </w:rPr>
              <w:t xml:space="preserve"> </w:t>
            </w:r>
            <w:r w:rsidRPr="00E61C8F">
              <w:rPr>
                <w:rFonts w:eastAsia="SimSun"/>
                <w:szCs w:val="22"/>
                <w:lang w:eastAsia="zh-CN"/>
              </w:rPr>
              <w:t>is to provide useful financial information for people external to a company to use in making decisions about the company.</w:t>
            </w:r>
          </w:p>
        </w:tc>
        <w:tc>
          <w:tcPr>
            <w:tcW w:w="2862" w:type="dxa"/>
            <w:tcBorders>
              <w:left w:val="single" w:sz="4" w:space="0" w:color="auto"/>
            </w:tcBorders>
          </w:tcPr>
          <w:p w14:paraId="13361EA5" w14:textId="77777777" w:rsidR="00FA4DCF" w:rsidRPr="009D5DA1" w:rsidRDefault="00FA4DCF" w:rsidP="009D5DA1">
            <w:pPr>
              <w:pStyle w:val="TableBody"/>
              <w:rPr>
                <w:rFonts w:eastAsia="SimSun"/>
                <w:szCs w:val="22"/>
                <w:lang w:eastAsia="zh-CN"/>
              </w:rPr>
            </w:pPr>
          </w:p>
        </w:tc>
      </w:tr>
      <w:tr w:rsidR="00FA4DCF" w14:paraId="700B938C" w14:textId="77777777">
        <w:tc>
          <w:tcPr>
            <w:tcW w:w="6498" w:type="dxa"/>
            <w:tcBorders>
              <w:right w:val="single" w:sz="4" w:space="0" w:color="auto"/>
            </w:tcBorders>
          </w:tcPr>
          <w:p w14:paraId="7175C251" w14:textId="77777777" w:rsidR="00FA4DCF" w:rsidRPr="00E61C8F" w:rsidRDefault="00FA4DCF" w:rsidP="00E61C8F">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r>
            <w:r w:rsidRPr="00E61C8F">
              <w:rPr>
                <w:rFonts w:eastAsia="SimSun"/>
                <w:szCs w:val="22"/>
                <w:lang w:eastAsia="zh-CN"/>
              </w:rPr>
              <w:t>To be useful, this information must be relevant and faithfully represent the underlying business.</w:t>
            </w:r>
          </w:p>
        </w:tc>
        <w:tc>
          <w:tcPr>
            <w:tcW w:w="2862" w:type="dxa"/>
            <w:tcBorders>
              <w:left w:val="single" w:sz="4" w:space="0" w:color="auto"/>
            </w:tcBorders>
          </w:tcPr>
          <w:p w14:paraId="4DAC8F8B" w14:textId="77777777" w:rsidR="00FA4DCF" w:rsidRPr="009D5DA1" w:rsidRDefault="00FA4DCF" w:rsidP="009D5DA1">
            <w:pPr>
              <w:pStyle w:val="TableBody"/>
              <w:rPr>
                <w:rFonts w:eastAsia="SimSun"/>
                <w:szCs w:val="22"/>
                <w:lang w:eastAsia="zh-CN"/>
              </w:rPr>
            </w:pPr>
          </w:p>
        </w:tc>
      </w:tr>
      <w:tr w:rsidR="00FA4DCF" w14:paraId="3F80ACB6" w14:textId="77777777">
        <w:tc>
          <w:tcPr>
            <w:tcW w:w="6498" w:type="dxa"/>
            <w:tcBorders>
              <w:right w:val="single" w:sz="4" w:space="0" w:color="auto"/>
            </w:tcBorders>
          </w:tcPr>
          <w:p w14:paraId="072849B7" w14:textId="77777777" w:rsidR="00FA4DCF" w:rsidRPr="009D5DA1" w:rsidRDefault="00A74679" w:rsidP="00A74679">
            <w:pPr>
              <w:pStyle w:val="TableBody"/>
              <w:ind w:left="1152" w:hanging="288"/>
              <w:rPr>
                <w:rFonts w:eastAsia="SimSun"/>
                <w:szCs w:val="22"/>
                <w:lang w:eastAsia="zh-CN"/>
              </w:rPr>
            </w:pPr>
            <w:r>
              <w:rPr>
                <w:rFonts w:eastAsia="SimSun"/>
                <w:szCs w:val="22"/>
                <w:lang w:eastAsia="zh-CN"/>
              </w:rPr>
              <w:t>3</w:t>
            </w:r>
            <w:r w:rsidR="00FA4DCF" w:rsidRPr="009D5DA1">
              <w:rPr>
                <w:rFonts w:eastAsia="SimSun"/>
                <w:szCs w:val="22"/>
                <w:lang w:eastAsia="zh-CN"/>
              </w:rPr>
              <w:t>.</w:t>
            </w:r>
            <w:r w:rsidR="00FA4DCF" w:rsidRPr="009D5DA1">
              <w:rPr>
                <w:rFonts w:eastAsia="SimSun"/>
                <w:szCs w:val="22"/>
                <w:lang w:eastAsia="zh-CN"/>
              </w:rPr>
              <w:tab/>
            </w:r>
            <w:r w:rsidR="008F7348">
              <w:rPr>
                <w:rFonts w:eastAsia="SimSun"/>
                <w:szCs w:val="22"/>
                <w:lang w:eastAsia="zh-CN"/>
              </w:rPr>
              <w:t>Two</w:t>
            </w:r>
            <w:r w:rsidR="00FA4DCF" w:rsidRPr="009D5DA1">
              <w:rPr>
                <w:rFonts w:eastAsia="SimSun"/>
                <w:szCs w:val="22"/>
                <w:lang w:eastAsia="zh-CN"/>
              </w:rPr>
              <w:t xml:space="preserve"> </w:t>
            </w:r>
            <w:r w:rsidR="00FA4DCF">
              <w:rPr>
                <w:rFonts w:eastAsia="SimSun"/>
                <w:szCs w:val="22"/>
                <w:lang w:eastAsia="zh-CN"/>
              </w:rPr>
              <w:t>additional</w:t>
            </w:r>
            <w:r w:rsidR="00FA4DCF" w:rsidRPr="009D5DA1">
              <w:rPr>
                <w:rFonts w:eastAsia="SimSun"/>
                <w:szCs w:val="22"/>
                <w:lang w:eastAsia="zh-CN"/>
              </w:rPr>
              <w:t xml:space="preserve"> accounting concepts </w:t>
            </w:r>
            <w:r w:rsidR="00FA4DCF" w:rsidRPr="009D5DA1">
              <w:rPr>
                <w:rFonts w:eastAsia="SimSun"/>
                <w:i/>
                <w:iCs/>
                <w:szCs w:val="22"/>
                <w:lang w:eastAsia="zh-CN"/>
              </w:rPr>
              <w:t>(not addressed in previous chapters)</w:t>
            </w:r>
            <w:r w:rsidR="00FA4DCF" w:rsidRPr="009D5DA1">
              <w:rPr>
                <w:rFonts w:eastAsia="SimSun"/>
                <w:szCs w:val="22"/>
                <w:lang w:eastAsia="zh-CN"/>
              </w:rPr>
              <w:t>:</w:t>
            </w:r>
          </w:p>
        </w:tc>
        <w:tc>
          <w:tcPr>
            <w:tcW w:w="2862" w:type="dxa"/>
            <w:tcBorders>
              <w:left w:val="single" w:sz="4" w:space="0" w:color="auto"/>
            </w:tcBorders>
          </w:tcPr>
          <w:p w14:paraId="2FA09BAB" w14:textId="77777777" w:rsidR="00FA4DCF" w:rsidRPr="009D5DA1" w:rsidRDefault="00FA4DCF" w:rsidP="009D5DA1">
            <w:pPr>
              <w:pStyle w:val="TableBody"/>
              <w:rPr>
                <w:rFonts w:eastAsia="SimSun"/>
                <w:szCs w:val="22"/>
                <w:lang w:eastAsia="zh-CN"/>
              </w:rPr>
            </w:pPr>
          </w:p>
        </w:tc>
      </w:tr>
      <w:tr w:rsidR="00FA4DCF" w14:paraId="00113BF7" w14:textId="77777777">
        <w:tc>
          <w:tcPr>
            <w:tcW w:w="6498" w:type="dxa"/>
            <w:tcBorders>
              <w:right w:val="single" w:sz="4" w:space="0" w:color="auto"/>
            </w:tcBorders>
          </w:tcPr>
          <w:p w14:paraId="466EA7CB" w14:textId="77777777" w:rsidR="00FA4DCF" w:rsidRPr="009D5DA1" w:rsidRDefault="00FA4DCF" w:rsidP="00A74679">
            <w:pPr>
              <w:pStyle w:val="TableBody"/>
              <w:ind w:left="1440" w:hanging="288"/>
              <w:rPr>
                <w:rFonts w:eastAsia="SimSun"/>
                <w:szCs w:val="22"/>
                <w:lang w:eastAsia="zh-CN"/>
              </w:rPr>
            </w:pPr>
            <w:r w:rsidRPr="009D5DA1">
              <w:rPr>
                <w:rFonts w:eastAsia="SimSun"/>
                <w:szCs w:val="22"/>
                <w:lang w:eastAsia="zh-CN"/>
              </w:rPr>
              <w:t>a.</w:t>
            </w:r>
            <w:r w:rsidRPr="009D5DA1">
              <w:rPr>
                <w:rFonts w:eastAsia="SimSun"/>
                <w:szCs w:val="22"/>
                <w:lang w:eastAsia="zh-CN"/>
              </w:rPr>
              <w:tab/>
            </w:r>
            <w:r w:rsidRPr="00E61C8F">
              <w:rPr>
                <w:rFonts w:eastAsia="SimSun"/>
                <w:b/>
                <w:szCs w:val="22"/>
                <w:lang w:eastAsia="zh-CN"/>
              </w:rPr>
              <w:t>Going-concern assumption</w:t>
            </w:r>
            <w:r>
              <w:rPr>
                <w:rFonts w:eastAsia="SimSun"/>
                <w:szCs w:val="22"/>
                <w:lang w:eastAsia="zh-CN"/>
              </w:rPr>
              <w:t>–</w:t>
            </w:r>
            <w:r w:rsidR="00A74679">
              <w:rPr>
                <w:rFonts w:eastAsia="SimSun"/>
                <w:szCs w:val="22"/>
                <w:lang w:eastAsia="zh-CN"/>
              </w:rPr>
              <w:t>–</w:t>
            </w:r>
            <w:r>
              <w:rPr>
                <w:rFonts w:eastAsia="SimSun"/>
                <w:szCs w:val="22"/>
                <w:lang w:eastAsia="zh-CN"/>
              </w:rPr>
              <w:t xml:space="preserve">A </w:t>
            </w:r>
            <w:r w:rsidRPr="00E61C8F">
              <w:rPr>
                <w:rFonts w:eastAsia="SimSun"/>
                <w:szCs w:val="22"/>
                <w:lang w:eastAsia="zh-CN"/>
              </w:rPr>
              <w:t xml:space="preserve">business </w:t>
            </w:r>
            <w:r>
              <w:rPr>
                <w:rFonts w:eastAsia="SimSun"/>
                <w:szCs w:val="22"/>
                <w:lang w:eastAsia="zh-CN"/>
              </w:rPr>
              <w:t xml:space="preserve">is assumed to </w:t>
            </w:r>
            <w:r w:rsidRPr="00E61C8F">
              <w:rPr>
                <w:rFonts w:eastAsia="SimSun"/>
                <w:szCs w:val="22"/>
                <w:lang w:eastAsia="zh-CN"/>
              </w:rPr>
              <w:t xml:space="preserve">be capable of continuing its operations long enough to </w:t>
            </w:r>
            <w:r w:rsidR="008F7348">
              <w:rPr>
                <w:rFonts w:eastAsia="SimSun"/>
                <w:szCs w:val="22"/>
                <w:lang w:eastAsia="zh-CN"/>
              </w:rPr>
              <w:t xml:space="preserve">realize the economic benefits of its assets and </w:t>
            </w:r>
            <w:r w:rsidRPr="00E61C8F">
              <w:rPr>
                <w:rFonts w:eastAsia="SimSun"/>
                <w:szCs w:val="22"/>
                <w:lang w:eastAsia="zh-CN"/>
              </w:rPr>
              <w:t>meet its obligations</w:t>
            </w:r>
            <w:r w:rsidR="008F7348">
              <w:rPr>
                <w:rFonts w:eastAsia="SimSun"/>
                <w:szCs w:val="22"/>
                <w:lang w:eastAsia="zh-CN"/>
              </w:rPr>
              <w:t xml:space="preserve"> in the normal course of business</w:t>
            </w:r>
            <w:r w:rsidRPr="009D5DA1">
              <w:rPr>
                <w:rFonts w:eastAsia="SimSun"/>
                <w:szCs w:val="22"/>
                <w:lang w:eastAsia="zh-CN"/>
              </w:rPr>
              <w:t xml:space="preserve">. </w:t>
            </w:r>
          </w:p>
        </w:tc>
        <w:tc>
          <w:tcPr>
            <w:tcW w:w="2862" w:type="dxa"/>
            <w:tcBorders>
              <w:left w:val="single" w:sz="4" w:space="0" w:color="auto"/>
            </w:tcBorders>
          </w:tcPr>
          <w:p w14:paraId="1E28033F" w14:textId="77777777" w:rsidR="00FA4DCF" w:rsidRPr="009D5DA1" w:rsidRDefault="00FA4DCF" w:rsidP="009D5DA1">
            <w:pPr>
              <w:pStyle w:val="TableBody"/>
              <w:rPr>
                <w:rFonts w:eastAsia="SimSun"/>
                <w:szCs w:val="22"/>
                <w:lang w:eastAsia="zh-CN"/>
              </w:rPr>
            </w:pPr>
          </w:p>
        </w:tc>
      </w:tr>
      <w:tr w:rsidR="00FA4DCF" w14:paraId="30ED9BAD" w14:textId="77777777">
        <w:tc>
          <w:tcPr>
            <w:tcW w:w="6498" w:type="dxa"/>
            <w:tcBorders>
              <w:right w:val="single" w:sz="4" w:space="0" w:color="auto"/>
            </w:tcBorders>
          </w:tcPr>
          <w:p w14:paraId="30362F6C" w14:textId="77777777" w:rsidR="00FA4DCF" w:rsidRPr="009D5DA1" w:rsidRDefault="00FA4DCF" w:rsidP="00CD0775">
            <w:pPr>
              <w:pStyle w:val="TableBody"/>
              <w:ind w:left="1440" w:hanging="288"/>
              <w:rPr>
                <w:rFonts w:eastAsia="SimSun"/>
                <w:szCs w:val="22"/>
                <w:lang w:eastAsia="zh-CN"/>
              </w:rPr>
            </w:pPr>
            <w:r w:rsidRPr="009D5DA1">
              <w:rPr>
                <w:rFonts w:eastAsia="SimSun"/>
                <w:szCs w:val="22"/>
                <w:lang w:eastAsia="zh-CN"/>
              </w:rPr>
              <w:t>b.</w:t>
            </w:r>
            <w:r w:rsidRPr="009D5DA1">
              <w:rPr>
                <w:rFonts w:eastAsia="SimSun"/>
                <w:szCs w:val="22"/>
                <w:lang w:eastAsia="zh-CN"/>
              </w:rPr>
              <w:tab/>
            </w:r>
            <w:r>
              <w:rPr>
                <w:rFonts w:eastAsia="SimSun"/>
                <w:b/>
                <w:bCs/>
                <w:szCs w:val="22"/>
                <w:lang w:eastAsia="zh-CN"/>
              </w:rPr>
              <w:t>F</w:t>
            </w:r>
            <w:r w:rsidRPr="009D5DA1">
              <w:rPr>
                <w:rFonts w:eastAsia="SimSun"/>
                <w:b/>
                <w:bCs/>
                <w:szCs w:val="22"/>
                <w:lang w:eastAsia="zh-CN"/>
              </w:rPr>
              <w:t>ull disclosure principle</w:t>
            </w:r>
            <w:r w:rsidR="00A74679">
              <w:rPr>
                <w:rFonts w:eastAsia="SimSun"/>
                <w:szCs w:val="22"/>
                <w:lang w:eastAsia="zh-CN"/>
              </w:rPr>
              <w:t>––</w:t>
            </w:r>
            <w:r>
              <w:rPr>
                <w:rFonts w:eastAsia="SimSun"/>
                <w:szCs w:val="22"/>
                <w:lang w:eastAsia="zh-CN"/>
              </w:rPr>
              <w:t xml:space="preserve">The </w:t>
            </w:r>
            <w:r w:rsidRPr="009D5DA1">
              <w:rPr>
                <w:rFonts w:eastAsia="SimSun"/>
                <w:szCs w:val="22"/>
                <w:lang w:eastAsia="zh-CN"/>
              </w:rPr>
              <w:t>financial statements should present information needed to understand the financial results of the company’s business activities.</w:t>
            </w:r>
          </w:p>
        </w:tc>
        <w:tc>
          <w:tcPr>
            <w:tcW w:w="2862" w:type="dxa"/>
            <w:tcBorders>
              <w:left w:val="single" w:sz="4" w:space="0" w:color="auto"/>
            </w:tcBorders>
          </w:tcPr>
          <w:p w14:paraId="29C62106" w14:textId="77777777" w:rsidR="00FA4DCF" w:rsidRPr="009D5DA1" w:rsidRDefault="00FA4DCF" w:rsidP="009D5DA1">
            <w:pPr>
              <w:pStyle w:val="TableBody"/>
              <w:rPr>
                <w:rFonts w:eastAsia="SimSun"/>
                <w:szCs w:val="22"/>
                <w:lang w:eastAsia="zh-CN"/>
              </w:rPr>
            </w:pPr>
          </w:p>
        </w:tc>
      </w:tr>
    </w:tbl>
    <w:p w14:paraId="267A140A" w14:textId="77777777" w:rsidR="00E61C8F" w:rsidRPr="004F07E1" w:rsidRDefault="00E61C8F" w:rsidP="00E61C8F">
      <w:pPr>
        <w:rPr>
          <w:sz w:val="4"/>
          <w:szCs w:val="4"/>
        </w:rPr>
      </w:pPr>
      <w:r>
        <w:br w:type="page"/>
      </w:r>
    </w:p>
    <w:tbl>
      <w:tblPr>
        <w:tblW w:w="0" w:type="auto"/>
        <w:tblLayout w:type="fixed"/>
        <w:tblLook w:val="01E0" w:firstRow="1" w:lastRow="1" w:firstColumn="1" w:lastColumn="1" w:noHBand="0" w:noVBand="0"/>
      </w:tblPr>
      <w:tblGrid>
        <w:gridCol w:w="6498"/>
        <w:gridCol w:w="2862"/>
      </w:tblGrid>
      <w:tr w:rsidR="00E61C8F" w:rsidRPr="00CD480D" w14:paraId="4F024394" w14:textId="77777777" w:rsidTr="00E61C8F">
        <w:tc>
          <w:tcPr>
            <w:tcW w:w="6498" w:type="dxa"/>
            <w:tcBorders>
              <w:right w:val="single" w:sz="4" w:space="0" w:color="auto"/>
            </w:tcBorders>
          </w:tcPr>
          <w:p w14:paraId="345F9575" w14:textId="77777777" w:rsidR="00E61C8F" w:rsidRPr="00507ED2" w:rsidRDefault="00E61C8F" w:rsidP="00E61C8F">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51F56A77" w14:textId="77777777" w:rsidR="00E61C8F" w:rsidRPr="00CD480D" w:rsidRDefault="00E61C8F" w:rsidP="00E61C8F">
            <w:pPr>
              <w:pStyle w:val="Heading1"/>
            </w:pPr>
            <w:r w:rsidRPr="00CD480D">
              <w:t>Teaching Notes</w:t>
            </w:r>
          </w:p>
        </w:tc>
      </w:tr>
      <w:tr w:rsidR="00D53C32" w14:paraId="1005A30A" w14:textId="77777777">
        <w:tc>
          <w:tcPr>
            <w:tcW w:w="6498" w:type="dxa"/>
            <w:tcBorders>
              <w:right w:val="single" w:sz="4" w:space="0" w:color="auto"/>
            </w:tcBorders>
          </w:tcPr>
          <w:p w14:paraId="24E75145" w14:textId="77777777" w:rsidR="00D53C32" w:rsidRPr="009D5DA1" w:rsidRDefault="00D53C32" w:rsidP="00D53C32">
            <w:pPr>
              <w:pStyle w:val="TableBody"/>
              <w:rPr>
                <w:rFonts w:eastAsia="SimSun"/>
                <w:szCs w:val="22"/>
                <w:lang w:eastAsia="zh-CN"/>
              </w:rPr>
            </w:pPr>
            <w:r>
              <w:t>IV.</w:t>
            </w:r>
            <w:r>
              <w:tab/>
              <w:t xml:space="preserve"> </w:t>
            </w:r>
            <w:r w:rsidR="00CD0775">
              <w:tab/>
            </w:r>
            <w:r>
              <w:t>Supplement 13A: Nonrecurring and Other Special Items</w:t>
            </w:r>
          </w:p>
        </w:tc>
        <w:tc>
          <w:tcPr>
            <w:tcW w:w="2862" w:type="dxa"/>
            <w:tcBorders>
              <w:left w:val="single" w:sz="4" w:space="0" w:color="auto"/>
            </w:tcBorders>
          </w:tcPr>
          <w:p w14:paraId="59258900" w14:textId="77777777" w:rsidR="00D53C32" w:rsidRPr="009D5DA1" w:rsidRDefault="00D53C32" w:rsidP="009D5DA1">
            <w:pPr>
              <w:pStyle w:val="TableBody"/>
              <w:rPr>
                <w:rFonts w:eastAsia="SimSun"/>
                <w:szCs w:val="22"/>
                <w:lang w:eastAsia="zh-CN"/>
              </w:rPr>
            </w:pPr>
          </w:p>
        </w:tc>
      </w:tr>
      <w:tr w:rsidR="005742DA" w:rsidRPr="00D53C32" w14:paraId="6553288F" w14:textId="77777777" w:rsidTr="002B5285">
        <w:tc>
          <w:tcPr>
            <w:tcW w:w="9360" w:type="dxa"/>
            <w:gridSpan w:val="2"/>
            <w:tcBorders>
              <w:top w:val="single" w:sz="4" w:space="0" w:color="auto"/>
              <w:left w:val="single" w:sz="4" w:space="0" w:color="auto"/>
              <w:bottom w:val="single" w:sz="4" w:space="0" w:color="auto"/>
              <w:right w:val="single" w:sz="4" w:space="0" w:color="auto"/>
            </w:tcBorders>
          </w:tcPr>
          <w:p w14:paraId="434C6889" w14:textId="578E0350" w:rsidR="005742DA" w:rsidRPr="00D53C32" w:rsidRDefault="005742DA" w:rsidP="00051189">
            <w:pPr>
              <w:pStyle w:val="TableBody"/>
              <w:spacing w:before="60" w:after="60"/>
              <w:rPr>
                <w:b/>
                <w:i/>
                <w:iCs/>
              </w:rPr>
            </w:pPr>
            <w:r w:rsidRPr="005742DA">
              <w:rPr>
                <w:b/>
                <w:i/>
                <w:iCs/>
              </w:rPr>
              <w:t>LO 13-S1 Describe how nonrecurring and other comprehensive income items are reported.</w:t>
            </w:r>
          </w:p>
        </w:tc>
      </w:tr>
      <w:tr w:rsidR="00D53C32" w14:paraId="36B688CF" w14:textId="77777777">
        <w:tc>
          <w:tcPr>
            <w:tcW w:w="6498" w:type="dxa"/>
            <w:tcBorders>
              <w:right w:val="single" w:sz="4" w:space="0" w:color="auto"/>
            </w:tcBorders>
          </w:tcPr>
          <w:p w14:paraId="4247D928" w14:textId="77777777" w:rsidR="00D53C32" w:rsidRPr="00CD0775" w:rsidRDefault="00CD0775" w:rsidP="00CD0775">
            <w:pPr>
              <w:pStyle w:val="TableBody"/>
              <w:rPr>
                <w:rFonts w:eastAsia="SimSun"/>
                <w:szCs w:val="22"/>
                <w:lang w:eastAsia="zh-CN"/>
              </w:rPr>
            </w:pPr>
            <w:r>
              <w:rPr>
                <w:rFonts w:eastAsia="SimSun"/>
                <w:szCs w:val="22"/>
                <w:lang w:eastAsia="zh-CN"/>
              </w:rPr>
              <w:tab/>
            </w:r>
            <w:r>
              <w:rPr>
                <w:rFonts w:eastAsia="SimSun"/>
                <w:szCs w:val="22"/>
                <w:lang w:eastAsia="zh-CN"/>
              </w:rPr>
              <w:tab/>
              <w:t>A.</w:t>
            </w:r>
            <w:r>
              <w:rPr>
                <w:rFonts w:eastAsia="SimSun"/>
                <w:szCs w:val="22"/>
                <w:lang w:eastAsia="zh-CN"/>
              </w:rPr>
              <w:tab/>
              <w:t>Nonrecurring Items</w:t>
            </w:r>
          </w:p>
        </w:tc>
        <w:tc>
          <w:tcPr>
            <w:tcW w:w="2862" w:type="dxa"/>
            <w:tcBorders>
              <w:left w:val="single" w:sz="4" w:space="0" w:color="auto"/>
            </w:tcBorders>
          </w:tcPr>
          <w:p w14:paraId="596299E3" w14:textId="77777777" w:rsidR="00D53C32" w:rsidRPr="009D5DA1" w:rsidRDefault="00D53C32" w:rsidP="009D5DA1">
            <w:pPr>
              <w:pStyle w:val="TableBody"/>
              <w:rPr>
                <w:rFonts w:eastAsia="SimSun"/>
                <w:szCs w:val="22"/>
                <w:lang w:eastAsia="zh-CN"/>
              </w:rPr>
            </w:pPr>
          </w:p>
        </w:tc>
      </w:tr>
      <w:tr w:rsidR="00CD0775" w14:paraId="55AA5651" w14:textId="77777777">
        <w:tc>
          <w:tcPr>
            <w:tcW w:w="6498" w:type="dxa"/>
            <w:tcBorders>
              <w:right w:val="single" w:sz="4" w:space="0" w:color="auto"/>
            </w:tcBorders>
          </w:tcPr>
          <w:p w14:paraId="13AB43E5" w14:textId="77777777" w:rsidR="00CD0775" w:rsidRPr="00CD0775" w:rsidRDefault="00CD0775" w:rsidP="00CD0775">
            <w:pPr>
              <w:pStyle w:val="TableBody"/>
              <w:ind w:left="1152" w:hanging="288"/>
              <w:rPr>
                <w:rFonts w:eastAsia="SimSun"/>
                <w:szCs w:val="22"/>
                <w:lang w:eastAsia="zh-CN"/>
              </w:rPr>
            </w:pPr>
            <w:r>
              <w:rPr>
                <w:rFonts w:eastAsia="SimSun"/>
                <w:szCs w:val="22"/>
                <w:lang w:eastAsia="zh-CN"/>
              </w:rPr>
              <w:t>1</w:t>
            </w:r>
            <w:r w:rsidRPr="00CD0775">
              <w:rPr>
                <w:rFonts w:eastAsia="SimSun"/>
                <w:szCs w:val="22"/>
                <w:lang w:eastAsia="zh-CN"/>
              </w:rPr>
              <w:t>.</w:t>
            </w:r>
            <w:r w:rsidRPr="00CD0775">
              <w:rPr>
                <w:rFonts w:eastAsia="SimSun"/>
                <w:szCs w:val="22"/>
                <w:lang w:eastAsia="zh-CN"/>
              </w:rPr>
              <w:tab/>
              <w:t>Until 2005, three different types of nonrecurring items were reported in income statements: discontinued operations, extraordinary items, and the cumulative effects of changes in accounting methods.</w:t>
            </w:r>
          </w:p>
        </w:tc>
        <w:tc>
          <w:tcPr>
            <w:tcW w:w="2862" w:type="dxa"/>
            <w:tcBorders>
              <w:left w:val="single" w:sz="4" w:space="0" w:color="auto"/>
            </w:tcBorders>
          </w:tcPr>
          <w:p w14:paraId="2C5861BD" w14:textId="77777777" w:rsidR="00CD0775" w:rsidRPr="009D5DA1" w:rsidRDefault="00CD0775" w:rsidP="009D5DA1">
            <w:pPr>
              <w:pStyle w:val="TableBody"/>
              <w:rPr>
                <w:rFonts w:eastAsia="SimSun"/>
                <w:szCs w:val="22"/>
                <w:lang w:eastAsia="zh-CN"/>
              </w:rPr>
            </w:pPr>
          </w:p>
        </w:tc>
      </w:tr>
      <w:tr w:rsidR="00CD0775" w14:paraId="4D1D1732" w14:textId="77777777">
        <w:tc>
          <w:tcPr>
            <w:tcW w:w="6498" w:type="dxa"/>
            <w:tcBorders>
              <w:right w:val="single" w:sz="4" w:space="0" w:color="auto"/>
            </w:tcBorders>
          </w:tcPr>
          <w:p w14:paraId="02BE4649" w14:textId="77777777" w:rsidR="00CD0775" w:rsidRPr="00CD0775" w:rsidRDefault="00CD0775" w:rsidP="00CD0775">
            <w:pPr>
              <w:pStyle w:val="TableBody"/>
              <w:ind w:left="1152" w:hanging="288"/>
              <w:rPr>
                <w:rFonts w:eastAsia="SimSun"/>
                <w:szCs w:val="22"/>
                <w:lang w:eastAsia="zh-CN"/>
              </w:rPr>
            </w:pPr>
            <w:r w:rsidRPr="00CD0775">
              <w:rPr>
                <w:rFonts w:eastAsia="SimSun"/>
                <w:szCs w:val="22"/>
                <w:lang w:eastAsia="zh-CN"/>
              </w:rPr>
              <w:t>2.</w:t>
            </w:r>
            <w:r w:rsidRPr="00CD0775">
              <w:rPr>
                <w:rFonts w:eastAsia="SimSun"/>
                <w:szCs w:val="22"/>
                <w:lang w:eastAsia="zh-CN"/>
              </w:rPr>
              <w:tab/>
              <w:t>New accounting standards have nearly eliminated income statement reporting of extraordinary items and the cumulative effects</w:t>
            </w:r>
            <w:r>
              <w:rPr>
                <w:rFonts w:eastAsia="SimSun"/>
                <w:szCs w:val="22"/>
                <w:lang w:eastAsia="zh-CN"/>
              </w:rPr>
              <w:t xml:space="preserve"> </w:t>
            </w:r>
            <w:r w:rsidRPr="00CD0775">
              <w:rPr>
                <w:rFonts w:eastAsia="SimSun"/>
                <w:szCs w:val="22"/>
                <w:lang w:eastAsia="zh-CN"/>
              </w:rPr>
              <w:t>of changes in accounting methods.</w:t>
            </w:r>
          </w:p>
        </w:tc>
        <w:tc>
          <w:tcPr>
            <w:tcW w:w="2862" w:type="dxa"/>
            <w:tcBorders>
              <w:left w:val="single" w:sz="4" w:space="0" w:color="auto"/>
            </w:tcBorders>
          </w:tcPr>
          <w:p w14:paraId="589AFE5D" w14:textId="77777777" w:rsidR="00CD0775" w:rsidRPr="009D5DA1" w:rsidRDefault="00CD0775" w:rsidP="009D5DA1">
            <w:pPr>
              <w:pStyle w:val="TableBody"/>
              <w:rPr>
                <w:rFonts w:eastAsia="SimSun"/>
                <w:szCs w:val="22"/>
                <w:lang w:eastAsia="zh-CN"/>
              </w:rPr>
            </w:pPr>
          </w:p>
        </w:tc>
      </w:tr>
      <w:tr w:rsidR="00CD0775" w14:paraId="78602AB6" w14:textId="77777777">
        <w:tc>
          <w:tcPr>
            <w:tcW w:w="6498" w:type="dxa"/>
            <w:tcBorders>
              <w:right w:val="single" w:sz="4" w:space="0" w:color="auto"/>
            </w:tcBorders>
          </w:tcPr>
          <w:p w14:paraId="700FA8BC" w14:textId="77777777" w:rsidR="00CD0775" w:rsidRPr="00CD0775" w:rsidRDefault="00CD0775" w:rsidP="00CD0775">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CD0775">
              <w:rPr>
                <w:rFonts w:eastAsia="SimSun"/>
                <w:szCs w:val="22"/>
                <w:lang w:eastAsia="zh-CN"/>
              </w:rPr>
              <w:t>The cumulative effects of changes in accounting methods are reported as adjustments to Retained Earnings rather than as part of the income statement in the period when the change is made.</w:t>
            </w:r>
          </w:p>
        </w:tc>
        <w:tc>
          <w:tcPr>
            <w:tcW w:w="2862" w:type="dxa"/>
            <w:tcBorders>
              <w:left w:val="single" w:sz="4" w:space="0" w:color="auto"/>
            </w:tcBorders>
          </w:tcPr>
          <w:p w14:paraId="23C930C1" w14:textId="77777777" w:rsidR="00CD0775" w:rsidRPr="00CD0775" w:rsidRDefault="00CD0775" w:rsidP="004F07E1">
            <w:pPr>
              <w:pStyle w:val="TableBody"/>
              <w:rPr>
                <w:rFonts w:eastAsia="SimSun"/>
                <w:i/>
                <w:szCs w:val="22"/>
                <w:lang w:eastAsia="zh-CN"/>
              </w:rPr>
            </w:pPr>
            <w:r w:rsidRPr="00CD0775">
              <w:rPr>
                <w:rFonts w:eastAsia="SimSun"/>
                <w:i/>
                <w:szCs w:val="22"/>
                <w:lang w:eastAsia="zh-CN"/>
              </w:rPr>
              <w:t>Covered in Intermediate Accounting</w:t>
            </w:r>
            <w:r w:rsidR="004F07E1">
              <w:rPr>
                <w:rFonts w:eastAsia="SimSun"/>
                <w:i/>
                <w:szCs w:val="22"/>
                <w:lang w:eastAsia="zh-CN"/>
              </w:rPr>
              <w:t>.</w:t>
            </w:r>
          </w:p>
        </w:tc>
      </w:tr>
      <w:tr w:rsidR="00CD0775" w14:paraId="5399EAF3" w14:textId="77777777">
        <w:tc>
          <w:tcPr>
            <w:tcW w:w="6498" w:type="dxa"/>
            <w:tcBorders>
              <w:right w:val="single" w:sz="4" w:space="0" w:color="auto"/>
            </w:tcBorders>
          </w:tcPr>
          <w:p w14:paraId="1C5376B7" w14:textId="77777777" w:rsidR="00CD0775" w:rsidRPr="00CD0775" w:rsidRDefault="00CD0775" w:rsidP="00A74679">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r>
            <w:r w:rsidRPr="00CD0775">
              <w:rPr>
                <w:rFonts w:eastAsia="SimSun"/>
                <w:b/>
                <w:szCs w:val="22"/>
                <w:lang w:eastAsia="zh-CN"/>
              </w:rPr>
              <w:t>Discontinued operations</w:t>
            </w:r>
            <w:r w:rsidR="00A74679">
              <w:rPr>
                <w:rFonts w:eastAsia="SimSun"/>
                <w:szCs w:val="22"/>
                <w:lang w:eastAsia="zh-CN"/>
              </w:rPr>
              <w:t>–</w:t>
            </w:r>
            <w:r>
              <w:rPr>
                <w:rFonts w:eastAsia="SimSun"/>
                <w:szCs w:val="22"/>
                <w:lang w:eastAsia="zh-CN"/>
              </w:rPr>
              <w:t>–R</w:t>
            </w:r>
            <w:r w:rsidRPr="00CD0775">
              <w:rPr>
                <w:rFonts w:eastAsia="SimSun"/>
                <w:szCs w:val="22"/>
                <w:lang w:eastAsia="zh-CN"/>
              </w:rPr>
              <w:t>esult from the disposal of a major component of the business and</w:t>
            </w:r>
            <w:r>
              <w:rPr>
                <w:rFonts w:eastAsia="SimSun"/>
                <w:szCs w:val="22"/>
                <w:lang w:eastAsia="zh-CN"/>
              </w:rPr>
              <w:t xml:space="preserve"> </w:t>
            </w:r>
            <w:r w:rsidRPr="00CD0775">
              <w:rPr>
                <w:rFonts w:eastAsia="SimSun"/>
                <w:szCs w:val="22"/>
                <w:lang w:eastAsia="zh-CN"/>
              </w:rPr>
              <w:t>are reported net of income tax effects.</w:t>
            </w:r>
          </w:p>
        </w:tc>
        <w:tc>
          <w:tcPr>
            <w:tcW w:w="2862" w:type="dxa"/>
            <w:tcBorders>
              <w:left w:val="single" w:sz="4" w:space="0" w:color="auto"/>
            </w:tcBorders>
          </w:tcPr>
          <w:p w14:paraId="48FE01DA" w14:textId="77777777" w:rsidR="00CD0775" w:rsidRPr="009D5DA1" w:rsidRDefault="00CD0775" w:rsidP="009D5DA1">
            <w:pPr>
              <w:pStyle w:val="TableBody"/>
              <w:rPr>
                <w:rFonts w:eastAsia="SimSun"/>
                <w:szCs w:val="22"/>
                <w:lang w:eastAsia="zh-CN"/>
              </w:rPr>
            </w:pPr>
            <w:r>
              <w:rPr>
                <w:rFonts w:eastAsia="SimSun"/>
                <w:szCs w:val="22"/>
                <w:lang w:eastAsia="zh-CN"/>
              </w:rPr>
              <w:t>Illustrated in Exhibit 13A.1</w:t>
            </w:r>
          </w:p>
        </w:tc>
      </w:tr>
      <w:tr w:rsidR="00CD0775" w14:paraId="72A9F5E7" w14:textId="77777777">
        <w:tc>
          <w:tcPr>
            <w:tcW w:w="6498" w:type="dxa"/>
            <w:tcBorders>
              <w:right w:val="single" w:sz="4" w:space="0" w:color="auto"/>
            </w:tcBorders>
          </w:tcPr>
          <w:p w14:paraId="52D7558D" w14:textId="77777777" w:rsidR="00CD0775" w:rsidRPr="00CD0775" w:rsidRDefault="00CD0775" w:rsidP="00CD0775">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 xml:space="preserve">The results of </w:t>
            </w:r>
            <w:r w:rsidRPr="00CD0775">
              <w:rPr>
                <w:rFonts w:eastAsia="SimSun"/>
                <w:szCs w:val="22"/>
                <w:lang w:eastAsia="zh-CN"/>
              </w:rPr>
              <w:t>an abandoned or sold business unit for the current year are reported on a separate line of the income</w:t>
            </w:r>
            <w:r>
              <w:rPr>
                <w:rFonts w:eastAsia="SimSun"/>
                <w:szCs w:val="22"/>
                <w:lang w:eastAsia="zh-CN"/>
              </w:rPr>
              <w:t xml:space="preserve"> </w:t>
            </w:r>
            <w:r w:rsidRPr="00CD0775">
              <w:rPr>
                <w:rFonts w:eastAsia="SimSun"/>
                <w:szCs w:val="22"/>
                <w:lang w:eastAsia="zh-CN"/>
              </w:rPr>
              <w:t xml:space="preserve">statement immediately after Income Tax Expense. </w:t>
            </w:r>
          </w:p>
        </w:tc>
        <w:tc>
          <w:tcPr>
            <w:tcW w:w="2862" w:type="dxa"/>
            <w:tcBorders>
              <w:left w:val="single" w:sz="4" w:space="0" w:color="auto"/>
            </w:tcBorders>
          </w:tcPr>
          <w:p w14:paraId="29F9E3EE" w14:textId="77777777" w:rsidR="00CD0775" w:rsidRPr="009D5DA1" w:rsidRDefault="00CD0775" w:rsidP="009D5DA1">
            <w:pPr>
              <w:pStyle w:val="TableBody"/>
              <w:rPr>
                <w:rFonts w:eastAsia="SimSun"/>
                <w:szCs w:val="22"/>
                <w:lang w:eastAsia="zh-CN"/>
              </w:rPr>
            </w:pPr>
          </w:p>
        </w:tc>
      </w:tr>
      <w:tr w:rsidR="00CD0775" w14:paraId="2ED97D53" w14:textId="77777777">
        <w:tc>
          <w:tcPr>
            <w:tcW w:w="6498" w:type="dxa"/>
            <w:tcBorders>
              <w:right w:val="single" w:sz="4" w:space="0" w:color="auto"/>
            </w:tcBorders>
          </w:tcPr>
          <w:p w14:paraId="7D4B93F4" w14:textId="77777777" w:rsidR="00CD0775" w:rsidRPr="00CD0775" w:rsidRDefault="00CD0775" w:rsidP="00CD0775">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CD0775">
              <w:rPr>
                <w:rFonts w:eastAsia="SimSun"/>
                <w:szCs w:val="22"/>
                <w:lang w:eastAsia="zh-CN"/>
              </w:rPr>
              <w:t>This discontinued operations line</w:t>
            </w:r>
            <w:r>
              <w:rPr>
                <w:rFonts w:eastAsia="SimSun"/>
                <w:szCs w:val="22"/>
                <w:lang w:eastAsia="zh-CN"/>
              </w:rPr>
              <w:t xml:space="preserve"> </w:t>
            </w:r>
            <w:r w:rsidRPr="00CD0775">
              <w:rPr>
                <w:rFonts w:eastAsia="SimSun"/>
                <w:szCs w:val="22"/>
                <w:lang w:eastAsia="zh-CN"/>
              </w:rPr>
              <w:t>includes any gain or loss on disposal of the discontinued operation as well as any operating</w:t>
            </w:r>
            <w:r>
              <w:rPr>
                <w:rFonts w:eastAsia="SimSun"/>
                <w:szCs w:val="22"/>
                <w:lang w:eastAsia="zh-CN"/>
              </w:rPr>
              <w:t xml:space="preserve"> </w:t>
            </w:r>
            <w:r w:rsidRPr="00CD0775">
              <w:rPr>
                <w:rFonts w:eastAsia="SimSun"/>
                <w:szCs w:val="22"/>
                <w:lang w:eastAsia="zh-CN"/>
              </w:rPr>
              <w:t xml:space="preserve">income generated before its disposal. </w:t>
            </w:r>
          </w:p>
        </w:tc>
        <w:tc>
          <w:tcPr>
            <w:tcW w:w="2862" w:type="dxa"/>
            <w:tcBorders>
              <w:left w:val="single" w:sz="4" w:space="0" w:color="auto"/>
            </w:tcBorders>
          </w:tcPr>
          <w:p w14:paraId="5777ED5A" w14:textId="77777777" w:rsidR="00CD0775" w:rsidRPr="009D5DA1" w:rsidRDefault="00CD0775" w:rsidP="009D5DA1">
            <w:pPr>
              <w:pStyle w:val="TableBody"/>
              <w:rPr>
                <w:rFonts w:eastAsia="SimSun"/>
                <w:szCs w:val="22"/>
                <w:lang w:eastAsia="zh-CN"/>
              </w:rPr>
            </w:pPr>
          </w:p>
        </w:tc>
      </w:tr>
      <w:tr w:rsidR="00CD0775" w14:paraId="58541695" w14:textId="77777777">
        <w:tc>
          <w:tcPr>
            <w:tcW w:w="6498" w:type="dxa"/>
            <w:tcBorders>
              <w:right w:val="single" w:sz="4" w:space="0" w:color="auto"/>
            </w:tcBorders>
          </w:tcPr>
          <w:p w14:paraId="68A994A5" w14:textId="77777777" w:rsidR="00CD0775" w:rsidRPr="00CD0775" w:rsidRDefault="00CD0775" w:rsidP="00CD0775">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Pr="00CD0775">
              <w:rPr>
                <w:rFonts w:eastAsia="SimSun"/>
                <w:szCs w:val="22"/>
                <w:lang w:eastAsia="zh-CN"/>
              </w:rPr>
              <w:t>Because it appears below the Income Tax</w:t>
            </w:r>
            <w:r>
              <w:rPr>
                <w:rFonts w:eastAsia="SimSun"/>
                <w:szCs w:val="22"/>
                <w:lang w:eastAsia="zh-CN"/>
              </w:rPr>
              <w:t xml:space="preserve"> </w:t>
            </w:r>
            <w:r w:rsidRPr="00CD0775">
              <w:rPr>
                <w:rFonts w:eastAsia="SimSun"/>
                <w:szCs w:val="22"/>
                <w:lang w:eastAsia="zh-CN"/>
              </w:rPr>
              <w:t>Expense line, any additional tax effects related to the gains or losses are included in the</w:t>
            </w:r>
            <w:r>
              <w:rPr>
                <w:rFonts w:eastAsia="SimSun"/>
                <w:szCs w:val="22"/>
                <w:lang w:eastAsia="zh-CN"/>
              </w:rPr>
              <w:t xml:space="preserve"> </w:t>
            </w:r>
            <w:r w:rsidRPr="00CD0775">
              <w:rPr>
                <w:rFonts w:eastAsia="SimSun"/>
                <w:szCs w:val="22"/>
                <w:lang w:eastAsia="zh-CN"/>
              </w:rPr>
              <w:t>reported amounts.</w:t>
            </w:r>
          </w:p>
        </w:tc>
        <w:tc>
          <w:tcPr>
            <w:tcW w:w="2862" w:type="dxa"/>
            <w:tcBorders>
              <w:left w:val="single" w:sz="4" w:space="0" w:color="auto"/>
            </w:tcBorders>
          </w:tcPr>
          <w:p w14:paraId="4CB86052" w14:textId="77777777" w:rsidR="00CD0775" w:rsidRPr="009D5DA1" w:rsidRDefault="00CD0775" w:rsidP="009D5DA1">
            <w:pPr>
              <w:pStyle w:val="TableBody"/>
              <w:rPr>
                <w:rFonts w:eastAsia="SimSun"/>
                <w:szCs w:val="22"/>
                <w:lang w:eastAsia="zh-CN"/>
              </w:rPr>
            </w:pPr>
          </w:p>
        </w:tc>
      </w:tr>
      <w:tr w:rsidR="00CD0775" w14:paraId="7EC5590B" w14:textId="77777777">
        <w:tc>
          <w:tcPr>
            <w:tcW w:w="6498" w:type="dxa"/>
            <w:tcBorders>
              <w:right w:val="single" w:sz="4" w:space="0" w:color="auto"/>
            </w:tcBorders>
          </w:tcPr>
          <w:p w14:paraId="2CF34871" w14:textId="77777777" w:rsidR="00CD0775" w:rsidRPr="00CD0775" w:rsidRDefault="00CD0775" w:rsidP="00DC12BE">
            <w:pPr>
              <w:pStyle w:val="TableBody"/>
              <w:rPr>
                <w:rFonts w:eastAsia="SimSun"/>
                <w:szCs w:val="22"/>
                <w:lang w:eastAsia="zh-CN"/>
              </w:rPr>
            </w:pPr>
            <w:r>
              <w:rPr>
                <w:rFonts w:eastAsia="SimSun"/>
                <w:szCs w:val="22"/>
                <w:lang w:eastAsia="zh-CN"/>
              </w:rPr>
              <w:tab/>
            </w:r>
            <w:r>
              <w:rPr>
                <w:rFonts w:eastAsia="SimSun"/>
                <w:szCs w:val="22"/>
                <w:lang w:eastAsia="zh-CN"/>
              </w:rPr>
              <w:tab/>
              <w:t>B.</w:t>
            </w:r>
            <w:r>
              <w:rPr>
                <w:rFonts w:eastAsia="SimSun"/>
                <w:szCs w:val="22"/>
                <w:lang w:eastAsia="zh-CN"/>
              </w:rPr>
              <w:tab/>
              <w:t>Other Items</w:t>
            </w:r>
            <w:r w:rsidR="00DC12BE">
              <w:rPr>
                <w:rFonts w:eastAsia="SimSun"/>
                <w:szCs w:val="22"/>
                <w:lang w:eastAsia="zh-CN"/>
              </w:rPr>
              <w:t xml:space="preserve"> in Comprehensive Income</w:t>
            </w:r>
          </w:p>
        </w:tc>
        <w:tc>
          <w:tcPr>
            <w:tcW w:w="2862" w:type="dxa"/>
            <w:tcBorders>
              <w:left w:val="single" w:sz="4" w:space="0" w:color="auto"/>
            </w:tcBorders>
          </w:tcPr>
          <w:p w14:paraId="0C2EE9A0" w14:textId="77777777" w:rsidR="00CD0775" w:rsidRPr="009D5DA1" w:rsidRDefault="00CD0775" w:rsidP="009D5DA1">
            <w:pPr>
              <w:pStyle w:val="TableBody"/>
              <w:rPr>
                <w:rFonts w:eastAsia="SimSun"/>
                <w:szCs w:val="22"/>
                <w:lang w:eastAsia="zh-CN"/>
              </w:rPr>
            </w:pPr>
          </w:p>
        </w:tc>
      </w:tr>
      <w:tr w:rsidR="00CD0775" w14:paraId="61211A1E" w14:textId="77777777">
        <w:tc>
          <w:tcPr>
            <w:tcW w:w="6498" w:type="dxa"/>
            <w:tcBorders>
              <w:right w:val="single" w:sz="4" w:space="0" w:color="auto"/>
            </w:tcBorders>
          </w:tcPr>
          <w:p w14:paraId="73F5E47E" w14:textId="77777777" w:rsidR="00CD0775" w:rsidRDefault="00CD0775" w:rsidP="00DC12BE">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DC12BE">
              <w:rPr>
                <w:rFonts w:eastAsia="SimSun"/>
                <w:b/>
                <w:szCs w:val="22"/>
                <w:lang w:eastAsia="zh-CN"/>
              </w:rPr>
              <w:t>Comprehensive income</w:t>
            </w:r>
            <w:r>
              <w:rPr>
                <w:rFonts w:eastAsia="SimSun"/>
                <w:szCs w:val="22"/>
                <w:lang w:eastAsia="zh-CN"/>
              </w:rPr>
              <w:t xml:space="preserve"> </w:t>
            </w:r>
            <w:r w:rsidR="00DC12BE">
              <w:rPr>
                <w:rFonts w:eastAsia="SimSun"/>
                <w:szCs w:val="22"/>
                <w:lang w:eastAsia="zh-CN"/>
              </w:rPr>
              <w:t xml:space="preserve">= </w:t>
            </w:r>
            <w:r w:rsidR="00DC12BE" w:rsidRPr="00DC12BE">
              <w:rPr>
                <w:rFonts w:eastAsia="SimSun"/>
                <w:szCs w:val="22"/>
                <w:lang w:eastAsia="zh-CN"/>
              </w:rPr>
              <w:t>Net</w:t>
            </w:r>
            <w:r w:rsidR="00DC12BE">
              <w:rPr>
                <w:rFonts w:eastAsia="SimSun"/>
                <w:szCs w:val="22"/>
                <w:lang w:eastAsia="zh-CN"/>
              </w:rPr>
              <w:t xml:space="preserve"> </w:t>
            </w:r>
            <w:r w:rsidR="00DC12BE" w:rsidRPr="00DC12BE">
              <w:rPr>
                <w:rFonts w:eastAsia="SimSun"/>
                <w:szCs w:val="22"/>
                <w:lang w:eastAsia="zh-CN"/>
              </w:rPr>
              <w:t xml:space="preserve">Income </w:t>
            </w:r>
            <w:r w:rsidR="00DC12BE">
              <w:rPr>
                <w:rFonts w:eastAsia="SimSun"/>
                <w:szCs w:val="22"/>
                <w:lang w:eastAsia="zh-CN"/>
              </w:rPr>
              <w:t>+</w:t>
            </w:r>
            <w:r w:rsidR="00DC12BE" w:rsidRPr="00DC12BE">
              <w:rPr>
                <w:rFonts w:eastAsia="SimSun"/>
                <w:szCs w:val="22"/>
                <w:lang w:eastAsia="zh-CN"/>
              </w:rPr>
              <w:t xml:space="preserve"> Other Comprehensive</w:t>
            </w:r>
            <w:r w:rsidR="00DC12BE">
              <w:rPr>
                <w:rFonts w:eastAsia="SimSun"/>
                <w:szCs w:val="22"/>
                <w:lang w:eastAsia="zh-CN"/>
              </w:rPr>
              <w:t xml:space="preserve"> </w:t>
            </w:r>
            <w:r w:rsidR="00DC12BE" w:rsidRPr="00DC12BE">
              <w:rPr>
                <w:rFonts w:eastAsia="SimSun"/>
                <w:szCs w:val="22"/>
                <w:lang w:eastAsia="zh-CN"/>
              </w:rPr>
              <w:t>Income (OCI)</w:t>
            </w:r>
            <w:r w:rsidR="00DC12BE">
              <w:rPr>
                <w:rFonts w:eastAsia="SimSun"/>
                <w:szCs w:val="22"/>
                <w:lang w:eastAsia="zh-CN"/>
              </w:rPr>
              <w:t xml:space="preserve">; </w:t>
            </w:r>
            <w:r w:rsidR="00DC12BE" w:rsidRPr="00DC12BE">
              <w:rPr>
                <w:rFonts w:eastAsia="SimSun"/>
                <w:szCs w:val="22"/>
                <w:lang w:eastAsia="zh-CN"/>
              </w:rPr>
              <w:t>OCI includes</w:t>
            </w:r>
            <w:r w:rsidR="00DC12BE">
              <w:rPr>
                <w:rFonts w:eastAsia="SimSun"/>
                <w:szCs w:val="22"/>
                <w:lang w:eastAsia="zh-CN"/>
              </w:rPr>
              <w:t xml:space="preserve"> </w:t>
            </w:r>
            <w:r w:rsidR="00DC12BE" w:rsidRPr="00DC12BE">
              <w:rPr>
                <w:rFonts w:eastAsia="SimSun"/>
                <w:szCs w:val="22"/>
                <w:lang w:eastAsia="zh-CN"/>
              </w:rPr>
              <w:t>gains and losses arising from</w:t>
            </w:r>
            <w:r w:rsidR="00DC12BE">
              <w:rPr>
                <w:rFonts w:eastAsia="SimSun"/>
                <w:szCs w:val="22"/>
                <w:lang w:eastAsia="zh-CN"/>
              </w:rPr>
              <w:t xml:space="preserve"> </w:t>
            </w:r>
            <w:r w:rsidR="00DC12BE" w:rsidRPr="00DC12BE">
              <w:rPr>
                <w:rFonts w:eastAsia="SimSun"/>
                <w:szCs w:val="22"/>
                <w:lang w:eastAsia="zh-CN"/>
              </w:rPr>
              <w:t>changes in the values of certain</w:t>
            </w:r>
            <w:r w:rsidR="00DC12BE">
              <w:rPr>
                <w:rFonts w:eastAsia="SimSun"/>
                <w:szCs w:val="22"/>
                <w:lang w:eastAsia="zh-CN"/>
              </w:rPr>
              <w:t xml:space="preserve"> </w:t>
            </w:r>
            <w:r w:rsidR="00DC12BE" w:rsidRPr="00DC12BE">
              <w:rPr>
                <w:rFonts w:eastAsia="SimSun"/>
                <w:szCs w:val="22"/>
                <w:lang w:eastAsia="zh-CN"/>
              </w:rPr>
              <w:t>assets and liabilities</w:t>
            </w:r>
            <w:r w:rsidR="00A74679">
              <w:rPr>
                <w:rFonts w:eastAsia="SimSun"/>
                <w:szCs w:val="22"/>
                <w:lang w:eastAsia="zh-CN"/>
              </w:rPr>
              <w:t>.</w:t>
            </w:r>
            <w:r>
              <w:rPr>
                <w:rFonts w:eastAsia="SimSun"/>
                <w:szCs w:val="22"/>
                <w:lang w:eastAsia="zh-CN"/>
              </w:rPr>
              <w:t xml:space="preserve"> </w:t>
            </w:r>
          </w:p>
        </w:tc>
        <w:tc>
          <w:tcPr>
            <w:tcW w:w="2862" w:type="dxa"/>
            <w:tcBorders>
              <w:left w:val="single" w:sz="4" w:space="0" w:color="auto"/>
            </w:tcBorders>
          </w:tcPr>
          <w:p w14:paraId="3B4BAC63" w14:textId="77777777" w:rsidR="00CD0775" w:rsidRPr="00CD0775" w:rsidRDefault="00CD0775" w:rsidP="00101039">
            <w:pPr>
              <w:pStyle w:val="TableBody"/>
              <w:rPr>
                <w:rFonts w:eastAsia="SimSun"/>
                <w:i/>
                <w:szCs w:val="22"/>
                <w:lang w:eastAsia="zh-CN"/>
              </w:rPr>
            </w:pPr>
            <w:r w:rsidRPr="00CD0775">
              <w:rPr>
                <w:rFonts w:eastAsia="SimSun"/>
                <w:i/>
                <w:szCs w:val="22"/>
                <w:lang w:eastAsia="zh-CN"/>
              </w:rPr>
              <w:t>Covered in Intermediate Accountin</w:t>
            </w:r>
            <w:r w:rsidR="00DC12BE">
              <w:rPr>
                <w:rFonts w:eastAsia="SimSun"/>
                <w:i/>
                <w:szCs w:val="22"/>
                <w:lang w:eastAsia="zh-CN"/>
              </w:rPr>
              <w:t>g courses.</w:t>
            </w:r>
          </w:p>
        </w:tc>
      </w:tr>
      <w:tr w:rsidR="00CD0775" w14:paraId="5E7C16C5" w14:textId="77777777">
        <w:tc>
          <w:tcPr>
            <w:tcW w:w="6498" w:type="dxa"/>
            <w:tcBorders>
              <w:right w:val="single" w:sz="4" w:space="0" w:color="auto"/>
            </w:tcBorders>
          </w:tcPr>
          <w:p w14:paraId="4DF3EE07" w14:textId="77777777" w:rsidR="00CD0775" w:rsidRDefault="00A00BCC" w:rsidP="00A00BCC">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T</w:t>
            </w:r>
            <w:r w:rsidRPr="00CD0775">
              <w:rPr>
                <w:rFonts w:eastAsia="SimSun"/>
                <w:szCs w:val="22"/>
                <w:lang w:eastAsia="zh-CN"/>
              </w:rPr>
              <w:t>hese items represent</w:t>
            </w:r>
            <w:r>
              <w:rPr>
                <w:rFonts w:eastAsia="SimSun"/>
                <w:szCs w:val="22"/>
                <w:lang w:eastAsia="zh-CN"/>
              </w:rPr>
              <w:t xml:space="preserve"> </w:t>
            </w:r>
            <w:r w:rsidRPr="00CD0775">
              <w:rPr>
                <w:rFonts w:eastAsia="SimSun"/>
                <w:szCs w:val="22"/>
                <w:lang w:eastAsia="zh-CN"/>
              </w:rPr>
              <w:t>gains or losses relating to changes in the value of certain balance sheet accounts.</w:t>
            </w:r>
          </w:p>
        </w:tc>
        <w:tc>
          <w:tcPr>
            <w:tcW w:w="2862" w:type="dxa"/>
            <w:tcBorders>
              <w:left w:val="single" w:sz="4" w:space="0" w:color="auto"/>
            </w:tcBorders>
          </w:tcPr>
          <w:p w14:paraId="21FF696C" w14:textId="77777777" w:rsidR="00CD0775" w:rsidRPr="009D5DA1" w:rsidRDefault="00CD0775" w:rsidP="009D5DA1">
            <w:pPr>
              <w:pStyle w:val="TableBody"/>
              <w:rPr>
                <w:rFonts w:eastAsia="SimSun"/>
                <w:szCs w:val="22"/>
                <w:lang w:eastAsia="zh-CN"/>
              </w:rPr>
            </w:pPr>
          </w:p>
        </w:tc>
      </w:tr>
      <w:tr w:rsidR="00CD0775" w14:paraId="0E8C8AEA" w14:textId="77777777">
        <w:tc>
          <w:tcPr>
            <w:tcW w:w="6498" w:type="dxa"/>
            <w:tcBorders>
              <w:right w:val="single" w:sz="4" w:space="0" w:color="auto"/>
            </w:tcBorders>
          </w:tcPr>
          <w:p w14:paraId="598268CB" w14:textId="77777777" w:rsidR="00CD0775" w:rsidRDefault="00A00BCC" w:rsidP="00CD0775">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CD0775">
              <w:rPr>
                <w:rFonts w:eastAsia="SimSun"/>
                <w:szCs w:val="22"/>
                <w:lang w:eastAsia="zh-CN"/>
              </w:rPr>
              <w:t>While most gains and losses are included in the computation of net income, some</w:t>
            </w:r>
            <w:r>
              <w:rPr>
                <w:rFonts w:eastAsia="SimSun"/>
                <w:szCs w:val="22"/>
                <w:lang w:eastAsia="zh-CN"/>
              </w:rPr>
              <w:t xml:space="preserve"> </w:t>
            </w:r>
            <w:r w:rsidRPr="00CD0775">
              <w:rPr>
                <w:rFonts w:eastAsia="SimSun"/>
                <w:szCs w:val="22"/>
                <w:lang w:eastAsia="zh-CN"/>
              </w:rPr>
              <w:t>(relating to changes in foreign currency exchange rates and the value of certain</w:t>
            </w:r>
            <w:r>
              <w:rPr>
                <w:rFonts w:eastAsia="SimSun"/>
                <w:szCs w:val="22"/>
                <w:lang w:eastAsia="zh-CN"/>
              </w:rPr>
              <w:t xml:space="preserve"> </w:t>
            </w:r>
            <w:r w:rsidRPr="00CD0775">
              <w:rPr>
                <w:rFonts w:eastAsia="SimSun"/>
                <w:szCs w:val="22"/>
                <w:lang w:eastAsia="zh-CN"/>
              </w:rPr>
              <w:t>investments, for example) are excluded from net income and included only in comprehensive</w:t>
            </w:r>
            <w:r>
              <w:rPr>
                <w:rFonts w:eastAsia="SimSun"/>
                <w:szCs w:val="22"/>
                <w:lang w:eastAsia="zh-CN"/>
              </w:rPr>
              <w:t xml:space="preserve"> </w:t>
            </w:r>
            <w:r w:rsidRPr="00CD0775">
              <w:rPr>
                <w:rFonts w:eastAsia="SimSun"/>
                <w:szCs w:val="22"/>
                <w:lang w:eastAsia="zh-CN"/>
              </w:rPr>
              <w:t>income.</w:t>
            </w:r>
          </w:p>
        </w:tc>
        <w:tc>
          <w:tcPr>
            <w:tcW w:w="2862" w:type="dxa"/>
            <w:tcBorders>
              <w:left w:val="single" w:sz="4" w:space="0" w:color="auto"/>
            </w:tcBorders>
          </w:tcPr>
          <w:p w14:paraId="7AFB1CCB" w14:textId="77777777" w:rsidR="00CD0775" w:rsidRPr="009D5DA1" w:rsidRDefault="00CD0775" w:rsidP="009D5DA1">
            <w:pPr>
              <w:pStyle w:val="TableBody"/>
              <w:rPr>
                <w:rFonts w:eastAsia="SimSun"/>
                <w:szCs w:val="22"/>
                <w:lang w:eastAsia="zh-CN"/>
              </w:rPr>
            </w:pPr>
          </w:p>
        </w:tc>
      </w:tr>
      <w:tr w:rsidR="00A00BCC" w14:paraId="4752F1F5" w14:textId="77777777">
        <w:tc>
          <w:tcPr>
            <w:tcW w:w="6498" w:type="dxa"/>
            <w:tcBorders>
              <w:right w:val="single" w:sz="4" w:space="0" w:color="auto"/>
            </w:tcBorders>
          </w:tcPr>
          <w:p w14:paraId="40B9ED87" w14:textId="77777777" w:rsidR="00A00BCC" w:rsidRDefault="00A00BCC" w:rsidP="00101039">
            <w:pPr>
              <w:pStyle w:val="TableBody"/>
            </w:pPr>
            <w:r>
              <w:t>V.</w:t>
            </w:r>
            <w:r>
              <w:tab/>
            </w:r>
            <w:r>
              <w:tab/>
              <w:t xml:space="preserve">Supplement 13B: </w:t>
            </w:r>
            <w:r w:rsidRPr="00E32366">
              <w:t xml:space="preserve">Reviewing </w:t>
            </w:r>
            <w:r>
              <w:t>a</w:t>
            </w:r>
            <w:r w:rsidRPr="00E32366">
              <w:t>nd Contrasting</w:t>
            </w:r>
            <w:r>
              <w:t xml:space="preserve"> IFRS and GAAP</w:t>
            </w:r>
          </w:p>
        </w:tc>
        <w:tc>
          <w:tcPr>
            <w:tcW w:w="2862" w:type="dxa"/>
            <w:tcBorders>
              <w:left w:val="single" w:sz="4" w:space="0" w:color="auto"/>
            </w:tcBorders>
          </w:tcPr>
          <w:p w14:paraId="37DA2890" w14:textId="77777777" w:rsidR="00A00BCC" w:rsidRPr="009D5DA1" w:rsidRDefault="00A00BCC" w:rsidP="009D5DA1">
            <w:pPr>
              <w:pStyle w:val="TableBody"/>
              <w:rPr>
                <w:rFonts w:eastAsia="SimSun"/>
                <w:szCs w:val="22"/>
                <w:lang w:eastAsia="zh-CN"/>
              </w:rPr>
            </w:pPr>
          </w:p>
        </w:tc>
      </w:tr>
      <w:tr w:rsidR="005742DA" w:rsidRPr="00D53C32" w14:paraId="6064729E" w14:textId="77777777" w:rsidTr="002B5285">
        <w:tc>
          <w:tcPr>
            <w:tcW w:w="9360" w:type="dxa"/>
            <w:gridSpan w:val="2"/>
            <w:tcBorders>
              <w:top w:val="single" w:sz="4" w:space="0" w:color="auto"/>
              <w:left w:val="single" w:sz="4" w:space="0" w:color="auto"/>
              <w:bottom w:val="single" w:sz="4" w:space="0" w:color="auto"/>
              <w:right w:val="single" w:sz="4" w:space="0" w:color="auto"/>
            </w:tcBorders>
          </w:tcPr>
          <w:p w14:paraId="54190F15" w14:textId="7E21ED9A" w:rsidR="005742DA" w:rsidRPr="00D53C32" w:rsidRDefault="005742DA" w:rsidP="002B5285">
            <w:pPr>
              <w:pStyle w:val="TableBody"/>
              <w:spacing w:before="60" w:after="60"/>
              <w:rPr>
                <w:b/>
                <w:i/>
                <w:iCs/>
              </w:rPr>
            </w:pPr>
            <w:r w:rsidRPr="005742DA">
              <w:rPr>
                <w:b/>
                <w:i/>
                <w:iCs/>
              </w:rPr>
              <w:t>LO 13-S2 Describe significant differences between GAAP and IFRS.</w:t>
            </w:r>
          </w:p>
        </w:tc>
      </w:tr>
      <w:tr w:rsidR="00A00BCC" w14:paraId="3111D85A" w14:textId="77777777">
        <w:tc>
          <w:tcPr>
            <w:tcW w:w="6498" w:type="dxa"/>
            <w:tcBorders>
              <w:right w:val="single" w:sz="4" w:space="0" w:color="auto"/>
            </w:tcBorders>
          </w:tcPr>
          <w:p w14:paraId="088DF703" w14:textId="77777777" w:rsidR="00A00BCC" w:rsidRDefault="00A00BCC" w:rsidP="00A00BCC">
            <w:pPr>
              <w:pStyle w:val="TableBody"/>
              <w:ind w:left="576"/>
            </w:pPr>
            <w:r>
              <w:t>A.</w:t>
            </w:r>
            <w:r>
              <w:tab/>
              <w:t>Overview</w:t>
            </w:r>
          </w:p>
        </w:tc>
        <w:tc>
          <w:tcPr>
            <w:tcW w:w="2862" w:type="dxa"/>
            <w:tcBorders>
              <w:left w:val="single" w:sz="4" w:space="0" w:color="auto"/>
            </w:tcBorders>
          </w:tcPr>
          <w:p w14:paraId="4949D8E0" w14:textId="77777777" w:rsidR="00A00BCC" w:rsidRDefault="00A00BCC" w:rsidP="009D5DA1">
            <w:pPr>
              <w:pStyle w:val="TableBody"/>
              <w:rPr>
                <w:rFonts w:eastAsia="SimSun"/>
                <w:szCs w:val="22"/>
                <w:lang w:eastAsia="zh-CN"/>
              </w:rPr>
            </w:pPr>
          </w:p>
        </w:tc>
      </w:tr>
      <w:tr w:rsidR="00A00BCC" w14:paraId="41253646" w14:textId="77777777">
        <w:tc>
          <w:tcPr>
            <w:tcW w:w="6498" w:type="dxa"/>
            <w:tcBorders>
              <w:right w:val="single" w:sz="4" w:space="0" w:color="auto"/>
            </w:tcBorders>
          </w:tcPr>
          <w:p w14:paraId="14A5B968" w14:textId="77777777" w:rsidR="00A00BCC" w:rsidRPr="00A00BCC" w:rsidRDefault="00A00BCC" w:rsidP="00A00BCC">
            <w:pPr>
              <w:pStyle w:val="TableBody"/>
              <w:ind w:left="1152" w:hanging="288"/>
              <w:rPr>
                <w:rFonts w:eastAsia="SimSun"/>
                <w:szCs w:val="22"/>
                <w:lang w:eastAsia="zh-CN"/>
              </w:rPr>
            </w:pPr>
            <w:r w:rsidRPr="00A00BCC">
              <w:rPr>
                <w:rFonts w:eastAsia="SimSun"/>
                <w:szCs w:val="22"/>
                <w:lang w:eastAsia="zh-CN"/>
              </w:rPr>
              <w:t>1.</w:t>
            </w:r>
            <w:r w:rsidRPr="00A00BCC">
              <w:rPr>
                <w:rFonts w:eastAsia="SimSun"/>
                <w:szCs w:val="22"/>
                <w:lang w:eastAsia="zh-CN"/>
              </w:rPr>
              <w:tab/>
              <w:t xml:space="preserve">Generally speaking, IFRS and GAAP are similar. </w:t>
            </w:r>
          </w:p>
        </w:tc>
        <w:tc>
          <w:tcPr>
            <w:tcW w:w="2862" w:type="dxa"/>
            <w:tcBorders>
              <w:left w:val="single" w:sz="4" w:space="0" w:color="auto"/>
            </w:tcBorders>
          </w:tcPr>
          <w:p w14:paraId="34C693EA" w14:textId="77777777" w:rsidR="00A00BCC" w:rsidRDefault="00A00BCC" w:rsidP="009D5DA1">
            <w:pPr>
              <w:pStyle w:val="TableBody"/>
              <w:rPr>
                <w:rFonts w:eastAsia="SimSun"/>
                <w:szCs w:val="22"/>
                <w:lang w:eastAsia="zh-CN"/>
              </w:rPr>
            </w:pPr>
          </w:p>
        </w:tc>
      </w:tr>
      <w:tr w:rsidR="00A00BCC" w14:paraId="28011239" w14:textId="77777777">
        <w:tc>
          <w:tcPr>
            <w:tcW w:w="6498" w:type="dxa"/>
            <w:tcBorders>
              <w:right w:val="single" w:sz="4" w:space="0" w:color="auto"/>
            </w:tcBorders>
          </w:tcPr>
          <w:p w14:paraId="4B9FF318" w14:textId="77777777" w:rsidR="00A00BCC" w:rsidRDefault="00A00BCC" w:rsidP="00A00BCC">
            <w:pPr>
              <w:pStyle w:val="TableBody"/>
              <w:ind w:left="1440" w:hanging="288"/>
            </w:pPr>
            <w:r>
              <w:rPr>
                <w:rFonts w:eastAsia="SimSun"/>
                <w:szCs w:val="22"/>
                <w:lang w:eastAsia="zh-CN"/>
              </w:rPr>
              <w:t>a.</w:t>
            </w:r>
            <w:r>
              <w:rPr>
                <w:rFonts w:eastAsia="SimSun"/>
                <w:szCs w:val="22"/>
                <w:lang w:eastAsia="zh-CN"/>
              </w:rPr>
              <w:tab/>
            </w:r>
            <w:r w:rsidRPr="00A00BCC">
              <w:rPr>
                <w:rFonts w:eastAsia="SimSun"/>
                <w:szCs w:val="22"/>
                <w:lang w:eastAsia="zh-CN"/>
              </w:rPr>
              <w:t>Both aim to guide businesses in reporting</w:t>
            </w:r>
            <w:r>
              <w:rPr>
                <w:rFonts w:eastAsia="SimSun"/>
                <w:szCs w:val="22"/>
                <w:lang w:eastAsia="zh-CN"/>
              </w:rPr>
              <w:t xml:space="preserve"> </w:t>
            </w:r>
            <w:r w:rsidRPr="00A00BCC">
              <w:rPr>
                <w:rFonts w:eastAsia="SimSun"/>
                <w:szCs w:val="22"/>
                <w:lang w:eastAsia="zh-CN"/>
              </w:rPr>
              <w:t>financial information that is relevant and that faithfully represents the underlying</w:t>
            </w:r>
            <w:r>
              <w:rPr>
                <w:rFonts w:eastAsia="SimSun"/>
                <w:szCs w:val="22"/>
                <w:lang w:eastAsia="zh-CN"/>
              </w:rPr>
              <w:t xml:space="preserve"> </w:t>
            </w:r>
            <w:r w:rsidRPr="00A00BCC">
              <w:rPr>
                <w:rFonts w:eastAsia="SimSun"/>
                <w:szCs w:val="22"/>
                <w:lang w:eastAsia="zh-CN"/>
              </w:rPr>
              <w:t xml:space="preserve">activities of businesses. </w:t>
            </w:r>
          </w:p>
        </w:tc>
        <w:tc>
          <w:tcPr>
            <w:tcW w:w="2862" w:type="dxa"/>
            <w:tcBorders>
              <w:left w:val="single" w:sz="4" w:space="0" w:color="auto"/>
            </w:tcBorders>
          </w:tcPr>
          <w:p w14:paraId="523DCD7D" w14:textId="77777777" w:rsidR="00A00BCC" w:rsidRDefault="00A00BCC" w:rsidP="009D5DA1">
            <w:pPr>
              <w:pStyle w:val="TableBody"/>
              <w:rPr>
                <w:rFonts w:eastAsia="SimSun"/>
                <w:szCs w:val="22"/>
                <w:lang w:eastAsia="zh-CN"/>
              </w:rPr>
            </w:pPr>
          </w:p>
        </w:tc>
      </w:tr>
    </w:tbl>
    <w:p w14:paraId="4C24D811" w14:textId="77777777" w:rsidR="00A00BCC" w:rsidRPr="004F07E1" w:rsidRDefault="00A00BCC" w:rsidP="00A00BCC">
      <w:pPr>
        <w:rPr>
          <w:sz w:val="4"/>
          <w:szCs w:val="4"/>
        </w:rPr>
      </w:pPr>
      <w:r>
        <w:br w:type="page"/>
      </w:r>
    </w:p>
    <w:tbl>
      <w:tblPr>
        <w:tblW w:w="0" w:type="auto"/>
        <w:tblLayout w:type="fixed"/>
        <w:tblLook w:val="01E0" w:firstRow="1" w:lastRow="1" w:firstColumn="1" w:lastColumn="1" w:noHBand="0" w:noVBand="0"/>
      </w:tblPr>
      <w:tblGrid>
        <w:gridCol w:w="6498"/>
        <w:gridCol w:w="2862"/>
      </w:tblGrid>
      <w:tr w:rsidR="00A00BCC" w:rsidRPr="00CD480D" w14:paraId="7D394780" w14:textId="77777777" w:rsidTr="00101039">
        <w:tc>
          <w:tcPr>
            <w:tcW w:w="6498" w:type="dxa"/>
            <w:tcBorders>
              <w:right w:val="single" w:sz="4" w:space="0" w:color="auto"/>
            </w:tcBorders>
          </w:tcPr>
          <w:p w14:paraId="3C81E954" w14:textId="77777777" w:rsidR="00A00BCC" w:rsidRPr="00507ED2" w:rsidRDefault="00A00BCC" w:rsidP="00101039">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5EE11D98" w14:textId="77777777" w:rsidR="00A00BCC" w:rsidRPr="00CD480D" w:rsidRDefault="00A00BCC" w:rsidP="00101039">
            <w:pPr>
              <w:pStyle w:val="Heading1"/>
            </w:pPr>
            <w:r w:rsidRPr="00CD480D">
              <w:t>Teaching Notes</w:t>
            </w:r>
          </w:p>
        </w:tc>
      </w:tr>
      <w:tr w:rsidR="00A00BCC" w14:paraId="5FADC573" w14:textId="77777777">
        <w:tc>
          <w:tcPr>
            <w:tcW w:w="6498" w:type="dxa"/>
            <w:tcBorders>
              <w:right w:val="single" w:sz="4" w:space="0" w:color="auto"/>
            </w:tcBorders>
          </w:tcPr>
          <w:p w14:paraId="1979004C" w14:textId="77777777" w:rsidR="00A00BCC" w:rsidRPr="00A00BCC" w:rsidRDefault="00A00BCC" w:rsidP="00A00BCC">
            <w:pPr>
              <w:pStyle w:val="TableBody"/>
              <w:ind w:left="1440" w:hanging="288"/>
              <w:rPr>
                <w:rFonts w:eastAsia="SimSun"/>
                <w:b/>
                <w:szCs w:val="22"/>
                <w:lang w:eastAsia="zh-CN"/>
              </w:rPr>
            </w:pPr>
            <w:r>
              <w:rPr>
                <w:rFonts w:eastAsia="SimSun"/>
                <w:szCs w:val="22"/>
                <w:lang w:eastAsia="zh-CN"/>
              </w:rPr>
              <w:t>b.</w:t>
            </w:r>
            <w:r>
              <w:rPr>
                <w:rFonts w:eastAsia="SimSun"/>
                <w:szCs w:val="22"/>
                <w:lang w:eastAsia="zh-CN"/>
              </w:rPr>
              <w:tab/>
            </w:r>
            <w:r w:rsidRPr="00A00BCC">
              <w:rPr>
                <w:rFonts w:eastAsia="SimSun"/>
                <w:szCs w:val="22"/>
                <w:lang w:eastAsia="zh-CN"/>
              </w:rPr>
              <w:t>At a basic level, these accounting rules</w:t>
            </w:r>
            <w:r>
              <w:rPr>
                <w:rFonts w:eastAsia="SimSun"/>
                <w:szCs w:val="22"/>
                <w:lang w:eastAsia="zh-CN"/>
              </w:rPr>
              <w:t xml:space="preserve"> describe:</w:t>
            </w:r>
          </w:p>
        </w:tc>
        <w:tc>
          <w:tcPr>
            <w:tcW w:w="2862" w:type="dxa"/>
            <w:tcBorders>
              <w:left w:val="single" w:sz="4" w:space="0" w:color="auto"/>
            </w:tcBorders>
          </w:tcPr>
          <w:p w14:paraId="520D34C2" w14:textId="77777777" w:rsidR="00A00BCC" w:rsidRDefault="00A00BCC" w:rsidP="009D5DA1">
            <w:pPr>
              <w:pStyle w:val="TableBody"/>
              <w:rPr>
                <w:rFonts w:eastAsia="SimSun"/>
                <w:szCs w:val="22"/>
                <w:lang w:eastAsia="zh-CN"/>
              </w:rPr>
            </w:pPr>
          </w:p>
        </w:tc>
      </w:tr>
      <w:tr w:rsidR="00A00BCC" w14:paraId="1FDB27C9" w14:textId="77777777">
        <w:tc>
          <w:tcPr>
            <w:tcW w:w="6498" w:type="dxa"/>
            <w:tcBorders>
              <w:right w:val="single" w:sz="4" w:space="0" w:color="auto"/>
            </w:tcBorders>
          </w:tcPr>
          <w:p w14:paraId="287CB7DA" w14:textId="77777777" w:rsidR="00A00BCC" w:rsidRPr="00A00BCC" w:rsidRDefault="00A00BCC" w:rsidP="00A00BCC">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t>W</w:t>
            </w:r>
            <w:r w:rsidRPr="00A00BCC">
              <w:rPr>
                <w:rFonts w:eastAsia="SimSun"/>
                <w:szCs w:val="22"/>
                <w:lang w:eastAsia="zh-CN"/>
              </w:rPr>
              <w:t>hen an</w:t>
            </w:r>
            <w:r>
              <w:rPr>
                <w:rFonts w:eastAsia="SimSun"/>
                <w:szCs w:val="22"/>
                <w:lang w:eastAsia="zh-CN"/>
              </w:rPr>
              <w:t xml:space="preserve"> </w:t>
            </w:r>
            <w:r w:rsidRPr="00A00BCC">
              <w:rPr>
                <w:rFonts w:eastAsia="SimSun"/>
                <w:szCs w:val="22"/>
                <w:lang w:eastAsia="zh-CN"/>
              </w:rPr>
              <w:t>item should be recognized</w:t>
            </w:r>
            <w:r>
              <w:rPr>
                <w:rFonts w:eastAsia="SimSun"/>
                <w:szCs w:val="22"/>
                <w:lang w:eastAsia="zh-CN"/>
              </w:rPr>
              <w:t>.</w:t>
            </w:r>
          </w:p>
        </w:tc>
        <w:tc>
          <w:tcPr>
            <w:tcW w:w="2862" w:type="dxa"/>
            <w:tcBorders>
              <w:left w:val="single" w:sz="4" w:space="0" w:color="auto"/>
            </w:tcBorders>
          </w:tcPr>
          <w:p w14:paraId="53A5EF53" w14:textId="77777777" w:rsidR="00A00BCC" w:rsidRDefault="00A00BCC" w:rsidP="009D5DA1">
            <w:pPr>
              <w:pStyle w:val="TableBody"/>
              <w:rPr>
                <w:rFonts w:eastAsia="SimSun"/>
                <w:szCs w:val="22"/>
                <w:lang w:eastAsia="zh-CN"/>
              </w:rPr>
            </w:pPr>
          </w:p>
        </w:tc>
      </w:tr>
      <w:tr w:rsidR="00A00BCC" w14:paraId="4C6259C2" w14:textId="77777777">
        <w:tc>
          <w:tcPr>
            <w:tcW w:w="6498" w:type="dxa"/>
            <w:tcBorders>
              <w:right w:val="single" w:sz="4" w:space="0" w:color="auto"/>
            </w:tcBorders>
          </w:tcPr>
          <w:p w14:paraId="3591FB53" w14:textId="77777777" w:rsidR="00A00BCC" w:rsidRPr="00A00BCC" w:rsidRDefault="00A00BCC" w:rsidP="00A00BCC">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H</w:t>
            </w:r>
            <w:r w:rsidRPr="00A00BCC">
              <w:rPr>
                <w:rFonts w:eastAsia="SimSun"/>
                <w:szCs w:val="22"/>
                <w:lang w:eastAsia="zh-CN"/>
              </w:rPr>
              <w:t>ow that item should be classified</w:t>
            </w:r>
            <w:r>
              <w:rPr>
                <w:rFonts w:eastAsia="SimSun"/>
                <w:szCs w:val="22"/>
                <w:lang w:eastAsia="zh-CN"/>
              </w:rPr>
              <w:t xml:space="preserve"> </w:t>
            </w:r>
            <w:r w:rsidRPr="00A00BCC">
              <w:rPr>
                <w:rFonts w:eastAsia="SimSun"/>
                <w:szCs w:val="22"/>
                <w:lang w:eastAsia="zh-CN"/>
              </w:rPr>
              <w:t>(e.g., asset or expense, revenue or liability)</w:t>
            </w:r>
            <w:r>
              <w:rPr>
                <w:rFonts w:eastAsia="SimSun"/>
                <w:szCs w:val="22"/>
                <w:lang w:eastAsia="zh-CN"/>
              </w:rPr>
              <w:t>.</w:t>
            </w:r>
          </w:p>
        </w:tc>
        <w:tc>
          <w:tcPr>
            <w:tcW w:w="2862" w:type="dxa"/>
            <w:tcBorders>
              <w:left w:val="single" w:sz="4" w:space="0" w:color="auto"/>
            </w:tcBorders>
          </w:tcPr>
          <w:p w14:paraId="3C63668F" w14:textId="77777777" w:rsidR="00A00BCC" w:rsidRDefault="00A00BCC" w:rsidP="009D5DA1">
            <w:pPr>
              <w:pStyle w:val="TableBody"/>
              <w:rPr>
                <w:rFonts w:eastAsia="SimSun"/>
                <w:szCs w:val="22"/>
                <w:lang w:eastAsia="zh-CN"/>
              </w:rPr>
            </w:pPr>
          </w:p>
        </w:tc>
      </w:tr>
      <w:tr w:rsidR="00A00BCC" w14:paraId="03695372" w14:textId="77777777">
        <w:tc>
          <w:tcPr>
            <w:tcW w:w="6498" w:type="dxa"/>
            <w:tcBorders>
              <w:right w:val="single" w:sz="4" w:space="0" w:color="auto"/>
            </w:tcBorders>
          </w:tcPr>
          <w:p w14:paraId="741A5133" w14:textId="77777777" w:rsidR="00A00BCC" w:rsidRPr="00A00BCC" w:rsidRDefault="00A00BCC" w:rsidP="00A00BCC">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t xml:space="preserve">How the </w:t>
            </w:r>
            <w:r w:rsidRPr="00A00BCC">
              <w:rPr>
                <w:rFonts w:eastAsia="SimSun"/>
                <w:szCs w:val="22"/>
                <w:lang w:eastAsia="zh-CN"/>
              </w:rPr>
              <w:t>amount at which each item</w:t>
            </w:r>
            <w:r>
              <w:rPr>
                <w:rFonts w:eastAsia="SimSun"/>
                <w:szCs w:val="22"/>
                <w:lang w:eastAsia="zh-CN"/>
              </w:rPr>
              <w:t xml:space="preserve"> </w:t>
            </w:r>
            <w:r w:rsidRPr="00A00BCC">
              <w:rPr>
                <w:rFonts w:eastAsia="SimSun"/>
                <w:szCs w:val="22"/>
                <w:lang w:eastAsia="zh-CN"/>
              </w:rPr>
              <w:t>should be measured</w:t>
            </w:r>
            <w:r>
              <w:rPr>
                <w:rFonts w:eastAsia="SimSun"/>
                <w:szCs w:val="22"/>
                <w:lang w:eastAsia="zh-CN"/>
              </w:rPr>
              <w:t>.</w:t>
            </w:r>
          </w:p>
        </w:tc>
        <w:tc>
          <w:tcPr>
            <w:tcW w:w="2862" w:type="dxa"/>
            <w:tcBorders>
              <w:left w:val="single" w:sz="4" w:space="0" w:color="auto"/>
            </w:tcBorders>
          </w:tcPr>
          <w:p w14:paraId="30A9F6AF" w14:textId="77777777" w:rsidR="00A00BCC" w:rsidRDefault="00A00BCC" w:rsidP="009D5DA1">
            <w:pPr>
              <w:pStyle w:val="TableBody"/>
              <w:rPr>
                <w:rFonts w:eastAsia="SimSun"/>
                <w:szCs w:val="22"/>
                <w:lang w:eastAsia="zh-CN"/>
              </w:rPr>
            </w:pPr>
          </w:p>
        </w:tc>
      </w:tr>
      <w:tr w:rsidR="00A00BCC" w14:paraId="12F7F1A4" w14:textId="77777777">
        <w:tc>
          <w:tcPr>
            <w:tcW w:w="6498" w:type="dxa"/>
            <w:tcBorders>
              <w:right w:val="single" w:sz="4" w:space="0" w:color="auto"/>
            </w:tcBorders>
          </w:tcPr>
          <w:p w14:paraId="7AB2F4E8" w14:textId="77777777" w:rsidR="00A00BCC" w:rsidRPr="00A00BCC" w:rsidRDefault="00A00BCC" w:rsidP="00A00BCC">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Pr="00A00BCC">
              <w:rPr>
                <w:rFonts w:eastAsia="SimSun"/>
                <w:szCs w:val="22"/>
                <w:lang w:eastAsia="zh-CN"/>
              </w:rPr>
              <w:t>Although some exceptions exist, both IFRS and GAAP require that items be</w:t>
            </w:r>
            <w:r>
              <w:rPr>
                <w:rFonts w:eastAsia="SimSun"/>
                <w:szCs w:val="22"/>
                <w:lang w:eastAsia="zh-CN"/>
              </w:rPr>
              <w:t xml:space="preserve"> </w:t>
            </w:r>
            <w:r w:rsidRPr="00A00BCC">
              <w:rPr>
                <w:rFonts w:eastAsia="SimSun"/>
                <w:szCs w:val="22"/>
                <w:lang w:eastAsia="zh-CN"/>
              </w:rPr>
              <w:t xml:space="preserve">recorded only after an exchange between the company and another party. </w:t>
            </w:r>
          </w:p>
        </w:tc>
        <w:tc>
          <w:tcPr>
            <w:tcW w:w="2862" w:type="dxa"/>
            <w:tcBorders>
              <w:left w:val="single" w:sz="4" w:space="0" w:color="auto"/>
            </w:tcBorders>
          </w:tcPr>
          <w:p w14:paraId="3E6A66D6" w14:textId="77777777" w:rsidR="00A00BCC" w:rsidRDefault="00A00BCC" w:rsidP="009D5DA1">
            <w:pPr>
              <w:pStyle w:val="TableBody"/>
              <w:rPr>
                <w:rFonts w:eastAsia="SimSun"/>
                <w:szCs w:val="22"/>
                <w:lang w:eastAsia="zh-CN"/>
              </w:rPr>
            </w:pPr>
          </w:p>
        </w:tc>
      </w:tr>
      <w:tr w:rsidR="00A00BCC" w14:paraId="44374E04" w14:textId="77777777">
        <w:tc>
          <w:tcPr>
            <w:tcW w:w="6498" w:type="dxa"/>
            <w:tcBorders>
              <w:right w:val="single" w:sz="4" w:space="0" w:color="auto"/>
            </w:tcBorders>
          </w:tcPr>
          <w:p w14:paraId="4CFDE882" w14:textId="77777777" w:rsidR="00A00BCC" w:rsidRPr="00A00BCC" w:rsidRDefault="00A00BCC" w:rsidP="00A00BCC">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r>
            <w:r w:rsidRPr="00A00BCC">
              <w:rPr>
                <w:rFonts w:eastAsia="SimSun"/>
                <w:szCs w:val="22"/>
                <w:lang w:eastAsia="zh-CN"/>
              </w:rPr>
              <w:t>Initially,</w:t>
            </w:r>
            <w:r>
              <w:rPr>
                <w:rFonts w:eastAsia="SimSun"/>
                <w:szCs w:val="22"/>
                <w:lang w:eastAsia="zh-CN"/>
              </w:rPr>
              <w:t xml:space="preserve"> </w:t>
            </w:r>
            <w:r w:rsidRPr="00A00BCC">
              <w:rPr>
                <w:rFonts w:eastAsia="SimSun"/>
                <w:szCs w:val="22"/>
                <w:lang w:eastAsia="zh-CN"/>
              </w:rPr>
              <w:t>these items are recorded at the value they enter the company (called the entry price or</w:t>
            </w:r>
            <w:r>
              <w:rPr>
                <w:rFonts w:eastAsia="SimSun"/>
                <w:szCs w:val="22"/>
                <w:lang w:eastAsia="zh-CN"/>
              </w:rPr>
              <w:t xml:space="preserve"> </w:t>
            </w:r>
            <w:r w:rsidRPr="00A00BCC">
              <w:rPr>
                <w:rFonts w:eastAsia="SimSun"/>
                <w:szCs w:val="22"/>
                <w:lang w:eastAsia="zh-CN"/>
              </w:rPr>
              <w:t xml:space="preserve">historical cost). </w:t>
            </w:r>
          </w:p>
        </w:tc>
        <w:tc>
          <w:tcPr>
            <w:tcW w:w="2862" w:type="dxa"/>
            <w:tcBorders>
              <w:left w:val="single" w:sz="4" w:space="0" w:color="auto"/>
            </w:tcBorders>
          </w:tcPr>
          <w:p w14:paraId="43CDAB74" w14:textId="77777777" w:rsidR="00A00BCC" w:rsidRDefault="00A00BCC" w:rsidP="009D5DA1">
            <w:pPr>
              <w:pStyle w:val="TableBody"/>
              <w:rPr>
                <w:rFonts w:eastAsia="SimSun"/>
                <w:szCs w:val="22"/>
                <w:lang w:eastAsia="zh-CN"/>
              </w:rPr>
            </w:pPr>
          </w:p>
        </w:tc>
      </w:tr>
      <w:tr w:rsidR="00A00BCC" w14:paraId="70A4E76C" w14:textId="77777777">
        <w:tc>
          <w:tcPr>
            <w:tcW w:w="6498" w:type="dxa"/>
            <w:tcBorders>
              <w:right w:val="single" w:sz="4" w:space="0" w:color="auto"/>
            </w:tcBorders>
          </w:tcPr>
          <w:p w14:paraId="18B8D73B" w14:textId="77777777" w:rsidR="00A00BCC" w:rsidRPr="00A00BCC" w:rsidRDefault="00A00BCC" w:rsidP="00A00BCC">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r>
            <w:r w:rsidRPr="00A00BCC">
              <w:rPr>
                <w:rFonts w:eastAsia="SimSun"/>
                <w:szCs w:val="22"/>
                <w:lang w:eastAsia="zh-CN"/>
              </w:rPr>
              <w:t>Later, this value may be revised (upwards or downwards) as a result of</w:t>
            </w:r>
            <w:r>
              <w:rPr>
                <w:rFonts w:eastAsia="SimSun"/>
                <w:szCs w:val="22"/>
                <w:lang w:eastAsia="zh-CN"/>
              </w:rPr>
              <w:t xml:space="preserve"> </w:t>
            </w:r>
            <w:r w:rsidRPr="00A00BCC">
              <w:rPr>
                <w:rFonts w:eastAsia="SimSun"/>
                <w:szCs w:val="22"/>
                <w:lang w:eastAsia="zh-CN"/>
              </w:rPr>
              <w:t xml:space="preserve">events or changes in circumstances. </w:t>
            </w:r>
          </w:p>
        </w:tc>
        <w:tc>
          <w:tcPr>
            <w:tcW w:w="2862" w:type="dxa"/>
            <w:tcBorders>
              <w:left w:val="single" w:sz="4" w:space="0" w:color="auto"/>
            </w:tcBorders>
          </w:tcPr>
          <w:p w14:paraId="0625BBDE" w14:textId="77777777" w:rsidR="00A00BCC" w:rsidRDefault="00A00BCC" w:rsidP="009D5DA1">
            <w:pPr>
              <w:pStyle w:val="TableBody"/>
              <w:rPr>
                <w:rFonts w:eastAsia="SimSun"/>
                <w:szCs w:val="22"/>
                <w:lang w:eastAsia="zh-CN"/>
              </w:rPr>
            </w:pPr>
          </w:p>
        </w:tc>
      </w:tr>
      <w:tr w:rsidR="00A00BCC" w14:paraId="6A8DBFC7" w14:textId="77777777">
        <w:tc>
          <w:tcPr>
            <w:tcW w:w="6498" w:type="dxa"/>
            <w:tcBorders>
              <w:right w:val="single" w:sz="4" w:space="0" w:color="auto"/>
            </w:tcBorders>
          </w:tcPr>
          <w:p w14:paraId="014F07C9" w14:textId="77777777" w:rsidR="00A00BCC" w:rsidRPr="00A00BCC" w:rsidRDefault="00A00BCC" w:rsidP="004F07E1">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r>
            <w:r w:rsidRPr="00A00BCC">
              <w:rPr>
                <w:rFonts w:eastAsia="SimSun"/>
                <w:szCs w:val="22"/>
                <w:lang w:eastAsia="zh-CN"/>
              </w:rPr>
              <w:t xml:space="preserve">The new value may be </w:t>
            </w:r>
            <w:r w:rsidR="004F07E1">
              <w:rPr>
                <w:rFonts w:eastAsia="SimSun"/>
                <w:szCs w:val="22"/>
                <w:lang w:eastAsia="zh-CN"/>
              </w:rPr>
              <w:br/>
            </w:r>
            <w:r w:rsidRPr="00A00BCC">
              <w:rPr>
                <w:rFonts w:eastAsia="SimSun"/>
                <w:szCs w:val="22"/>
                <w:lang w:eastAsia="zh-CN"/>
              </w:rPr>
              <w:t xml:space="preserve">(a) </w:t>
            </w:r>
            <w:r w:rsidR="004F07E1">
              <w:rPr>
                <w:rFonts w:eastAsia="SimSun"/>
                <w:szCs w:val="22"/>
                <w:lang w:eastAsia="zh-CN"/>
              </w:rPr>
              <w:t>T</w:t>
            </w:r>
            <w:r w:rsidRPr="00A00BCC">
              <w:rPr>
                <w:rFonts w:eastAsia="SimSun"/>
                <w:szCs w:val="22"/>
                <w:lang w:eastAsia="zh-CN"/>
              </w:rPr>
              <w:t>he entry price adjusted</w:t>
            </w:r>
            <w:r>
              <w:rPr>
                <w:rFonts w:eastAsia="SimSun"/>
                <w:szCs w:val="22"/>
                <w:lang w:eastAsia="zh-CN"/>
              </w:rPr>
              <w:t xml:space="preserve"> </w:t>
            </w:r>
            <w:r w:rsidRPr="00A00BCC">
              <w:rPr>
                <w:rFonts w:eastAsia="SimSun"/>
                <w:szCs w:val="22"/>
                <w:lang w:eastAsia="zh-CN"/>
              </w:rPr>
              <w:t>for items such as</w:t>
            </w:r>
            <w:r w:rsidR="004F07E1">
              <w:rPr>
                <w:rFonts w:eastAsia="SimSun"/>
                <w:szCs w:val="22"/>
                <w:lang w:eastAsia="zh-CN"/>
              </w:rPr>
              <w:br/>
              <w:t xml:space="preserve">     </w:t>
            </w:r>
            <w:r w:rsidRPr="00A00BCC">
              <w:rPr>
                <w:rFonts w:eastAsia="SimSun"/>
                <w:szCs w:val="22"/>
                <w:lang w:eastAsia="zh-CN"/>
              </w:rPr>
              <w:t xml:space="preserve"> interest, depreciation, and amortization, </w:t>
            </w:r>
            <w:r w:rsidR="004F07E1">
              <w:rPr>
                <w:rFonts w:eastAsia="SimSun"/>
                <w:szCs w:val="22"/>
                <w:lang w:eastAsia="zh-CN"/>
              </w:rPr>
              <w:br/>
            </w:r>
            <w:r w:rsidRPr="00A00BCC">
              <w:rPr>
                <w:rFonts w:eastAsia="SimSun"/>
                <w:szCs w:val="22"/>
                <w:lang w:eastAsia="zh-CN"/>
              </w:rPr>
              <w:t xml:space="preserve">(b) </w:t>
            </w:r>
            <w:r w:rsidR="004F07E1">
              <w:rPr>
                <w:rFonts w:eastAsia="SimSun"/>
                <w:szCs w:val="22"/>
                <w:lang w:eastAsia="zh-CN"/>
              </w:rPr>
              <w:t>A</w:t>
            </w:r>
            <w:r w:rsidRPr="00A00BCC">
              <w:rPr>
                <w:rFonts w:eastAsia="SimSun"/>
                <w:szCs w:val="22"/>
                <w:lang w:eastAsia="zh-CN"/>
              </w:rPr>
              <w:t xml:space="preserve"> current market price,</w:t>
            </w:r>
            <w:r>
              <w:rPr>
                <w:rFonts w:eastAsia="SimSun"/>
                <w:szCs w:val="22"/>
                <w:lang w:eastAsia="zh-CN"/>
              </w:rPr>
              <w:t xml:space="preserve"> </w:t>
            </w:r>
            <w:r w:rsidRPr="00A00BCC">
              <w:rPr>
                <w:rFonts w:eastAsia="SimSun"/>
                <w:szCs w:val="22"/>
                <w:lang w:eastAsia="zh-CN"/>
              </w:rPr>
              <w:t xml:space="preserve">or </w:t>
            </w:r>
            <w:r w:rsidR="004F07E1">
              <w:rPr>
                <w:rFonts w:eastAsia="SimSun"/>
                <w:szCs w:val="22"/>
                <w:lang w:eastAsia="zh-CN"/>
              </w:rPr>
              <w:br/>
            </w:r>
            <w:r w:rsidRPr="00A00BCC">
              <w:rPr>
                <w:rFonts w:eastAsia="SimSun"/>
                <w:szCs w:val="22"/>
                <w:lang w:eastAsia="zh-CN"/>
              </w:rPr>
              <w:t xml:space="preserve">(c) </w:t>
            </w:r>
            <w:r w:rsidR="004F07E1">
              <w:rPr>
                <w:rFonts w:eastAsia="SimSun"/>
                <w:szCs w:val="22"/>
                <w:lang w:eastAsia="zh-CN"/>
              </w:rPr>
              <w:t>A</w:t>
            </w:r>
            <w:r w:rsidRPr="00A00BCC">
              <w:rPr>
                <w:rFonts w:eastAsia="SimSun"/>
                <w:szCs w:val="22"/>
                <w:lang w:eastAsia="zh-CN"/>
              </w:rPr>
              <w:t>nother computed amount (such as the fair</w:t>
            </w:r>
            <w:r w:rsidR="004F07E1">
              <w:rPr>
                <w:rFonts w:eastAsia="SimSun"/>
                <w:szCs w:val="22"/>
                <w:lang w:eastAsia="zh-CN"/>
              </w:rPr>
              <w:br/>
              <w:t xml:space="preserve">     </w:t>
            </w:r>
            <w:r w:rsidRPr="00A00BCC">
              <w:rPr>
                <w:rFonts w:eastAsia="SimSun"/>
                <w:szCs w:val="22"/>
                <w:lang w:eastAsia="zh-CN"/>
              </w:rPr>
              <w:t xml:space="preserve"> value or exit price that the company</w:t>
            </w:r>
            <w:r>
              <w:rPr>
                <w:rFonts w:eastAsia="SimSun"/>
                <w:szCs w:val="22"/>
                <w:lang w:eastAsia="zh-CN"/>
              </w:rPr>
              <w:t xml:space="preserve"> </w:t>
            </w:r>
            <w:r w:rsidRPr="00A00BCC">
              <w:rPr>
                <w:rFonts w:eastAsia="SimSun"/>
                <w:szCs w:val="22"/>
                <w:lang w:eastAsia="zh-CN"/>
              </w:rPr>
              <w:t>would</w:t>
            </w:r>
            <w:r w:rsidR="004F07E1">
              <w:rPr>
                <w:rFonts w:eastAsia="SimSun"/>
                <w:szCs w:val="22"/>
                <w:lang w:eastAsia="zh-CN"/>
              </w:rPr>
              <w:br/>
              <w:t xml:space="preserve">    </w:t>
            </w:r>
            <w:r w:rsidRPr="00A00BCC">
              <w:rPr>
                <w:rFonts w:eastAsia="SimSun"/>
                <w:szCs w:val="22"/>
                <w:lang w:eastAsia="zh-CN"/>
              </w:rPr>
              <w:t xml:space="preserve"> </w:t>
            </w:r>
            <w:r w:rsidR="004F07E1">
              <w:rPr>
                <w:rFonts w:eastAsia="SimSun"/>
                <w:szCs w:val="22"/>
                <w:lang w:eastAsia="zh-CN"/>
              </w:rPr>
              <w:t xml:space="preserve"> </w:t>
            </w:r>
            <w:r w:rsidRPr="00A00BCC">
              <w:rPr>
                <w:rFonts w:eastAsia="SimSun"/>
                <w:szCs w:val="22"/>
                <w:lang w:eastAsia="zh-CN"/>
              </w:rPr>
              <w:t>receive or pay in the future for that item).</w:t>
            </w:r>
          </w:p>
        </w:tc>
        <w:tc>
          <w:tcPr>
            <w:tcW w:w="2862" w:type="dxa"/>
            <w:tcBorders>
              <w:left w:val="single" w:sz="4" w:space="0" w:color="auto"/>
            </w:tcBorders>
          </w:tcPr>
          <w:p w14:paraId="4FEA4CB6" w14:textId="77777777" w:rsidR="00A00BCC" w:rsidRDefault="00A00BCC" w:rsidP="009D5DA1">
            <w:pPr>
              <w:pStyle w:val="TableBody"/>
              <w:rPr>
                <w:rFonts w:eastAsia="SimSun"/>
                <w:szCs w:val="22"/>
                <w:lang w:eastAsia="zh-CN"/>
              </w:rPr>
            </w:pPr>
          </w:p>
        </w:tc>
      </w:tr>
      <w:tr w:rsidR="00A00BCC" w14:paraId="1D019300" w14:textId="77777777">
        <w:tc>
          <w:tcPr>
            <w:tcW w:w="6498" w:type="dxa"/>
            <w:tcBorders>
              <w:right w:val="single" w:sz="4" w:space="0" w:color="auto"/>
            </w:tcBorders>
          </w:tcPr>
          <w:p w14:paraId="5B031C8B" w14:textId="77777777" w:rsidR="00A00BCC" w:rsidRDefault="00A00BCC" w:rsidP="00A00BCC">
            <w:pPr>
              <w:pStyle w:val="TableBody"/>
              <w:ind w:left="1440" w:hanging="288"/>
              <w:rPr>
                <w:rFonts w:eastAsia="SimSun"/>
                <w:szCs w:val="22"/>
                <w:lang w:eastAsia="zh-CN"/>
              </w:rPr>
            </w:pPr>
            <w:r>
              <w:rPr>
                <w:rFonts w:eastAsia="SimSun"/>
                <w:szCs w:val="22"/>
                <w:lang w:eastAsia="zh-CN"/>
              </w:rPr>
              <w:t>d.</w:t>
            </w:r>
            <w:r>
              <w:rPr>
                <w:rFonts w:eastAsia="SimSun"/>
                <w:szCs w:val="22"/>
                <w:lang w:eastAsia="zh-CN"/>
              </w:rPr>
              <w:tab/>
            </w:r>
            <w:r w:rsidRPr="00A00BCC">
              <w:rPr>
                <w:rFonts w:eastAsia="SimSun"/>
                <w:szCs w:val="22"/>
                <w:lang w:eastAsia="zh-CN"/>
              </w:rPr>
              <w:t>Many differences between IFRS and GAAP relate to cases where IFRS requires or allows companies to report items using values that differ from those required or allowed by GAAP.</w:t>
            </w:r>
          </w:p>
        </w:tc>
        <w:tc>
          <w:tcPr>
            <w:tcW w:w="2862" w:type="dxa"/>
            <w:tcBorders>
              <w:left w:val="single" w:sz="4" w:space="0" w:color="auto"/>
            </w:tcBorders>
          </w:tcPr>
          <w:p w14:paraId="216AE5E0" w14:textId="77777777" w:rsidR="00A00BCC" w:rsidRDefault="00A00BCC" w:rsidP="009D5DA1">
            <w:pPr>
              <w:pStyle w:val="TableBody"/>
              <w:rPr>
                <w:rFonts w:eastAsia="SimSun"/>
                <w:szCs w:val="22"/>
                <w:lang w:eastAsia="zh-CN"/>
              </w:rPr>
            </w:pPr>
          </w:p>
        </w:tc>
      </w:tr>
      <w:tr w:rsidR="00A00BCC" w14:paraId="68EAB7BB" w14:textId="77777777">
        <w:tc>
          <w:tcPr>
            <w:tcW w:w="6498" w:type="dxa"/>
            <w:tcBorders>
              <w:right w:val="single" w:sz="4" w:space="0" w:color="auto"/>
            </w:tcBorders>
          </w:tcPr>
          <w:p w14:paraId="60712B8F" w14:textId="77777777" w:rsidR="00A00BCC" w:rsidRPr="00A00BCC" w:rsidRDefault="00A00BCC" w:rsidP="00A00BCC">
            <w:pPr>
              <w:pStyle w:val="TableBody"/>
              <w:ind w:left="576"/>
            </w:pPr>
            <w:r>
              <w:t>B.</w:t>
            </w:r>
            <w:r>
              <w:tab/>
            </w:r>
            <w:r w:rsidRPr="00A00BCC">
              <w:t>Specific Topics Integrated in Earlier Chapters</w:t>
            </w:r>
          </w:p>
        </w:tc>
        <w:tc>
          <w:tcPr>
            <w:tcW w:w="2862" w:type="dxa"/>
            <w:tcBorders>
              <w:left w:val="single" w:sz="4" w:space="0" w:color="auto"/>
            </w:tcBorders>
          </w:tcPr>
          <w:p w14:paraId="70A0EE81" w14:textId="77777777" w:rsidR="00A00BCC" w:rsidRDefault="00A00BCC" w:rsidP="009D5DA1">
            <w:pPr>
              <w:pStyle w:val="TableBody"/>
              <w:rPr>
                <w:rFonts w:eastAsia="SimSun"/>
                <w:szCs w:val="22"/>
                <w:lang w:eastAsia="zh-CN"/>
              </w:rPr>
            </w:pPr>
          </w:p>
        </w:tc>
      </w:tr>
      <w:tr w:rsidR="00A00BCC" w14:paraId="17C91083" w14:textId="77777777">
        <w:tc>
          <w:tcPr>
            <w:tcW w:w="6498" w:type="dxa"/>
            <w:tcBorders>
              <w:right w:val="single" w:sz="4" w:space="0" w:color="auto"/>
            </w:tcBorders>
          </w:tcPr>
          <w:p w14:paraId="0F977E4B" w14:textId="695AF4AE" w:rsidR="00A00BCC" w:rsidRPr="00A00BCC" w:rsidRDefault="00DC12BE" w:rsidP="00051189">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00A00BCC" w:rsidRPr="00660979">
              <w:rPr>
                <w:rFonts w:eastAsia="SimSun"/>
                <w:szCs w:val="22"/>
                <w:lang w:eastAsia="zh-CN"/>
              </w:rPr>
              <w:t>Chapter 1</w:t>
            </w:r>
            <w:r w:rsidR="00051189">
              <w:rPr>
                <w:rFonts w:eastAsia="SimSun"/>
                <w:szCs w:val="22"/>
                <w:lang w:eastAsia="zh-CN"/>
              </w:rPr>
              <w:t xml:space="preserve">: </w:t>
            </w:r>
            <w:r w:rsidR="00A00BCC" w:rsidRPr="00660979">
              <w:rPr>
                <w:rFonts w:eastAsia="SimSun"/>
                <w:szCs w:val="22"/>
                <w:lang w:eastAsia="zh-CN"/>
              </w:rPr>
              <w:t>Discusses the joint work of the Financial Accounting Standards Board and the International Accounting Standards Board to establish accounting rules and a unified conceptual framework.</w:t>
            </w:r>
          </w:p>
        </w:tc>
        <w:tc>
          <w:tcPr>
            <w:tcW w:w="2862" w:type="dxa"/>
            <w:tcBorders>
              <w:left w:val="single" w:sz="4" w:space="0" w:color="auto"/>
            </w:tcBorders>
          </w:tcPr>
          <w:p w14:paraId="41D4B24D" w14:textId="77777777" w:rsidR="00A00BCC" w:rsidRDefault="00A00BCC" w:rsidP="009D5DA1">
            <w:pPr>
              <w:pStyle w:val="TableBody"/>
              <w:rPr>
                <w:rFonts w:eastAsia="SimSun"/>
                <w:szCs w:val="22"/>
                <w:lang w:eastAsia="zh-CN"/>
              </w:rPr>
            </w:pPr>
          </w:p>
        </w:tc>
      </w:tr>
      <w:tr w:rsidR="00DC12BE" w:rsidRPr="00DC12BE" w14:paraId="791047F6" w14:textId="77777777">
        <w:tc>
          <w:tcPr>
            <w:tcW w:w="6498" w:type="dxa"/>
            <w:tcBorders>
              <w:right w:val="single" w:sz="4" w:space="0" w:color="auto"/>
            </w:tcBorders>
          </w:tcPr>
          <w:p w14:paraId="178B3195" w14:textId="616993D2" w:rsidR="00DC12BE" w:rsidRPr="00A00BCC" w:rsidRDefault="00A74679" w:rsidP="00051189">
            <w:pPr>
              <w:pStyle w:val="TableBody"/>
              <w:ind w:left="1152" w:hanging="288"/>
              <w:rPr>
                <w:rFonts w:eastAsia="SimSun"/>
                <w:szCs w:val="22"/>
                <w:lang w:eastAsia="zh-CN"/>
              </w:rPr>
            </w:pPr>
            <w:r>
              <w:rPr>
                <w:rFonts w:eastAsia="SimSun"/>
                <w:szCs w:val="22"/>
                <w:lang w:eastAsia="zh-CN"/>
              </w:rPr>
              <w:t>2</w:t>
            </w:r>
            <w:r w:rsidR="00DC12BE">
              <w:rPr>
                <w:rFonts w:eastAsia="SimSun"/>
                <w:szCs w:val="22"/>
                <w:lang w:eastAsia="zh-CN"/>
              </w:rPr>
              <w:t>.</w:t>
            </w:r>
            <w:r w:rsidR="00DC12BE">
              <w:rPr>
                <w:rFonts w:eastAsia="SimSun"/>
                <w:szCs w:val="22"/>
                <w:lang w:eastAsia="zh-CN"/>
              </w:rPr>
              <w:tab/>
            </w:r>
            <w:r w:rsidR="00DC12BE" w:rsidRPr="00DC12BE">
              <w:rPr>
                <w:rFonts w:eastAsia="SimSun"/>
                <w:szCs w:val="22"/>
                <w:lang w:eastAsia="zh-CN"/>
              </w:rPr>
              <w:t>Chapter 7</w:t>
            </w:r>
            <w:r w:rsidR="00051189">
              <w:rPr>
                <w:rFonts w:eastAsia="SimSun"/>
                <w:szCs w:val="22"/>
                <w:lang w:eastAsia="zh-CN"/>
              </w:rPr>
              <w:t xml:space="preserve">: </w:t>
            </w:r>
            <w:r w:rsidR="00DC12BE" w:rsidRPr="00DC12BE">
              <w:rPr>
                <w:rFonts w:eastAsia="SimSun"/>
                <w:szCs w:val="22"/>
                <w:lang w:eastAsia="zh-CN"/>
              </w:rPr>
              <w:t xml:space="preserve">Explains that IFRS prohibits LIFO and discusses the potential </w:t>
            </w:r>
            <w:r>
              <w:rPr>
                <w:rFonts w:eastAsia="SimSun"/>
                <w:szCs w:val="22"/>
                <w:lang w:eastAsia="zh-CN"/>
              </w:rPr>
              <w:t>financial</w:t>
            </w:r>
            <w:r w:rsidR="00DC12BE" w:rsidRPr="00DC12BE">
              <w:rPr>
                <w:rFonts w:eastAsia="SimSun"/>
                <w:szCs w:val="22"/>
                <w:lang w:eastAsia="zh-CN"/>
              </w:rPr>
              <w:t xml:space="preserve"> impact of switching to </w:t>
            </w:r>
            <w:r>
              <w:rPr>
                <w:rFonts w:eastAsia="SimSun"/>
                <w:szCs w:val="22"/>
                <w:lang w:eastAsia="zh-CN"/>
              </w:rPr>
              <w:t>from FIFO to LIFO</w:t>
            </w:r>
            <w:r w:rsidR="00DC12BE" w:rsidRPr="00DC12BE">
              <w:rPr>
                <w:rFonts w:eastAsia="SimSun"/>
                <w:szCs w:val="22"/>
                <w:lang w:eastAsia="zh-CN"/>
              </w:rPr>
              <w:t>.</w:t>
            </w:r>
          </w:p>
        </w:tc>
        <w:tc>
          <w:tcPr>
            <w:tcW w:w="2862" w:type="dxa"/>
            <w:tcBorders>
              <w:left w:val="single" w:sz="4" w:space="0" w:color="auto"/>
            </w:tcBorders>
          </w:tcPr>
          <w:p w14:paraId="51F9D940" w14:textId="77777777" w:rsidR="00DC12BE" w:rsidRDefault="00DC12BE" w:rsidP="00DC12BE">
            <w:pPr>
              <w:pStyle w:val="TableBody"/>
              <w:ind w:left="1152" w:hanging="288"/>
              <w:rPr>
                <w:rFonts w:eastAsia="SimSun"/>
                <w:szCs w:val="22"/>
                <w:lang w:eastAsia="zh-CN"/>
              </w:rPr>
            </w:pPr>
          </w:p>
        </w:tc>
      </w:tr>
      <w:tr w:rsidR="00DC12BE" w14:paraId="7688615F" w14:textId="77777777">
        <w:tc>
          <w:tcPr>
            <w:tcW w:w="6498" w:type="dxa"/>
            <w:tcBorders>
              <w:right w:val="single" w:sz="4" w:space="0" w:color="auto"/>
            </w:tcBorders>
          </w:tcPr>
          <w:p w14:paraId="00A58ECC" w14:textId="77777777" w:rsidR="00DC12BE" w:rsidRPr="00660979" w:rsidRDefault="00A74679" w:rsidP="00DC12BE">
            <w:pPr>
              <w:pStyle w:val="TableBody"/>
              <w:ind w:left="864"/>
              <w:rPr>
                <w:rFonts w:eastAsia="SimSun"/>
                <w:szCs w:val="22"/>
                <w:lang w:eastAsia="zh-CN"/>
              </w:rPr>
            </w:pPr>
            <w:r>
              <w:rPr>
                <w:rFonts w:eastAsia="SimSun"/>
                <w:szCs w:val="22"/>
                <w:lang w:eastAsia="zh-CN"/>
              </w:rPr>
              <w:t>3</w:t>
            </w:r>
            <w:r w:rsidR="00DC12BE">
              <w:rPr>
                <w:rFonts w:eastAsia="SimSun"/>
                <w:szCs w:val="22"/>
                <w:lang w:eastAsia="zh-CN"/>
              </w:rPr>
              <w:t>.</w:t>
            </w:r>
            <w:r w:rsidR="00DC12BE">
              <w:rPr>
                <w:rFonts w:eastAsia="SimSun"/>
                <w:szCs w:val="22"/>
                <w:lang w:eastAsia="zh-CN"/>
              </w:rPr>
              <w:tab/>
            </w:r>
            <w:r w:rsidR="00DC12BE" w:rsidRPr="00660979">
              <w:rPr>
                <w:rFonts w:eastAsia="SimSun"/>
                <w:szCs w:val="22"/>
                <w:lang w:eastAsia="zh-CN"/>
              </w:rPr>
              <w:t>Chapter 9:</w:t>
            </w:r>
          </w:p>
          <w:p w14:paraId="6A63E746" w14:textId="77777777" w:rsidR="00DC12BE" w:rsidRPr="00660979" w:rsidRDefault="00DC12BE" w:rsidP="00DC12BE">
            <w:pPr>
              <w:pStyle w:val="TableBody"/>
              <w:numPr>
                <w:ilvl w:val="1"/>
                <w:numId w:val="15"/>
              </w:numPr>
              <w:ind w:left="1440" w:hanging="288"/>
              <w:rPr>
                <w:rFonts w:eastAsia="SimSun"/>
                <w:szCs w:val="22"/>
                <w:lang w:eastAsia="zh-CN"/>
              </w:rPr>
            </w:pPr>
            <w:r w:rsidRPr="00660979">
              <w:rPr>
                <w:rFonts w:eastAsia="SimSun"/>
                <w:szCs w:val="22"/>
                <w:lang w:eastAsia="zh-CN"/>
              </w:rPr>
              <w:t>Discusses IFRS’s accounting for component costs.</w:t>
            </w:r>
          </w:p>
          <w:p w14:paraId="15AC46FE" w14:textId="77777777" w:rsidR="00DC12BE" w:rsidRPr="00660979" w:rsidRDefault="00DC12BE" w:rsidP="00DC12BE">
            <w:pPr>
              <w:pStyle w:val="TableBody"/>
              <w:numPr>
                <w:ilvl w:val="1"/>
                <w:numId w:val="15"/>
              </w:numPr>
              <w:ind w:left="1440" w:hanging="288"/>
              <w:rPr>
                <w:rFonts w:eastAsia="SimSun"/>
                <w:szCs w:val="22"/>
                <w:lang w:eastAsia="zh-CN"/>
              </w:rPr>
            </w:pPr>
            <w:r w:rsidRPr="00660979">
              <w:rPr>
                <w:rFonts w:eastAsia="SimSun"/>
                <w:szCs w:val="22"/>
                <w:lang w:eastAsia="zh-CN"/>
              </w:rPr>
              <w:t>Discusses IFRS’s accounting for R&amp;D and revaluation at fair value.</w:t>
            </w:r>
          </w:p>
        </w:tc>
        <w:tc>
          <w:tcPr>
            <w:tcW w:w="2862" w:type="dxa"/>
            <w:tcBorders>
              <w:left w:val="single" w:sz="4" w:space="0" w:color="auto"/>
            </w:tcBorders>
          </w:tcPr>
          <w:p w14:paraId="0D2C460F" w14:textId="77777777" w:rsidR="00DC12BE" w:rsidRDefault="00DC12BE" w:rsidP="009D5DA1">
            <w:pPr>
              <w:pStyle w:val="TableBody"/>
              <w:rPr>
                <w:rFonts w:eastAsia="SimSun"/>
                <w:szCs w:val="22"/>
                <w:lang w:eastAsia="zh-CN"/>
              </w:rPr>
            </w:pPr>
          </w:p>
        </w:tc>
      </w:tr>
      <w:tr w:rsidR="00660979" w14:paraId="45B12972" w14:textId="77777777">
        <w:tc>
          <w:tcPr>
            <w:tcW w:w="6498" w:type="dxa"/>
            <w:tcBorders>
              <w:right w:val="single" w:sz="4" w:space="0" w:color="auto"/>
            </w:tcBorders>
          </w:tcPr>
          <w:p w14:paraId="690C74FE" w14:textId="77777777" w:rsidR="00660979" w:rsidRPr="00660979" w:rsidRDefault="00A74679" w:rsidP="00DC12BE">
            <w:pPr>
              <w:pStyle w:val="TableBody"/>
              <w:ind w:left="864"/>
              <w:rPr>
                <w:rFonts w:eastAsia="SimSun"/>
                <w:szCs w:val="22"/>
                <w:lang w:eastAsia="zh-CN"/>
              </w:rPr>
            </w:pPr>
            <w:r>
              <w:rPr>
                <w:rFonts w:eastAsia="SimSun"/>
                <w:szCs w:val="22"/>
                <w:lang w:eastAsia="zh-CN"/>
              </w:rPr>
              <w:t>4</w:t>
            </w:r>
            <w:r w:rsidR="00DC12BE">
              <w:rPr>
                <w:rFonts w:eastAsia="SimSun"/>
                <w:szCs w:val="22"/>
                <w:lang w:eastAsia="zh-CN"/>
              </w:rPr>
              <w:t>.</w:t>
            </w:r>
            <w:r w:rsidR="00DC12BE">
              <w:rPr>
                <w:rFonts w:eastAsia="SimSun"/>
                <w:szCs w:val="22"/>
                <w:lang w:eastAsia="zh-CN"/>
              </w:rPr>
              <w:tab/>
            </w:r>
            <w:r w:rsidR="00660979" w:rsidRPr="00660979">
              <w:rPr>
                <w:rFonts w:eastAsia="SimSun"/>
                <w:szCs w:val="22"/>
                <w:lang w:eastAsia="zh-CN"/>
              </w:rPr>
              <w:t>Chapter 10:</w:t>
            </w:r>
          </w:p>
        </w:tc>
        <w:tc>
          <w:tcPr>
            <w:tcW w:w="2862" w:type="dxa"/>
            <w:tcBorders>
              <w:left w:val="single" w:sz="4" w:space="0" w:color="auto"/>
            </w:tcBorders>
          </w:tcPr>
          <w:p w14:paraId="1DF11B4D" w14:textId="77777777" w:rsidR="00660979" w:rsidRDefault="00660979" w:rsidP="009D5DA1">
            <w:pPr>
              <w:pStyle w:val="TableBody"/>
              <w:rPr>
                <w:rFonts w:eastAsia="SimSun"/>
                <w:szCs w:val="22"/>
                <w:lang w:eastAsia="zh-CN"/>
              </w:rPr>
            </w:pPr>
          </w:p>
        </w:tc>
      </w:tr>
      <w:tr w:rsidR="00DC12BE" w14:paraId="27829052" w14:textId="77777777">
        <w:tc>
          <w:tcPr>
            <w:tcW w:w="6498" w:type="dxa"/>
            <w:tcBorders>
              <w:right w:val="single" w:sz="4" w:space="0" w:color="auto"/>
            </w:tcBorders>
          </w:tcPr>
          <w:p w14:paraId="388FD767" w14:textId="77777777" w:rsidR="00DC12BE" w:rsidRDefault="00DC12BE" w:rsidP="00DC12BE">
            <w:pPr>
              <w:pStyle w:val="TableBody"/>
              <w:ind w:left="1152"/>
              <w:rPr>
                <w:rFonts w:eastAsia="SimSun"/>
                <w:szCs w:val="22"/>
                <w:lang w:eastAsia="zh-CN"/>
              </w:rPr>
            </w:pPr>
            <w:r>
              <w:rPr>
                <w:rFonts w:eastAsia="SimSun"/>
                <w:szCs w:val="22"/>
                <w:lang w:eastAsia="zh-CN"/>
              </w:rPr>
              <w:t>a.</w:t>
            </w:r>
            <w:r>
              <w:rPr>
                <w:rFonts w:eastAsia="SimSun"/>
                <w:szCs w:val="22"/>
                <w:lang w:eastAsia="zh-CN"/>
              </w:rPr>
              <w:tab/>
            </w:r>
            <w:r w:rsidRPr="00DC12BE">
              <w:rPr>
                <w:rFonts w:eastAsia="SimSun"/>
                <w:szCs w:val="22"/>
                <w:lang w:eastAsia="zh-CN"/>
              </w:rPr>
              <w:t>Discusses IFRS’s current classification of long-term debt involving violated loan covenants.</w:t>
            </w:r>
          </w:p>
        </w:tc>
        <w:tc>
          <w:tcPr>
            <w:tcW w:w="2862" w:type="dxa"/>
            <w:tcBorders>
              <w:left w:val="single" w:sz="4" w:space="0" w:color="auto"/>
            </w:tcBorders>
          </w:tcPr>
          <w:p w14:paraId="01474DDC" w14:textId="77777777" w:rsidR="00DC12BE" w:rsidRDefault="00DC12BE" w:rsidP="00DC12BE">
            <w:pPr>
              <w:pStyle w:val="TableBody"/>
              <w:rPr>
                <w:rFonts w:eastAsia="SimSun"/>
                <w:szCs w:val="22"/>
                <w:lang w:eastAsia="zh-CN"/>
              </w:rPr>
            </w:pPr>
          </w:p>
        </w:tc>
      </w:tr>
      <w:tr w:rsidR="00DC12BE" w14:paraId="02116771" w14:textId="77777777">
        <w:tc>
          <w:tcPr>
            <w:tcW w:w="6498" w:type="dxa"/>
            <w:tcBorders>
              <w:right w:val="single" w:sz="4" w:space="0" w:color="auto"/>
            </w:tcBorders>
          </w:tcPr>
          <w:p w14:paraId="56E75163" w14:textId="77777777" w:rsidR="00DC12BE" w:rsidRDefault="00DC12BE" w:rsidP="00DC12BE">
            <w:pPr>
              <w:pStyle w:val="TableBody"/>
              <w:ind w:left="1152"/>
              <w:rPr>
                <w:rFonts w:eastAsia="SimSun"/>
                <w:szCs w:val="22"/>
                <w:lang w:eastAsia="zh-CN"/>
              </w:rPr>
            </w:pPr>
            <w:r>
              <w:rPr>
                <w:rFonts w:eastAsia="SimSun"/>
                <w:szCs w:val="22"/>
                <w:lang w:eastAsia="zh-CN"/>
              </w:rPr>
              <w:t>b.</w:t>
            </w:r>
            <w:r>
              <w:rPr>
                <w:rFonts w:eastAsia="SimSun"/>
                <w:szCs w:val="22"/>
                <w:lang w:eastAsia="zh-CN"/>
              </w:rPr>
              <w:tab/>
            </w:r>
            <w:r w:rsidRPr="00DC12BE">
              <w:rPr>
                <w:rFonts w:eastAsia="SimSun"/>
                <w:szCs w:val="22"/>
                <w:lang w:eastAsia="zh-CN"/>
              </w:rPr>
              <w:t>Discusses IFRS’s threshold for accruing contingent liabilities.</w:t>
            </w:r>
          </w:p>
        </w:tc>
        <w:tc>
          <w:tcPr>
            <w:tcW w:w="2862" w:type="dxa"/>
            <w:tcBorders>
              <w:left w:val="single" w:sz="4" w:space="0" w:color="auto"/>
            </w:tcBorders>
          </w:tcPr>
          <w:p w14:paraId="032A1FC4" w14:textId="77777777" w:rsidR="00DC12BE" w:rsidRDefault="00DC12BE" w:rsidP="00DC12BE">
            <w:pPr>
              <w:pStyle w:val="TableBody"/>
              <w:rPr>
                <w:rFonts w:eastAsia="SimSun"/>
                <w:szCs w:val="22"/>
                <w:lang w:eastAsia="zh-CN"/>
              </w:rPr>
            </w:pPr>
          </w:p>
        </w:tc>
      </w:tr>
      <w:tr w:rsidR="00DC12BE" w14:paraId="42F6626C" w14:textId="77777777">
        <w:tc>
          <w:tcPr>
            <w:tcW w:w="6498" w:type="dxa"/>
            <w:tcBorders>
              <w:right w:val="single" w:sz="4" w:space="0" w:color="auto"/>
            </w:tcBorders>
          </w:tcPr>
          <w:p w14:paraId="70BA073B" w14:textId="2A58CC9C" w:rsidR="00DC12BE" w:rsidRDefault="00A74679" w:rsidP="00051189">
            <w:pPr>
              <w:pStyle w:val="TableBody"/>
              <w:ind w:left="1152" w:hanging="288"/>
              <w:rPr>
                <w:rFonts w:eastAsia="SimSun"/>
                <w:szCs w:val="22"/>
                <w:lang w:eastAsia="zh-CN"/>
              </w:rPr>
            </w:pPr>
            <w:r>
              <w:rPr>
                <w:rFonts w:eastAsia="SimSun"/>
                <w:szCs w:val="22"/>
                <w:lang w:eastAsia="zh-CN"/>
              </w:rPr>
              <w:t>5</w:t>
            </w:r>
            <w:r w:rsidR="00DC12BE">
              <w:rPr>
                <w:rFonts w:eastAsia="SimSun"/>
                <w:szCs w:val="22"/>
                <w:lang w:eastAsia="zh-CN"/>
              </w:rPr>
              <w:t>.</w:t>
            </w:r>
            <w:r w:rsidR="00DC12BE">
              <w:rPr>
                <w:rFonts w:eastAsia="SimSun"/>
                <w:szCs w:val="22"/>
                <w:lang w:eastAsia="zh-CN"/>
              </w:rPr>
              <w:tab/>
            </w:r>
            <w:r w:rsidR="00DC12BE" w:rsidRPr="00660979">
              <w:rPr>
                <w:rFonts w:eastAsia="SimSun"/>
                <w:szCs w:val="22"/>
                <w:lang w:eastAsia="zh-CN"/>
              </w:rPr>
              <w:t>Chapter 11</w:t>
            </w:r>
            <w:r w:rsidR="00051189">
              <w:rPr>
                <w:rFonts w:eastAsia="SimSun"/>
                <w:szCs w:val="22"/>
                <w:lang w:eastAsia="zh-CN"/>
              </w:rPr>
              <w:t>:</w:t>
            </w:r>
            <w:r w:rsidR="00DC12BE" w:rsidRPr="00660979">
              <w:rPr>
                <w:rFonts w:eastAsia="SimSun"/>
                <w:szCs w:val="22"/>
                <w:lang w:eastAsia="zh-CN"/>
              </w:rPr>
              <w:t xml:space="preserve"> Discusses classification of certain preferred stock as a liability</w:t>
            </w:r>
            <w:r w:rsidR="00DC04CC">
              <w:rPr>
                <w:rFonts w:eastAsia="SimSun"/>
                <w:szCs w:val="22"/>
                <w:lang w:eastAsia="zh-CN"/>
              </w:rPr>
              <w:t>.</w:t>
            </w:r>
          </w:p>
        </w:tc>
        <w:tc>
          <w:tcPr>
            <w:tcW w:w="2862" w:type="dxa"/>
            <w:tcBorders>
              <w:left w:val="single" w:sz="4" w:space="0" w:color="auto"/>
            </w:tcBorders>
          </w:tcPr>
          <w:p w14:paraId="2BB46794" w14:textId="77777777" w:rsidR="00DC12BE" w:rsidRDefault="00DC12BE" w:rsidP="009D5DA1">
            <w:pPr>
              <w:pStyle w:val="TableBody"/>
              <w:rPr>
                <w:rFonts w:eastAsia="SimSun"/>
                <w:szCs w:val="22"/>
                <w:lang w:eastAsia="zh-CN"/>
              </w:rPr>
            </w:pPr>
          </w:p>
        </w:tc>
      </w:tr>
      <w:tr w:rsidR="00DC12BE" w14:paraId="1FE3E4D5" w14:textId="77777777">
        <w:tc>
          <w:tcPr>
            <w:tcW w:w="6498" w:type="dxa"/>
            <w:tcBorders>
              <w:right w:val="single" w:sz="4" w:space="0" w:color="auto"/>
            </w:tcBorders>
          </w:tcPr>
          <w:p w14:paraId="012A91EB" w14:textId="2BAE5709" w:rsidR="00DC12BE" w:rsidRDefault="00A74679" w:rsidP="00051189">
            <w:pPr>
              <w:pStyle w:val="TableBody"/>
              <w:ind w:left="1152" w:hanging="288"/>
              <w:rPr>
                <w:rFonts w:eastAsia="SimSun"/>
                <w:szCs w:val="22"/>
                <w:lang w:eastAsia="zh-CN"/>
              </w:rPr>
            </w:pPr>
            <w:r>
              <w:rPr>
                <w:rFonts w:eastAsia="SimSun"/>
                <w:szCs w:val="22"/>
                <w:lang w:eastAsia="zh-CN"/>
              </w:rPr>
              <w:t>6</w:t>
            </w:r>
            <w:r w:rsidR="00DC12BE">
              <w:rPr>
                <w:rFonts w:eastAsia="SimSun"/>
                <w:szCs w:val="22"/>
                <w:lang w:eastAsia="zh-CN"/>
              </w:rPr>
              <w:t>.</w:t>
            </w:r>
            <w:r w:rsidR="00DC12BE">
              <w:rPr>
                <w:rFonts w:eastAsia="SimSun"/>
                <w:szCs w:val="22"/>
                <w:lang w:eastAsia="zh-CN"/>
              </w:rPr>
              <w:tab/>
            </w:r>
            <w:r w:rsidR="00DC12BE" w:rsidRPr="00660979">
              <w:rPr>
                <w:rFonts w:eastAsia="SimSun"/>
                <w:szCs w:val="22"/>
                <w:lang w:eastAsia="zh-CN"/>
              </w:rPr>
              <w:t>Chapter 12</w:t>
            </w:r>
            <w:r w:rsidR="00051189">
              <w:rPr>
                <w:rFonts w:eastAsia="SimSun"/>
                <w:szCs w:val="22"/>
                <w:lang w:eastAsia="zh-CN"/>
              </w:rPr>
              <w:t>:</w:t>
            </w:r>
            <w:r w:rsidR="00DC12BE" w:rsidRPr="00660979">
              <w:rPr>
                <w:rFonts w:eastAsia="SimSun"/>
                <w:szCs w:val="22"/>
                <w:lang w:eastAsia="zh-CN"/>
              </w:rPr>
              <w:t xml:space="preserve"> Illustrates differences in classification of dividends and interest received and paid, under IFRS and GAAP.</w:t>
            </w:r>
          </w:p>
        </w:tc>
        <w:tc>
          <w:tcPr>
            <w:tcW w:w="2862" w:type="dxa"/>
            <w:tcBorders>
              <w:left w:val="single" w:sz="4" w:space="0" w:color="auto"/>
            </w:tcBorders>
          </w:tcPr>
          <w:p w14:paraId="592C9F30" w14:textId="77777777" w:rsidR="00DC12BE" w:rsidRDefault="00DC12BE" w:rsidP="009D5DA1">
            <w:pPr>
              <w:pStyle w:val="TableBody"/>
              <w:rPr>
                <w:rFonts w:eastAsia="SimSun"/>
                <w:szCs w:val="22"/>
                <w:lang w:eastAsia="zh-CN"/>
              </w:rPr>
            </w:pPr>
          </w:p>
        </w:tc>
      </w:tr>
    </w:tbl>
    <w:p w14:paraId="04CE9001" w14:textId="77777777" w:rsidR="000C4AAD" w:rsidRDefault="005A29AB" w:rsidP="004F07E1">
      <w:pPr>
        <w:pStyle w:val="Heading1"/>
      </w:pPr>
      <w:r>
        <w:br w:type="page"/>
      </w:r>
      <w:r w:rsidR="000C4AAD">
        <w:lastRenderedPageBreak/>
        <w:t>Supplemental Enrichment Activities</w:t>
      </w:r>
    </w:p>
    <w:p w14:paraId="03773AED" w14:textId="77777777" w:rsidR="00C264B8" w:rsidRDefault="00C264B8"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C264B8">
        <w:t xml:space="preserve">Note: </w:t>
      </w:r>
      <w:r>
        <w:t xml:space="preserve">These </w:t>
      </w:r>
      <w:r w:rsidRPr="00C264B8">
        <w:t xml:space="preserve">activities would be suitable for individual or group </w:t>
      </w:r>
      <w:r>
        <w:t>activities</w:t>
      </w:r>
      <w:r w:rsidRPr="00C264B8">
        <w:t>.</w:t>
      </w:r>
    </w:p>
    <w:p w14:paraId="101C514B" w14:textId="77777777" w:rsidR="00D53C32" w:rsidRDefault="00D53C32"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296770C1" w14:textId="5A4DD05B" w:rsidR="00D53C32" w:rsidRPr="00D53C32" w:rsidRDefault="00D53C32" w:rsidP="00DC12BE">
      <w:pPr>
        <w:pStyle w:val="BodyText"/>
        <w:numPr>
          <w:ilvl w:val="0"/>
          <w:numId w:val="11"/>
        </w:numPr>
        <w:spacing w:after="120"/>
        <w:jc w:val="left"/>
      </w:pPr>
      <w:r>
        <w:t xml:space="preserve">Unless you used it in connection with </w:t>
      </w:r>
      <w:r w:rsidR="00051189">
        <w:t>C</w:t>
      </w:r>
      <w:r>
        <w:t>hapter 1, consider showing the first segment of following v</w:t>
      </w:r>
      <w:r w:rsidRPr="00C264B8">
        <w:t>ideo</w:t>
      </w:r>
      <w:r>
        <w:t xml:space="preserve"> in class; most students will be able to identify with the “fraudster.” Lively discussion of the manner in which the fraud was perpetrated will follow.</w:t>
      </w:r>
    </w:p>
    <w:p w14:paraId="005D7309" w14:textId="763F15F6" w:rsidR="00D53C32" w:rsidRPr="00B6516F" w:rsidRDefault="00D53C32" w:rsidP="00DC12BE">
      <w:pPr>
        <w:pStyle w:val="BodyText"/>
        <w:spacing w:after="120"/>
        <w:ind w:left="360"/>
        <w:jc w:val="left"/>
        <w:rPr>
          <w:i/>
          <w:iCs/>
        </w:rPr>
      </w:pPr>
      <w:r w:rsidRPr="00C264B8">
        <w:t xml:space="preserve">The National Association of Certified Fraud Examiners produced a video in 1991 called "Cooking the Books: What Every Accountant Should Know </w:t>
      </w:r>
      <w:r w:rsidR="00D432B2">
        <w:t>a</w:t>
      </w:r>
      <w:r w:rsidRPr="00C264B8">
        <w:t>bout Fraud</w:t>
      </w:r>
      <w:r w:rsidR="00051189">
        <w:t>.</w:t>
      </w:r>
      <w:r w:rsidRPr="00C264B8">
        <w:t>" If you do not have the tape, the toll free number to order it is 1-800-245-3321</w:t>
      </w:r>
      <w:r w:rsidR="00F034F3">
        <w:t>,</w:t>
      </w:r>
      <w:r w:rsidRPr="00C264B8">
        <w:t xml:space="preserve"> or visit the web site at </w:t>
      </w:r>
      <w:hyperlink r:id="rId10" w:history="1">
        <w:r w:rsidR="00CF1938" w:rsidRPr="00CF1938">
          <w:rPr>
            <w:rStyle w:val="Hyperlink"/>
          </w:rPr>
          <w:t>http://www.cfenet.com</w:t>
        </w:r>
      </w:hyperlink>
      <w:r w:rsidRPr="00C264B8">
        <w:t>. At this writing, the cost to a college or university is $139.00 for nonmembers.</w:t>
      </w:r>
      <w:r>
        <w:t xml:space="preserve"> </w:t>
      </w:r>
      <w:r w:rsidRPr="00C264B8">
        <w:t xml:space="preserve">Three frauds are </w:t>
      </w:r>
      <w:r>
        <w:t xml:space="preserve">overviewed: </w:t>
      </w:r>
      <w:r w:rsidRPr="00C264B8">
        <w:t>ZZZZ Best Carpet</w:t>
      </w:r>
      <w:r>
        <w:t xml:space="preserve">, </w:t>
      </w:r>
      <w:r w:rsidRPr="00C264B8">
        <w:t>Regina Vacuum Cleaner Company</w:t>
      </w:r>
      <w:r>
        <w:t xml:space="preserve">, and </w:t>
      </w:r>
      <w:r w:rsidRPr="00C264B8">
        <w:t>ESM Group, Inc. (ESM Government Securities)</w:t>
      </w:r>
      <w:r>
        <w:t xml:space="preserve">. </w:t>
      </w:r>
      <w:r w:rsidRPr="00C264B8">
        <w:t>ZZZZ Best Carpet might be the best one to use. Barry Minkow, the</w:t>
      </w:r>
      <w:r>
        <w:t xml:space="preserve"> CEO and major stockholder</w:t>
      </w:r>
      <w:r w:rsidRPr="00C264B8">
        <w:t xml:space="preserve">, is interviewed in prison. </w:t>
      </w:r>
      <w:r>
        <w:t xml:space="preserve">The video segment </w:t>
      </w:r>
      <w:r w:rsidRPr="00C264B8">
        <w:t>discusses revenue overstatements, deferred costs, asset valuations, inadequate disclosures, and horizontal and vertical analysis. It is very well done.</w:t>
      </w:r>
    </w:p>
    <w:p w14:paraId="1C12C85C" w14:textId="6D3A7593" w:rsidR="00D53C32" w:rsidRDefault="00D53C32" w:rsidP="00DC12BE">
      <w:pPr>
        <w:pStyle w:val="BodyText"/>
        <w:numPr>
          <w:ilvl w:val="0"/>
          <w:numId w:val="11"/>
        </w:numPr>
        <w:spacing w:after="120"/>
        <w:jc w:val="left"/>
      </w:pPr>
      <w:r>
        <w:t>Handout 13</w:t>
      </w:r>
      <w:r w:rsidR="00DD59D5">
        <w:t>–</w:t>
      </w:r>
      <w:r>
        <w:t>1</w:t>
      </w:r>
    </w:p>
    <w:p w14:paraId="179D2BB8" w14:textId="76BD884D" w:rsidR="00D53C32" w:rsidRPr="00DC54C7" w:rsidRDefault="00D53C32" w:rsidP="00DC12BE">
      <w:pPr>
        <w:pStyle w:val="BodyText"/>
        <w:spacing w:after="120"/>
        <w:ind w:left="360"/>
        <w:jc w:val="left"/>
      </w:pPr>
      <w:r>
        <w:t>Use Handout 13</w:t>
      </w:r>
      <w:r w:rsidR="00DD59D5">
        <w:t>–</w:t>
      </w:r>
      <w:r>
        <w:t>1 for an in-class activity designed to review the classification of financial ratios. The solution follows the handout master.</w:t>
      </w:r>
    </w:p>
    <w:p w14:paraId="03A2FFD9" w14:textId="6022F492" w:rsidR="00D53C32" w:rsidRDefault="00D53C32" w:rsidP="00DC12BE">
      <w:pPr>
        <w:pStyle w:val="BodyText"/>
        <w:numPr>
          <w:ilvl w:val="0"/>
          <w:numId w:val="11"/>
        </w:numPr>
        <w:spacing w:after="120"/>
        <w:jc w:val="left"/>
      </w:pPr>
      <w:r>
        <w:t>Handout 13</w:t>
      </w:r>
      <w:r w:rsidR="00DD59D5">
        <w:t>–</w:t>
      </w:r>
      <w:r>
        <w:t>2</w:t>
      </w:r>
    </w:p>
    <w:p w14:paraId="1F3DDEAF" w14:textId="380D75F5" w:rsidR="00D53C32" w:rsidRPr="00DC54C7" w:rsidRDefault="00D53C32" w:rsidP="00DC12BE">
      <w:pPr>
        <w:pStyle w:val="BodyText"/>
        <w:spacing w:after="120"/>
        <w:ind w:left="360"/>
        <w:jc w:val="left"/>
      </w:pPr>
      <w:r>
        <w:t>Use Handout 13</w:t>
      </w:r>
      <w:r w:rsidR="00DD59D5">
        <w:t>–</w:t>
      </w:r>
      <w:r>
        <w:t>2 for an in-class activity designed to review the formulas of financial ratios. The solution follows the handout master.</w:t>
      </w:r>
    </w:p>
    <w:p w14:paraId="2394918E" w14:textId="77777777" w:rsidR="00D53C32" w:rsidRDefault="00D53C32"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15A0ADFC" w14:textId="12F68EDC" w:rsidR="00A010DB" w:rsidRDefault="00B17A5B" w:rsidP="00A010DB">
      <w:pPr>
        <w:pStyle w:val="Heading1"/>
        <w:spacing w:before="240"/>
      </w:pPr>
      <w:r>
        <w:br w:type="page"/>
      </w:r>
      <w:r w:rsidR="00A010DB" w:rsidRPr="005F480C">
        <w:lastRenderedPageBreak/>
        <w:t>HANDOUT</w:t>
      </w:r>
      <w:r w:rsidR="00A010DB">
        <w:t xml:space="preserve"> 13–1 </w:t>
      </w:r>
    </w:p>
    <w:p w14:paraId="503F5544" w14:textId="77777777" w:rsidR="00A010DB" w:rsidRDefault="00A010DB" w:rsidP="00A010DB">
      <w:pPr>
        <w:pStyle w:val="Heading1"/>
        <w:spacing w:before="240"/>
        <w:jc w:val="center"/>
        <w:rPr>
          <w:u w:val="none"/>
        </w:rPr>
      </w:pPr>
      <w:r>
        <w:rPr>
          <w:u w:val="none"/>
        </w:rPr>
        <w:t>CLASSIFICIATON OF FINANCIAL RATIOS</w:t>
      </w:r>
    </w:p>
    <w:p w14:paraId="28B6FECD" w14:textId="77777777" w:rsidR="00A010DB" w:rsidRDefault="00A010DB" w:rsidP="00A010DB">
      <w:pPr>
        <w:pStyle w:val="BodyText"/>
      </w:pPr>
      <w:r>
        <w:rPr>
          <w:szCs w:val="22"/>
        </w:rPr>
        <w:t>Indicate whether each of the following financial ratios would be classified as a profitability, liquidity, or solvency ratio when performing ratio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592"/>
        <w:gridCol w:w="2160"/>
        <w:gridCol w:w="2160"/>
        <w:gridCol w:w="2160"/>
      </w:tblGrid>
      <w:tr w:rsidR="006B3233" w:rsidRPr="001F4E0F" w14:paraId="75D15AA3" w14:textId="77777777" w:rsidTr="00743FE7">
        <w:tc>
          <w:tcPr>
            <w:tcW w:w="2592" w:type="dxa"/>
          </w:tcPr>
          <w:p w14:paraId="0F59C3EF" w14:textId="77777777" w:rsidR="006B3233" w:rsidRPr="001F4E0F" w:rsidRDefault="006B3233" w:rsidP="00743FE7">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Financial Ratio</w:t>
            </w:r>
          </w:p>
        </w:tc>
        <w:tc>
          <w:tcPr>
            <w:tcW w:w="2160" w:type="dxa"/>
          </w:tcPr>
          <w:p w14:paraId="01BE69EA" w14:textId="77777777" w:rsidR="006B3233" w:rsidRPr="001F4E0F" w:rsidRDefault="006B3233" w:rsidP="00743FE7">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Profitability Ratio</w:t>
            </w:r>
          </w:p>
        </w:tc>
        <w:tc>
          <w:tcPr>
            <w:tcW w:w="2160" w:type="dxa"/>
          </w:tcPr>
          <w:p w14:paraId="00F1F16E" w14:textId="77777777" w:rsidR="006B3233" w:rsidRPr="001F4E0F" w:rsidRDefault="006B3233" w:rsidP="00743FE7">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Liquidity Ratio</w:t>
            </w:r>
          </w:p>
        </w:tc>
        <w:tc>
          <w:tcPr>
            <w:tcW w:w="2160" w:type="dxa"/>
          </w:tcPr>
          <w:p w14:paraId="5CC7BE03" w14:textId="77777777" w:rsidR="006B3233" w:rsidRPr="001F4E0F" w:rsidRDefault="006B3233" w:rsidP="00743FE7">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Solvency Ratio</w:t>
            </w:r>
          </w:p>
        </w:tc>
      </w:tr>
      <w:tr w:rsidR="006B3233" w:rsidRPr="00A010DB" w14:paraId="2EEF34FB" w14:textId="77777777" w:rsidTr="00743FE7">
        <w:trPr>
          <w:trHeight w:val="576"/>
        </w:trPr>
        <w:tc>
          <w:tcPr>
            <w:tcW w:w="2592" w:type="dxa"/>
            <w:vAlign w:val="center"/>
          </w:tcPr>
          <w:p w14:paraId="7B8F1F57" w14:textId="77777777" w:rsidR="006B3233" w:rsidRPr="001F4E0F" w:rsidRDefault="006B3233" w:rsidP="00743FE7">
            <w:pPr>
              <w:pStyle w:val="BodyText"/>
              <w:spacing w:after="0"/>
              <w:jc w:val="left"/>
              <w:rPr>
                <w:b/>
                <w:bCs/>
                <w:szCs w:val="22"/>
              </w:rPr>
            </w:pPr>
            <w:r w:rsidRPr="00163646">
              <w:t xml:space="preserve">Current Ratio </w:t>
            </w:r>
          </w:p>
        </w:tc>
        <w:tc>
          <w:tcPr>
            <w:tcW w:w="2160" w:type="dxa"/>
            <w:vAlign w:val="center"/>
          </w:tcPr>
          <w:p w14:paraId="3CB23DD3" w14:textId="77777777" w:rsidR="006B3233" w:rsidRPr="00A010DB" w:rsidRDefault="006B3233" w:rsidP="00743FE7">
            <w:pPr>
              <w:pStyle w:val="BodyText"/>
              <w:spacing w:after="0"/>
              <w:jc w:val="center"/>
            </w:pPr>
          </w:p>
        </w:tc>
        <w:tc>
          <w:tcPr>
            <w:tcW w:w="2160" w:type="dxa"/>
            <w:vAlign w:val="center"/>
          </w:tcPr>
          <w:p w14:paraId="1CFA8CD0" w14:textId="77777777" w:rsidR="006B3233" w:rsidRPr="00A010DB" w:rsidRDefault="006B3233" w:rsidP="00743FE7">
            <w:pPr>
              <w:pStyle w:val="BodyText"/>
              <w:spacing w:after="0"/>
              <w:jc w:val="center"/>
            </w:pPr>
          </w:p>
        </w:tc>
        <w:tc>
          <w:tcPr>
            <w:tcW w:w="2160" w:type="dxa"/>
            <w:vAlign w:val="center"/>
          </w:tcPr>
          <w:p w14:paraId="52F8D423" w14:textId="77777777" w:rsidR="006B3233" w:rsidRPr="00A010DB" w:rsidRDefault="006B3233" w:rsidP="00743FE7">
            <w:pPr>
              <w:pStyle w:val="BodyText"/>
              <w:spacing w:after="0"/>
              <w:jc w:val="center"/>
            </w:pPr>
          </w:p>
        </w:tc>
      </w:tr>
      <w:tr w:rsidR="006B3233" w:rsidRPr="00A010DB" w14:paraId="126EE00B" w14:textId="77777777" w:rsidTr="00743FE7">
        <w:trPr>
          <w:trHeight w:val="576"/>
        </w:trPr>
        <w:tc>
          <w:tcPr>
            <w:tcW w:w="2592" w:type="dxa"/>
            <w:vAlign w:val="center"/>
          </w:tcPr>
          <w:p w14:paraId="29D05B19" w14:textId="77777777" w:rsidR="006B3233" w:rsidRPr="001F4E0F" w:rsidRDefault="006B3233" w:rsidP="00743FE7">
            <w:pPr>
              <w:pStyle w:val="BodyText"/>
              <w:spacing w:after="0"/>
              <w:jc w:val="left"/>
              <w:rPr>
                <w:b/>
                <w:bCs/>
                <w:szCs w:val="22"/>
              </w:rPr>
            </w:pPr>
            <w:r w:rsidRPr="00163646">
              <w:t xml:space="preserve">Days </w:t>
            </w:r>
            <w:r>
              <w:t>t</w:t>
            </w:r>
            <w:r w:rsidRPr="00163646">
              <w:t>o Collect</w:t>
            </w:r>
          </w:p>
        </w:tc>
        <w:tc>
          <w:tcPr>
            <w:tcW w:w="2160" w:type="dxa"/>
            <w:vAlign w:val="center"/>
          </w:tcPr>
          <w:p w14:paraId="3943A6B9" w14:textId="77777777" w:rsidR="006B3233" w:rsidRPr="00A010DB" w:rsidRDefault="006B3233" w:rsidP="00743FE7">
            <w:pPr>
              <w:pStyle w:val="BodyText"/>
              <w:spacing w:after="0"/>
              <w:jc w:val="center"/>
            </w:pPr>
          </w:p>
        </w:tc>
        <w:tc>
          <w:tcPr>
            <w:tcW w:w="2160" w:type="dxa"/>
            <w:vAlign w:val="center"/>
          </w:tcPr>
          <w:p w14:paraId="735FDC79" w14:textId="77777777" w:rsidR="006B3233" w:rsidRPr="00A010DB" w:rsidRDefault="006B3233" w:rsidP="00743FE7">
            <w:pPr>
              <w:pStyle w:val="BodyText"/>
              <w:spacing w:after="0"/>
              <w:jc w:val="center"/>
            </w:pPr>
          </w:p>
        </w:tc>
        <w:tc>
          <w:tcPr>
            <w:tcW w:w="2160" w:type="dxa"/>
            <w:vAlign w:val="center"/>
          </w:tcPr>
          <w:p w14:paraId="3F9A02EC" w14:textId="77777777" w:rsidR="006B3233" w:rsidRPr="00A010DB" w:rsidRDefault="006B3233" w:rsidP="00743FE7">
            <w:pPr>
              <w:pStyle w:val="BodyText"/>
              <w:spacing w:after="0"/>
              <w:jc w:val="center"/>
            </w:pPr>
          </w:p>
        </w:tc>
      </w:tr>
      <w:tr w:rsidR="006B3233" w:rsidRPr="00A010DB" w14:paraId="3EEA65FD" w14:textId="77777777" w:rsidTr="00743FE7">
        <w:trPr>
          <w:trHeight w:val="576"/>
        </w:trPr>
        <w:tc>
          <w:tcPr>
            <w:tcW w:w="2592" w:type="dxa"/>
            <w:vAlign w:val="center"/>
          </w:tcPr>
          <w:p w14:paraId="4295C456" w14:textId="77777777" w:rsidR="006B3233" w:rsidRPr="001F4E0F" w:rsidRDefault="006B3233" w:rsidP="00743FE7">
            <w:pPr>
              <w:pStyle w:val="BodyText"/>
              <w:spacing w:after="0"/>
              <w:jc w:val="left"/>
              <w:rPr>
                <w:b/>
                <w:bCs/>
                <w:szCs w:val="22"/>
              </w:rPr>
            </w:pPr>
            <w:r w:rsidRPr="00163646">
              <w:t xml:space="preserve">Days </w:t>
            </w:r>
            <w:r>
              <w:t>t</w:t>
            </w:r>
            <w:r w:rsidRPr="00163646">
              <w:t>o Sel</w:t>
            </w:r>
            <w:r>
              <w:t>l</w:t>
            </w:r>
          </w:p>
        </w:tc>
        <w:tc>
          <w:tcPr>
            <w:tcW w:w="2160" w:type="dxa"/>
            <w:vAlign w:val="center"/>
          </w:tcPr>
          <w:p w14:paraId="0699F5E1" w14:textId="77777777" w:rsidR="006B3233" w:rsidRPr="00A010DB" w:rsidRDefault="006B3233" w:rsidP="00743FE7">
            <w:pPr>
              <w:pStyle w:val="BodyText"/>
              <w:spacing w:after="0"/>
              <w:jc w:val="center"/>
            </w:pPr>
          </w:p>
        </w:tc>
        <w:tc>
          <w:tcPr>
            <w:tcW w:w="2160" w:type="dxa"/>
            <w:vAlign w:val="center"/>
          </w:tcPr>
          <w:p w14:paraId="5B7A7C06" w14:textId="77777777" w:rsidR="006B3233" w:rsidRPr="00A010DB" w:rsidRDefault="006B3233" w:rsidP="00743FE7">
            <w:pPr>
              <w:pStyle w:val="BodyText"/>
              <w:spacing w:after="0"/>
              <w:jc w:val="center"/>
            </w:pPr>
          </w:p>
        </w:tc>
        <w:tc>
          <w:tcPr>
            <w:tcW w:w="2160" w:type="dxa"/>
            <w:vAlign w:val="center"/>
          </w:tcPr>
          <w:p w14:paraId="04F4D05E" w14:textId="77777777" w:rsidR="006B3233" w:rsidRPr="00A010DB" w:rsidRDefault="006B3233" w:rsidP="00743FE7">
            <w:pPr>
              <w:pStyle w:val="BodyText"/>
              <w:spacing w:after="0"/>
              <w:jc w:val="center"/>
            </w:pPr>
          </w:p>
        </w:tc>
      </w:tr>
      <w:tr w:rsidR="006B3233" w:rsidRPr="00A010DB" w14:paraId="6ACB8DB1" w14:textId="77777777" w:rsidTr="00743FE7">
        <w:trPr>
          <w:trHeight w:val="576"/>
        </w:trPr>
        <w:tc>
          <w:tcPr>
            <w:tcW w:w="2592" w:type="dxa"/>
            <w:vAlign w:val="center"/>
          </w:tcPr>
          <w:p w14:paraId="41576B75" w14:textId="77777777" w:rsidR="006B3233" w:rsidRPr="00163646" w:rsidRDefault="006B3233" w:rsidP="00743FE7">
            <w:pPr>
              <w:pStyle w:val="BodyText"/>
              <w:spacing w:after="0"/>
              <w:jc w:val="left"/>
            </w:pPr>
            <w:r w:rsidRPr="00163646">
              <w:t>Debt</w:t>
            </w:r>
            <w:r w:rsidR="005E3E12">
              <w:t>-to-</w:t>
            </w:r>
            <w:r w:rsidRPr="00163646">
              <w:t>Assets</w:t>
            </w:r>
          </w:p>
        </w:tc>
        <w:tc>
          <w:tcPr>
            <w:tcW w:w="2160" w:type="dxa"/>
            <w:vAlign w:val="center"/>
          </w:tcPr>
          <w:p w14:paraId="51C24B75" w14:textId="77777777" w:rsidR="006B3233" w:rsidRPr="00A010DB" w:rsidRDefault="006B3233" w:rsidP="00743FE7">
            <w:pPr>
              <w:pStyle w:val="BodyText"/>
              <w:spacing w:after="0"/>
              <w:jc w:val="center"/>
            </w:pPr>
          </w:p>
        </w:tc>
        <w:tc>
          <w:tcPr>
            <w:tcW w:w="2160" w:type="dxa"/>
            <w:vAlign w:val="center"/>
          </w:tcPr>
          <w:p w14:paraId="25D5AD2F" w14:textId="77777777" w:rsidR="006B3233" w:rsidRPr="00A010DB" w:rsidRDefault="006B3233" w:rsidP="00743FE7">
            <w:pPr>
              <w:pStyle w:val="BodyText"/>
              <w:spacing w:after="0"/>
              <w:jc w:val="center"/>
            </w:pPr>
          </w:p>
        </w:tc>
        <w:tc>
          <w:tcPr>
            <w:tcW w:w="2160" w:type="dxa"/>
            <w:vAlign w:val="center"/>
          </w:tcPr>
          <w:p w14:paraId="1161AA36" w14:textId="77777777" w:rsidR="006B3233" w:rsidRPr="00A010DB" w:rsidRDefault="006B3233" w:rsidP="00743FE7">
            <w:pPr>
              <w:pStyle w:val="BodyText"/>
              <w:spacing w:after="0"/>
              <w:jc w:val="center"/>
            </w:pPr>
          </w:p>
        </w:tc>
      </w:tr>
      <w:tr w:rsidR="006B3233" w:rsidRPr="00A010DB" w14:paraId="7F85EBF4" w14:textId="77777777" w:rsidTr="00743FE7">
        <w:trPr>
          <w:trHeight w:val="576"/>
        </w:trPr>
        <w:tc>
          <w:tcPr>
            <w:tcW w:w="2592" w:type="dxa"/>
            <w:vAlign w:val="center"/>
          </w:tcPr>
          <w:p w14:paraId="1E07A25C" w14:textId="77777777" w:rsidR="006B3233" w:rsidRPr="00163646" w:rsidRDefault="006B3233" w:rsidP="00743FE7">
            <w:pPr>
              <w:pStyle w:val="BodyText"/>
              <w:spacing w:after="0"/>
              <w:jc w:val="left"/>
            </w:pPr>
            <w:r w:rsidRPr="00163646">
              <w:t xml:space="preserve">Earnings </w:t>
            </w:r>
            <w:r>
              <w:t>pe</w:t>
            </w:r>
            <w:r w:rsidRPr="00163646">
              <w:t>r Share (EPS)</w:t>
            </w:r>
          </w:p>
        </w:tc>
        <w:tc>
          <w:tcPr>
            <w:tcW w:w="2160" w:type="dxa"/>
            <w:vAlign w:val="center"/>
          </w:tcPr>
          <w:p w14:paraId="25EC5BFF" w14:textId="77777777" w:rsidR="006B3233" w:rsidRPr="00A010DB" w:rsidRDefault="006B3233" w:rsidP="00743FE7">
            <w:pPr>
              <w:pStyle w:val="BodyText"/>
              <w:spacing w:after="0"/>
              <w:jc w:val="center"/>
            </w:pPr>
          </w:p>
        </w:tc>
        <w:tc>
          <w:tcPr>
            <w:tcW w:w="2160" w:type="dxa"/>
            <w:vAlign w:val="center"/>
          </w:tcPr>
          <w:p w14:paraId="7791FE6E" w14:textId="77777777" w:rsidR="006B3233" w:rsidRPr="00A010DB" w:rsidRDefault="006B3233" w:rsidP="00743FE7">
            <w:pPr>
              <w:pStyle w:val="BodyText"/>
              <w:spacing w:after="0"/>
              <w:jc w:val="center"/>
            </w:pPr>
          </w:p>
        </w:tc>
        <w:tc>
          <w:tcPr>
            <w:tcW w:w="2160" w:type="dxa"/>
            <w:vAlign w:val="center"/>
          </w:tcPr>
          <w:p w14:paraId="36DAB607" w14:textId="77777777" w:rsidR="006B3233" w:rsidRPr="00A010DB" w:rsidRDefault="006B3233" w:rsidP="00743FE7">
            <w:pPr>
              <w:pStyle w:val="BodyText"/>
              <w:spacing w:after="0"/>
              <w:jc w:val="center"/>
            </w:pPr>
          </w:p>
        </w:tc>
      </w:tr>
      <w:tr w:rsidR="006B3233" w:rsidRPr="00A010DB" w14:paraId="0208C83C" w14:textId="77777777" w:rsidTr="00743FE7">
        <w:trPr>
          <w:trHeight w:val="576"/>
        </w:trPr>
        <w:tc>
          <w:tcPr>
            <w:tcW w:w="2592" w:type="dxa"/>
            <w:vAlign w:val="center"/>
          </w:tcPr>
          <w:p w14:paraId="4FB9DF6F" w14:textId="77777777" w:rsidR="006B3233" w:rsidRPr="00163646" w:rsidRDefault="006B3233" w:rsidP="00743FE7">
            <w:pPr>
              <w:pStyle w:val="BodyText"/>
              <w:spacing w:after="0"/>
              <w:jc w:val="left"/>
            </w:pPr>
            <w:r w:rsidRPr="00163646">
              <w:t xml:space="preserve">Fixed Asset Turnover </w:t>
            </w:r>
          </w:p>
        </w:tc>
        <w:tc>
          <w:tcPr>
            <w:tcW w:w="2160" w:type="dxa"/>
            <w:vAlign w:val="center"/>
          </w:tcPr>
          <w:p w14:paraId="28BD7F77" w14:textId="77777777" w:rsidR="006B3233" w:rsidRPr="00A010DB" w:rsidRDefault="006B3233" w:rsidP="00743FE7">
            <w:pPr>
              <w:pStyle w:val="BodyText"/>
              <w:spacing w:after="0"/>
              <w:jc w:val="center"/>
            </w:pPr>
          </w:p>
        </w:tc>
        <w:tc>
          <w:tcPr>
            <w:tcW w:w="2160" w:type="dxa"/>
            <w:vAlign w:val="center"/>
          </w:tcPr>
          <w:p w14:paraId="08CFBF6B" w14:textId="77777777" w:rsidR="006B3233" w:rsidRPr="00A010DB" w:rsidRDefault="006B3233" w:rsidP="00743FE7">
            <w:pPr>
              <w:pStyle w:val="BodyText"/>
              <w:spacing w:after="0"/>
              <w:jc w:val="center"/>
            </w:pPr>
          </w:p>
        </w:tc>
        <w:tc>
          <w:tcPr>
            <w:tcW w:w="2160" w:type="dxa"/>
            <w:vAlign w:val="center"/>
          </w:tcPr>
          <w:p w14:paraId="24EF0E6A" w14:textId="77777777" w:rsidR="006B3233" w:rsidRPr="00A010DB" w:rsidRDefault="006B3233" w:rsidP="00743FE7">
            <w:pPr>
              <w:pStyle w:val="BodyText"/>
              <w:spacing w:after="0"/>
              <w:jc w:val="center"/>
            </w:pPr>
          </w:p>
        </w:tc>
      </w:tr>
      <w:tr w:rsidR="006B3233" w:rsidRPr="00A010DB" w14:paraId="5C01C176" w14:textId="77777777" w:rsidTr="00743FE7">
        <w:trPr>
          <w:trHeight w:val="576"/>
        </w:trPr>
        <w:tc>
          <w:tcPr>
            <w:tcW w:w="2592" w:type="dxa"/>
            <w:vAlign w:val="center"/>
          </w:tcPr>
          <w:p w14:paraId="25F66377" w14:textId="77777777" w:rsidR="006B3233" w:rsidRPr="00163646" w:rsidRDefault="006B3233" w:rsidP="00743FE7">
            <w:pPr>
              <w:pStyle w:val="BodyText"/>
              <w:spacing w:after="0"/>
              <w:jc w:val="left"/>
            </w:pPr>
            <w:r w:rsidRPr="00163646">
              <w:t xml:space="preserve">Gross Profit Percentage </w:t>
            </w:r>
          </w:p>
        </w:tc>
        <w:tc>
          <w:tcPr>
            <w:tcW w:w="2160" w:type="dxa"/>
            <w:vAlign w:val="center"/>
          </w:tcPr>
          <w:p w14:paraId="78529283" w14:textId="77777777" w:rsidR="006B3233" w:rsidRPr="00A010DB" w:rsidRDefault="006B3233" w:rsidP="00743FE7">
            <w:pPr>
              <w:pStyle w:val="BodyText"/>
              <w:spacing w:after="0"/>
              <w:jc w:val="center"/>
            </w:pPr>
          </w:p>
        </w:tc>
        <w:tc>
          <w:tcPr>
            <w:tcW w:w="2160" w:type="dxa"/>
            <w:vAlign w:val="center"/>
          </w:tcPr>
          <w:p w14:paraId="12CBAAF9" w14:textId="77777777" w:rsidR="006B3233" w:rsidRPr="00A010DB" w:rsidRDefault="006B3233" w:rsidP="00743FE7">
            <w:pPr>
              <w:pStyle w:val="BodyText"/>
              <w:spacing w:after="0"/>
              <w:jc w:val="center"/>
            </w:pPr>
          </w:p>
        </w:tc>
        <w:tc>
          <w:tcPr>
            <w:tcW w:w="2160" w:type="dxa"/>
            <w:vAlign w:val="center"/>
          </w:tcPr>
          <w:p w14:paraId="2A6ABDD8" w14:textId="77777777" w:rsidR="006B3233" w:rsidRPr="00A010DB" w:rsidRDefault="006B3233" w:rsidP="00743FE7">
            <w:pPr>
              <w:pStyle w:val="BodyText"/>
              <w:spacing w:after="0"/>
              <w:jc w:val="center"/>
            </w:pPr>
          </w:p>
        </w:tc>
      </w:tr>
      <w:tr w:rsidR="006B3233" w:rsidRPr="00A010DB" w14:paraId="6D7C7BE7" w14:textId="77777777" w:rsidTr="00743FE7">
        <w:trPr>
          <w:trHeight w:val="576"/>
        </w:trPr>
        <w:tc>
          <w:tcPr>
            <w:tcW w:w="2592" w:type="dxa"/>
            <w:vAlign w:val="center"/>
          </w:tcPr>
          <w:p w14:paraId="4A67BC56" w14:textId="77777777" w:rsidR="006B3233" w:rsidRPr="00163646" w:rsidRDefault="006B3233" w:rsidP="00743FE7">
            <w:pPr>
              <w:pStyle w:val="BodyText"/>
              <w:spacing w:after="0"/>
              <w:jc w:val="left"/>
            </w:pPr>
            <w:r w:rsidRPr="00163646">
              <w:t>Inventory Turnover</w:t>
            </w:r>
          </w:p>
        </w:tc>
        <w:tc>
          <w:tcPr>
            <w:tcW w:w="2160" w:type="dxa"/>
            <w:vAlign w:val="center"/>
          </w:tcPr>
          <w:p w14:paraId="08B0FB5F" w14:textId="77777777" w:rsidR="006B3233" w:rsidRPr="00A010DB" w:rsidRDefault="006B3233" w:rsidP="00743FE7">
            <w:pPr>
              <w:pStyle w:val="BodyText"/>
              <w:spacing w:after="0"/>
              <w:jc w:val="center"/>
            </w:pPr>
          </w:p>
        </w:tc>
        <w:tc>
          <w:tcPr>
            <w:tcW w:w="2160" w:type="dxa"/>
            <w:vAlign w:val="center"/>
          </w:tcPr>
          <w:p w14:paraId="08A833F9" w14:textId="77777777" w:rsidR="006B3233" w:rsidRPr="00A010DB" w:rsidRDefault="006B3233" w:rsidP="00743FE7">
            <w:pPr>
              <w:pStyle w:val="BodyText"/>
              <w:spacing w:after="0"/>
              <w:jc w:val="center"/>
            </w:pPr>
          </w:p>
        </w:tc>
        <w:tc>
          <w:tcPr>
            <w:tcW w:w="2160" w:type="dxa"/>
            <w:vAlign w:val="center"/>
          </w:tcPr>
          <w:p w14:paraId="37DE7D5F" w14:textId="77777777" w:rsidR="006B3233" w:rsidRPr="00A010DB" w:rsidRDefault="006B3233" w:rsidP="00743FE7">
            <w:pPr>
              <w:pStyle w:val="BodyText"/>
              <w:spacing w:after="0"/>
              <w:jc w:val="center"/>
            </w:pPr>
          </w:p>
        </w:tc>
      </w:tr>
      <w:tr w:rsidR="006B3233" w:rsidRPr="00A010DB" w14:paraId="0DEFEDA2" w14:textId="77777777" w:rsidTr="00743FE7">
        <w:trPr>
          <w:trHeight w:val="576"/>
        </w:trPr>
        <w:tc>
          <w:tcPr>
            <w:tcW w:w="2592" w:type="dxa"/>
            <w:vAlign w:val="center"/>
          </w:tcPr>
          <w:p w14:paraId="5BAA3751" w14:textId="77777777" w:rsidR="006B3233" w:rsidRPr="00163646" w:rsidRDefault="006B3233" w:rsidP="00743FE7">
            <w:pPr>
              <w:pStyle w:val="BodyText"/>
              <w:spacing w:after="0"/>
              <w:jc w:val="left"/>
            </w:pPr>
            <w:r w:rsidRPr="00163646">
              <w:t>Net Profit Margin</w:t>
            </w:r>
          </w:p>
        </w:tc>
        <w:tc>
          <w:tcPr>
            <w:tcW w:w="2160" w:type="dxa"/>
            <w:vAlign w:val="center"/>
          </w:tcPr>
          <w:p w14:paraId="2C18F592" w14:textId="77777777" w:rsidR="006B3233" w:rsidRPr="00A010DB" w:rsidRDefault="006B3233" w:rsidP="00743FE7">
            <w:pPr>
              <w:pStyle w:val="BodyText"/>
              <w:spacing w:after="0"/>
              <w:jc w:val="center"/>
            </w:pPr>
          </w:p>
        </w:tc>
        <w:tc>
          <w:tcPr>
            <w:tcW w:w="2160" w:type="dxa"/>
            <w:vAlign w:val="center"/>
          </w:tcPr>
          <w:p w14:paraId="54919F08" w14:textId="77777777" w:rsidR="006B3233" w:rsidRPr="00A010DB" w:rsidRDefault="006B3233" w:rsidP="00743FE7">
            <w:pPr>
              <w:pStyle w:val="BodyText"/>
              <w:spacing w:after="0"/>
              <w:jc w:val="center"/>
            </w:pPr>
          </w:p>
        </w:tc>
        <w:tc>
          <w:tcPr>
            <w:tcW w:w="2160" w:type="dxa"/>
            <w:vAlign w:val="center"/>
          </w:tcPr>
          <w:p w14:paraId="718ECA33" w14:textId="77777777" w:rsidR="006B3233" w:rsidRPr="00A010DB" w:rsidRDefault="006B3233" w:rsidP="00743FE7">
            <w:pPr>
              <w:pStyle w:val="BodyText"/>
              <w:spacing w:after="0"/>
              <w:jc w:val="center"/>
            </w:pPr>
          </w:p>
        </w:tc>
      </w:tr>
      <w:tr w:rsidR="006B3233" w:rsidRPr="00A010DB" w14:paraId="59CBF678" w14:textId="77777777" w:rsidTr="00743FE7">
        <w:trPr>
          <w:trHeight w:val="576"/>
        </w:trPr>
        <w:tc>
          <w:tcPr>
            <w:tcW w:w="2592" w:type="dxa"/>
            <w:vAlign w:val="center"/>
          </w:tcPr>
          <w:p w14:paraId="487C10EE" w14:textId="77777777" w:rsidR="006B3233" w:rsidRPr="00163646" w:rsidRDefault="006B3233" w:rsidP="00743FE7">
            <w:pPr>
              <w:pStyle w:val="BodyText"/>
              <w:spacing w:after="0"/>
              <w:jc w:val="left"/>
            </w:pPr>
            <w:r w:rsidRPr="00163646">
              <w:t>Price/ Earnings Ratio</w:t>
            </w:r>
          </w:p>
        </w:tc>
        <w:tc>
          <w:tcPr>
            <w:tcW w:w="2160" w:type="dxa"/>
            <w:vAlign w:val="center"/>
          </w:tcPr>
          <w:p w14:paraId="5AA25353" w14:textId="77777777" w:rsidR="006B3233" w:rsidRPr="00A010DB" w:rsidRDefault="006B3233" w:rsidP="00743FE7">
            <w:pPr>
              <w:pStyle w:val="BodyText"/>
              <w:spacing w:after="0"/>
              <w:jc w:val="center"/>
            </w:pPr>
          </w:p>
        </w:tc>
        <w:tc>
          <w:tcPr>
            <w:tcW w:w="2160" w:type="dxa"/>
            <w:vAlign w:val="center"/>
          </w:tcPr>
          <w:p w14:paraId="20638154" w14:textId="77777777" w:rsidR="006B3233" w:rsidRPr="00A010DB" w:rsidRDefault="006B3233" w:rsidP="00743FE7">
            <w:pPr>
              <w:pStyle w:val="BodyText"/>
              <w:spacing w:after="0"/>
              <w:jc w:val="center"/>
            </w:pPr>
          </w:p>
        </w:tc>
        <w:tc>
          <w:tcPr>
            <w:tcW w:w="2160" w:type="dxa"/>
            <w:vAlign w:val="center"/>
          </w:tcPr>
          <w:p w14:paraId="246535C1" w14:textId="77777777" w:rsidR="006B3233" w:rsidRPr="00A010DB" w:rsidRDefault="006B3233" w:rsidP="00743FE7">
            <w:pPr>
              <w:pStyle w:val="BodyText"/>
              <w:spacing w:after="0"/>
              <w:jc w:val="center"/>
            </w:pPr>
          </w:p>
        </w:tc>
      </w:tr>
      <w:tr w:rsidR="006B3233" w:rsidRPr="00A010DB" w14:paraId="4C0951AA" w14:textId="77777777" w:rsidTr="00743FE7">
        <w:trPr>
          <w:trHeight w:val="576"/>
        </w:trPr>
        <w:tc>
          <w:tcPr>
            <w:tcW w:w="2592" w:type="dxa"/>
            <w:vAlign w:val="center"/>
          </w:tcPr>
          <w:p w14:paraId="00BB2CC5" w14:textId="77777777" w:rsidR="006B3233" w:rsidRPr="00163646" w:rsidRDefault="006B3233" w:rsidP="00743FE7">
            <w:pPr>
              <w:pStyle w:val="BodyText"/>
              <w:spacing w:after="0"/>
              <w:jc w:val="left"/>
            </w:pPr>
            <w:r w:rsidRPr="00163646">
              <w:t>Receivables Turnover</w:t>
            </w:r>
          </w:p>
        </w:tc>
        <w:tc>
          <w:tcPr>
            <w:tcW w:w="2160" w:type="dxa"/>
            <w:vAlign w:val="center"/>
          </w:tcPr>
          <w:p w14:paraId="27B12682" w14:textId="77777777" w:rsidR="006B3233" w:rsidRPr="00A010DB" w:rsidRDefault="006B3233" w:rsidP="00743FE7">
            <w:pPr>
              <w:pStyle w:val="BodyText"/>
              <w:spacing w:after="0"/>
              <w:jc w:val="center"/>
            </w:pPr>
          </w:p>
        </w:tc>
        <w:tc>
          <w:tcPr>
            <w:tcW w:w="2160" w:type="dxa"/>
            <w:vAlign w:val="center"/>
          </w:tcPr>
          <w:p w14:paraId="521F11C2" w14:textId="77777777" w:rsidR="006B3233" w:rsidRPr="00A010DB" w:rsidRDefault="006B3233" w:rsidP="00743FE7">
            <w:pPr>
              <w:pStyle w:val="BodyText"/>
              <w:spacing w:after="0"/>
              <w:jc w:val="center"/>
            </w:pPr>
          </w:p>
        </w:tc>
        <w:tc>
          <w:tcPr>
            <w:tcW w:w="2160" w:type="dxa"/>
            <w:vAlign w:val="center"/>
          </w:tcPr>
          <w:p w14:paraId="0CF91E3A" w14:textId="77777777" w:rsidR="006B3233" w:rsidRPr="00A010DB" w:rsidRDefault="006B3233" w:rsidP="00743FE7">
            <w:pPr>
              <w:pStyle w:val="BodyText"/>
              <w:spacing w:after="0"/>
              <w:jc w:val="center"/>
            </w:pPr>
          </w:p>
        </w:tc>
      </w:tr>
      <w:tr w:rsidR="006B3233" w:rsidRPr="00A010DB" w14:paraId="29CF9CBA" w14:textId="77777777" w:rsidTr="00743FE7">
        <w:trPr>
          <w:trHeight w:val="576"/>
        </w:trPr>
        <w:tc>
          <w:tcPr>
            <w:tcW w:w="2592" w:type="dxa"/>
            <w:vAlign w:val="center"/>
          </w:tcPr>
          <w:p w14:paraId="1C8EC23F" w14:textId="77777777" w:rsidR="006B3233" w:rsidRPr="00163646" w:rsidRDefault="006B3233" w:rsidP="00743FE7">
            <w:pPr>
              <w:pStyle w:val="BodyText"/>
              <w:spacing w:after="0"/>
              <w:jc w:val="left"/>
            </w:pPr>
            <w:r w:rsidRPr="00163646">
              <w:t xml:space="preserve">Return </w:t>
            </w:r>
            <w:r>
              <w:t>o</w:t>
            </w:r>
            <w:r w:rsidRPr="00163646">
              <w:t xml:space="preserve">n Equity (ROE) </w:t>
            </w:r>
          </w:p>
        </w:tc>
        <w:tc>
          <w:tcPr>
            <w:tcW w:w="2160" w:type="dxa"/>
            <w:vAlign w:val="center"/>
          </w:tcPr>
          <w:p w14:paraId="2BBEBC69" w14:textId="77777777" w:rsidR="006B3233" w:rsidRPr="00A010DB" w:rsidRDefault="006B3233" w:rsidP="00743FE7">
            <w:pPr>
              <w:pStyle w:val="BodyText"/>
              <w:spacing w:after="0"/>
              <w:jc w:val="center"/>
            </w:pPr>
          </w:p>
        </w:tc>
        <w:tc>
          <w:tcPr>
            <w:tcW w:w="2160" w:type="dxa"/>
            <w:vAlign w:val="center"/>
          </w:tcPr>
          <w:p w14:paraId="4F4ED399" w14:textId="77777777" w:rsidR="006B3233" w:rsidRPr="00A010DB" w:rsidRDefault="006B3233" w:rsidP="00743FE7">
            <w:pPr>
              <w:pStyle w:val="BodyText"/>
              <w:spacing w:after="0"/>
              <w:jc w:val="center"/>
            </w:pPr>
          </w:p>
        </w:tc>
        <w:tc>
          <w:tcPr>
            <w:tcW w:w="2160" w:type="dxa"/>
            <w:vAlign w:val="center"/>
          </w:tcPr>
          <w:p w14:paraId="1E186B0D" w14:textId="77777777" w:rsidR="006B3233" w:rsidRPr="00A010DB" w:rsidRDefault="006B3233" w:rsidP="00743FE7">
            <w:pPr>
              <w:pStyle w:val="BodyText"/>
              <w:spacing w:after="0"/>
              <w:jc w:val="center"/>
            </w:pPr>
          </w:p>
        </w:tc>
      </w:tr>
      <w:tr w:rsidR="006B3233" w:rsidRPr="00A010DB" w14:paraId="4163D575" w14:textId="77777777" w:rsidTr="00743FE7">
        <w:trPr>
          <w:trHeight w:val="576"/>
        </w:trPr>
        <w:tc>
          <w:tcPr>
            <w:tcW w:w="2592" w:type="dxa"/>
            <w:vAlign w:val="center"/>
          </w:tcPr>
          <w:p w14:paraId="1CBC5E98" w14:textId="77777777" w:rsidR="006B3233" w:rsidRPr="00163646" w:rsidRDefault="006B3233" w:rsidP="00743FE7">
            <w:pPr>
              <w:pStyle w:val="BodyText"/>
              <w:spacing w:after="0"/>
              <w:jc w:val="left"/>
            </w:pPr>
            <w:r w:rsidRPr="00163646">
              <w:t xml:space="preserve">Times Interest Earned </w:t>
            </w:r>
          </w:p>
        </w:tc>
        <w:tc>
          <w:tcPr>
            <w:tcW w:w="2160" w:type="dxa"/>
            <w:vAlign w:val="center"/>
          </w:tcPr>
          <w:p w14:paraId="0185AA97" w14:textId="77777777" w:rsidR="006B3233" w:rsidRPr="00A010DB" w:rsidRDefault="006B3233" w:rsidP="00743FE7">
            <w:pPr>
              <w:pStyle w:val="BodyText"/>
              <w:spacing w:after="0"/>
              <w:jc w:val="center"/>
            </w:pPr>
          </w:p>
        </w:tc>
        <w:tc>
          <w:tcPr>
            <w:tcW w:w="2160" w:type="dxa"/>
            <w:vAlign w:val="center"/>
          </w:tcPr>
          <w:p w14:paraId="7FEE0D43" w14:textId="77777777" w:rsidR="006B3233" w:rsidRPr="00A010DB" w:rsidRDefault="006B3233" w:rsidP="00743FE7">
            <w:pPr>
              <w:pStyle w:val="BodyText"/>
              <w:spacing w:after="0"/>
              <w:jc w:val="center"/>
            </w:pPr>
          </w:p>
        </w:tc>
        <w:tc>
          <w:tcPr>
            <w:tcW w:w="2160" w:type="dxa"/>
            <w:vAlign w:val="center"/>
          </w:tcPr>
          <w:p w14:paraId="6A7FBC33" w14:textId="77777777" w:rsidR="006B3233" w:rsidRPr="00A010DB" w:rsidRDefault="006B3233" w:rsidP="00743FE7">
            <w:pPr>
              <w:pStyle w:val="BodyText"/>
              <w:spacing w:after="0"/>
              <w:jc w:val="center"/>
            </w:pPr>
          </w:p>
        </w:tc>
      </w:tr>
    </w:tbl>
    <w:p w14:paraId="2E00B6AE" w14:textId="77777777" w:rsidR="00A010DB" w:rsidRDefault="00A010DB" w:rsidP="00A010DB">
      <w:pPr>
        <w:pStyle w:val="Outline1"/>
      </w:pPr>
      <w:r w:rsidRPr="00163646">
        <w:br w:type="page"/>
      </w:r>
    </w:p>
    <w:p w14:paraId="6C6D0E7F" w14:textId="229148EA" w:rsidR="002329AC" w:rsidRDefault="002329AC" w:rsidP="00B17A5B">
      <w:pPr>
        <w:pStyle w:val="Heading1"/>
        <w:spacing w:before="240"/>
      </w:pPr>
      <w:r w:rsidRPr="005F480C">
        <w:lastRenderedPageBreak/>
        <w:t>HANDOUT</w:t>
      </w:r>
      <w:r w:rsidR="00B17A5B">
        <w:t xml:space="preserve"> 13–1 </w:t>
      </w:r>
      <w:r w:rsidR="00DF3CE3">
        <w:t>SOLUTION</w:t>
      </w:r>
    </w:p>
    <w:p w14:paraId="2ED1FD72" w14:textId="77777777" w:rsidR="009B0EA6" w:rsidRDefault="00B17A5B" w:rsidP="00B17A5B">
      <w:pPr>
        <w:pStyle w:val="Heading1"/>
        <w:spacing w:before="240"/>
        <w:jc w:val="center"/>
        <w:rPr>
          <w:u w:val="none"/>
        </w:rPr>
      </w:pPr>
      <w:r>
        <w:rPr>
          <w:u w:val="none"/>
        </w:rPr>
        <w:t xml:space="preserve">CLASSIFICIATON OF FINANCIAL </w:t>
      </w:r>
      <w:r w:rsidR="009B0EA6">
        <w:rPr>
          <w:u w:val="none"/>
        </w:rPr>
        <w:t>RATIO</w:t>
      </w:r>
      <w:r>
        <w:rPr>
          <w:u w:val="none"/>
        </w:rPr>
        <w:t>S</w:t>
      </w:r>
    </w:p>
    <w:p w14:paraId="48F4DA0D" w14:textId="77777777" w:rsidR="00B17A5B" w:rsidRDefault="00163646" w:rsidP="00163646">
      <w:pPr>
        <w:pStyle w:val="BodyText"/>
      </w:pPr>
      <w:r>
        <w:rPr>
          <w:szCs w:val="22"/>
        </w:rPr>
        <w:t>Indicate whether each of the following financial ratio</w:t>
      </w:r>
      <w:r w:rsidR="00A010DB">
        <w:rPr>
          <w:szCs w:val="22"/>
        </w:rPr>
        <w:t>s</w:t>
      </w:r>
      <w:r>
        <w:rPr>
          <w:szCs w:val="22"/>
        </w:rPr>
        <w:t xml:space="preserve"> would be classified as a profitability, liquidity, or solvency ratio when performing ratio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592"/>
        <w:gridCol w:w="2160"/>
        <w:gridCol w:w="2160"/>
        <w:gridCol w:w="2160"/>
      </w:tblGrid>
      <w:tr w:rsidR="00163646" w14:paraId="6BE294D3" w14:textId="77777777" w:rsidTr="001F4E0F">
        <w:tc>
          <w:tcPr>
            <w:tcW w:w="2592" w:type="dxa"/>
          </w:tcPr>
          <w:p w14:paraId="745E042E" w14:textId="77777777" w:rsidR="00163646" w:rsidRPr="001F4E0F" w:rsidRDefault="00163646" w:rsidP="001F4E0F">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Financial Ratio</w:t>
            </w:r>
          </w:p>
        </w:tc>
        <w:tc>
          <w:tcPr>
            <w:tcW w:w="2160" w:type="dxa"/>
          </w:tcPr>
          <w:p w14:paraId="55D34249" w14:textId="77777777" w:rsidR="00163646" w:rsidRPr="001F4E0F" w:rsidRDefault="00163646" w:rsidP="001F4E0F">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Profitability Ratio</w:t>
            </w:r>
          </w:p>
        </w:tc>
        <w:tc>
          <w:tcPr>
            <w:tcW w:w="2160" w:type="dxa"/>
          </w:tcPr>
          <w:p w14:paraId="24A2C1D0" w14:textId="77777777" w:rsidR="00163646" w:rsidRPr="001F4E0F" w:rsidRDefault="00163646" w:rsidP="001F4E0F">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Liquidity Ratio</w:t>
            </w:r>
          </w:p>
        </w:tc>
        <w:tc>
          <w:tcPr>
            <w:tcW w:w="2160" w:type="dxa"/>
          </w:tcPr>
          <w:p w14:paraId="12F2137E" w14:textId="77777777" w:rsidR="00163646" w:rsidRPr="001F4E0F" w:rsidRDefault="00163646" w:rsidP="001F4E0F">
            <w:pPr>
              <w:pStyle w:val="Heading1"/>
              <w:spacing w:before="240"/>
              <w:jc w:val="center"/>
              <w:rPr>
                <w:rFonts w:ascii="Times New Roman" w:hAnsi="Times New Roman"/>
                <w:b w:val="0"/>
                <w:bCs/>
                <w:sz w:val="22"/>
                <w:szCs w:val="22"/>
                <w:u w:val="none"/>
              </w:rPr>
            </w:pPr>
            <w:r w:rsidRPr="001F4E0F">
              <w:rPr>
                <w:rFonts w:ascii="Times New Roman" w:hAnsi="Times New Roman"/>
                <w:b w:val="0"/>
                <w:bCs/>
                <w:sz w:val="22"/>
                <w:szCs w:val="22"/>
                <w:u w:val="none"/>
              </w:rPr>
              <w:t>Solvency Ratio</w:t>
            </w:r>
          </w:p>
        </w:tc>
      </w:tr>
      <w:tr w:rsidR="00163646" w14:paraId="7CAF9FBB" w14:textId="77777777" w:rsidTr="001F4E0F">
        <w:trPr>
          <w:trHeight w:val="576"/>
        </w:trPr>
        <w:tc>
          <w:tcPr>
            <w:tcW w:w="2592" w:type="dxa"/>
            <w:vAlign w:val="center"/>
          </w:tcPr>
          <w:p w14:paraId="6E744A80" w14:textId="77777777" w:rsidR="00163646" w:rsidRPr="001F4E0F" w:rsidRDefault="00163646" w:rsidP="001F4E0F">
            <w:pPr>
              <w:pStyle w:val="BodyText"/>
              <w:spacing w:after="0"/>
              <w:jc w:val="left"/>
              <w:rPr>
                <w:b/>
                <w:bCs/>
                <w:szCs w:val="22"/>
              </w:rPr>
            </w:pPr>
            <w:r w:rsidRPr="00163646">
              <w:t xml:space="preserve">Current </w:t>
            </w:r>
            <w:r w:rsidR="00DF3CE3" w:rsidRPr="00163646">
              <w:t xml:space="preserve">Ratio </w:t>
            </w:r>
          </w:p>
        </w:tc>
        <w:tc>
          <w:tcPr>
            <w:tcW w:w="2160" w:type="dxa"/>
            <w:vAlign w:val="center"/>
          </w:tcPr>
          <w:p w14:paraId="7E5B0768" w14:textId="77777777" w:rsidR="00163646" w:rsidRPr="00A010DB" w:rsidRDefault="00163646" w:rsidP="001F4E0F">
            <w:pPr>
              <w:pStyle w:val="BodyText"/>
              <w:spacing w:after="0"/>
              <w:jc w:val="center"/>
            </w:pPr>
          </w:p>
        </w:tc>
        <w:tc>
          <w:tcPr>
            <w:tcW w:w="2160" w:type="dxa"/>
            <w:vAlign w:val="center"/>
          </w:tcPr>
          <w:p w14:paraId="05382B2D" w14:textId="77777777" w:rsidR="00163646" w:rsidRPr="00A010DB" w:rsidRDefault="00A010DB" w:rsidP="001F4E0F">
            <w:pPr>
              <w:pStyle w:val="BodyText"/>
              <w:spacing w:after="0"/>
              <w:jc w:val="center"/>
            </w:pPr>
            <w:r w:rsidRPr="00A010DB">
              <w:t>X</w:t>
            </w:r>
          </w:p>
        </w:tc>
        <w:tc>
          <w:tcPr>
            <w:tcW w:w="2160" w:type="dxa"/>
            <w:vAlign w:val="center"/>
          </w:tcPr>
          <w:p w14:paraId="56DD23B4" w14:textId="77777777" w:rsidR="00163646" w:rsidRPr="00A010DB" w:rsidRDefault="00163646" w:rsidP="001F4E0F">
            <w:pPr>
              <w:pStyle w:val="BodyText"/>
              <w:spacing w:after="0"/>
              <w:jc w:val="center"/>
            </w:pPr>
          </w:p>
        </w:tc>
      </w:tr>
      <w:tr w:rsidR="00163646" w14:paraId="40B3FDDE" w14:textId="77777777" w:rsidTr="001F4E0F">
        <w:trPr>
          <w:trHeight w:val="576"/>
        </w:trPr>
        <w:tc>
          <w:tcPr>
            <w:tcW w:w="2592" w:type="dxa"/>
            <w:vAlign w:val="center"/>
          </w:tcPr>
          <w:p w14:paraId="788FC5FC" w14:textId="77777777" w:rsidR="00163646" w:rsidRPr="001F4E0F" w:rsidRDefault="00163646" w:rsidP="00DF3CE3">
            <w:pPr>
              <w:pStyle w:val="BodyText"/>
              <w:spacing w:after="0"/>
              <w:jc w:val="left"/>
              <w:rPr>
                <w:b/>
                <w:bCs/>
                <w:szCs w:val="22"/>
              </w:rPr>
            </w:pPr>
            <w:r w:rsidRPr="00163646">
              <w:t xml:space="preserve">Days </w:t>
            </w:r>
            <w:r w:rsidR="00DF3CE3">
              <w:t>t</w:t>
            </w:r>
            <w:r w:rsidR="00DF3CE3" w:rsidRPr="00163646">
              <w:t>o Collect</w:t>
            </w:r>
          </w:p>
        </w:tc>
        <w:tc>
          <w:tcPr>
            <w:tcW w:w="2160" w:type="dxa"/>
            <w:vAlign w:val="center"/>
          </w:tcPr>
          <w:p w14:paraId="3EAB5AE5" w14:textId="77777777" w:rsidR="00163646" w:rsidRPr="00A010DB" w:rsidRDefault="00163646" w:rsidP="001F4E0F">
            <w:pPr>
              <w:pStyle w:val="BodyText"/>
              <w:spacing w:after="0"/>
              <w:jc w:val="center"/>
            </w:pPr>
          </w:p>
        </w:tc>
        <w:tc>
          <w:tcPr>
            <w:tcW w:w="2160" w:type="dxa"/>
            <w:vAlign w:val="center"/>
          </w:tcPr>
          <w:p w14:paraId="4ECAD0E4" w14:textId="77777777" w:rsidR="00163646" w:rsidRPr="00A010DB" w:rsidRDefault="00A010DB" w:rsidP="001F4E0F">
            <w:pPr>
              <w:pStyle w:val="BodyText"/>
              <w:spacing w:after="0"/>
              <w:jc w:val="center"/>
            </w:pPr>
            <w:r w:rsidRPr="00A010DB">
              <w:t>X</w:t>
            </w:r>
          </w:p>
        </w:tc>
        <w:tc>
          <w:tcPr>
            <w:tcW w:w="2160" w:type="dxa"/>
            <w:vAlign w:val="center"/>
          </w:tcPr>
          <w:p w14:paraId="55BCA287" w14:textId="77777777" w:rsidR="00163646" w:rsidRPr="00A010DB" w:rsidRDefault="00163646" w:rsidP="001F4E0F">
            <w:pPr>
              <w:pStyle w:val="BodyText"/>
              <w:spacing w:after="0"/>
              <w:jc w:val="center"/>
            </w:pPr>
          </w:p>
        </w:tc>
      </w:tr>
      <w:tr w:rsidR="00163646" w14:paraId="36DE5985" w14:textId="77777777" w:rsidTr="001F4E0F">
        <w:trPr>
          <w:trHeight w:val="576"/>
        </w:trPr>
        <w:tc>
          <w:tcPr>
            <w:tcW w:w="2592" w:type="dxa"/>
            <w:vAlign w:val="center"/>
          </w:tcPr>
          <w:p w14:paraId="541F0BE8" w14:textId="77777777" w:rsidR="00163646" w:rsidRPr="001F4E0F" w:rsidRDefault="00163646" w:rsidP="00DF3CE3">
            <w:pPr>
              <w:pStyle w:val="BodyText"/>
              <w:spacing w:after="0"/>
              <w:jc w:val="left"/>
              <w:rPr>
                <w:b/>
                <w:bCs/>
                <w:szCs w:val="22"/>
              </w:rPr>
            </w:pPr>
            <w:r w:rsidRPr="00163646">
              <w:t xml:space="preserve">Days </w:t>
            </w:r>
            <w:r w:rsidR="00DF3CE3">
              <w:t>t</w:t>
            </w:r>
            <w:r w:rsidR="00DF3CE3" w:rsidRPr="00163646">
              <w:t>o Sel</w:t>
            </w:r>
            <w:r w:rsidR="00DF3CE3">
              <w:t>l</w:t>
            </w:r>
          </w:p>
        </w:tc>
        <w:tc>
          <w:tcPr>
            <w:tcW w:w="2160" w:type="dxa"/>
            <w:vAlign w:val="center"/>
          </w:tcPr>
          <w:p w14:paraId="4618B074" w14:textId="77777777" w:rsidR="00163646" w:rsidRPr="00A010DB" w:rsidRDefault="00163646" w:rsidP="001F4E0F">
            <w:pPr>
              <w:pStyle w:val="BodyText"/>
              <w:spacing w:after="0"/>
              <w:jc w:val="center"/>
            </w:pPr>
          </w:p>
        </w:tc>
        <w:tc>
          <w:tcPr>
            <w:tcW w:w="2160" w:type="dxa"/>
            <w:vAlign w:val="center"/>
          </w:tcPr>
          <w:p w14:paraId="3C361E91" w14:textId="77777777" w:rsidR="00163646" w:rsidRPr="00A010DB" w:rsidRDefault="00A010DB" w:rsidP="001F4E0F">
            <w:pPr>
              <w:pStyle w:val="BodyText"/>
              <w:spacing w:after="0"/>
              <w:jc w:val="center"/>
            </w:pPr>
            <w:r w:rsidRPr="00A010DB">
              <w:t>X</w:t>
            </w:r>
          </w:p>
        </w:tc>
        <w:tc>
          <w:tcPr>
            <w:tcW w:w="2160" w:type="dxa"/>
            <w:vAlign w:val="center"/>
          </w:tcPr>
          <w:p w14:paraId="033F8502" w14:textId="77777777" w:rsidR="00163646" w:rsidRPr="00A010DB" w:rsidRDefault="00163646" w:rsidP="001F4E0F">
            <w:pPr>
              <w:pStyle w:val="BodyText"/>
              <w:spacing w:after="0"/>
              <w:jc w:val="center"/>
            </w:pPr>
          </w:p>
        </w:tc>
      </w:tr>
      <w:tr w:rsidR="00163646" w14:paraId="2B0842C1" w14:textId="77777777" w:rsidTr="001F4E0F">
        <w:trPr>
          <w:trHeight w:val="576"/>
        </w:trPr>
        <w:tc>
          <w:tcPr>
            <w:tcW w:w="2592" w:type="dxa"/>
            <w:vAlign w:val="center"/>
          </w:tcPr>
          <w:p w14:paraId="0B1D1B37" w14:textId="77777777" w:rsidR="00163646" w:rsidRPr="00163646" w:rsidRDefault="00163646" w:rsidP="00DF3CE3">
            <w:pPr>
              <w:pStyle w:val="BodyText"/>
              <w:spacing w:after="0"/>
              <w:jc w:val="left"/>
            </w:pPr>
            <w:r w:rsidRPr="00163646">
              <w:t>Debt</w:t>
            </w:r>
            <w:r w:rsidR="005E3E12">
              <w:t>-to-</w:t>
            </w:r>
            <w:r w:rsidR="00DF3CE3" w:rsidRPr="00163646">
              <w:t>Assets</w:t>
            </w:r>
          </w:p>
        </w:tc>
        <w:tc>
          <w:tcPr>
            <w:tcW w:w="2160" w:type="dxa"/>
            <w:vAlign w:val="center"/>
          </w:tcPr>
          <w:p w14:paraId="76A9B391" w14:textId="77777777" w:rsidR="00163646" w:rsidRPr="00A010DB" w:rsidRDefault="00163646" w:rsidP="001F4E0F">
            <w:pPr>
              <w:pStyle w:val="BodyText"/>
              <w:spacing w:after="0"/>
              <w:jc w:val="center"/>
            </w:pPr>
          </w:p>
        </w:tc>
        <w:tc>
          <w:tcPr>
            <w:tcW w:w="2160" w:type="dxa"/>
            <w:vAlign w:val="center"/>
          </w:tcPr>
          <w:p w14:paraId="675AB06B" w14:textId="77777777" w:rsidR="00163646" w:rsidRPr="00A010DB" w:rsidRDefault="00163646" w:rsidP="001F4E0F">
            <w:pPr>
              <w:pStyle w:val="BodyText"/>
              <w:spacing w:after="0"/>
              <w:jc w:val="center"/>
            </w:pPr>
          </w:p>
        </w:tc>
        <w:tc>
          <w:tcPr>
            <w:tcW w:w="2160" w:type="dxa"/>
            <w:vAlign w:val="center"/>
          </w:tcPr>
          <w:p w14:paraId="1D2EE4B2" w14:textId="77777777" w:rsidR="00163646" w:rsidRPr="00A010DB" w:rsidRDefault="00A010DB" w:rsidP="001F4E0F">
            <w:pPr>
              <w:pStyle w:val="BodyText"/>
              <w:spacing w:after="0"/>
              <w:jc w:val="center"/>
            </w:pPr>
            <w:r w:rsidRPr="00A010DB">
              <w:t>X</w:t>
            </w:r>
          </w:p>
        </w:tc>
      </w:tr>
      <w:tr w:rsidR="00163646" w14:paraId="749BA116" w14:textId="77777777" w:rsidTr="001F4E0F">
        <w:trPr>
          <w:trHeight w:val="576"/>
        </w:trPr>
        <w:tc>
          <w:tcPr>
            <w:tcW w:w="2592" w:type="dxa"/>
            <w:vAlign w:val="center"/>
          </w:tcPr>
          <w:p w14:paraId="76F5A187" w14:textId="77777777" w:rsidR="00163646" w:rsidRPr="00163646" w:rsidRDefault="00163646" w:rsidP="00DF3CE3">
            <w:pPr>
              <w:pStyle w:val="BodyText"/>
              <w:spacing w:after="0"/>
              <w:jc w:val="left"/>
            </w:pPr>
            <w:r w:rsidRPr="00163646">
              <w:t xml:space="preserve">Earnings </w:t>
            </w:r>
            <w:r w:rsidR="00DF3CE3">
              <w:t>pe</w:t>
            </w:r>
            <w:r w:rsidR="00DF3CE3" w:rsidRPr="00163646">
              <w:t>r Share (</w:t>
            </w:r>
            <w:r w:rsidRPr="00163646">
              <w:t>EPS</w:t>
            </w:r>
            <w:r w:rsidR="00DF3CE3" w:rsidRPr="00163646">
              <w:t>)</w:t>
            </w:r>
          </w:p>
        </w:tc>
        <w:tc>
          <w:tcPr>
            <w:tcW w:w="2160" w:type="dxa"/>
            <w:vAlign w:val="center"/>
          </w:tcPr>
          <w:p w14:paraId="4842B9D2" w14:textId="77777777" w:rsidR="00163646" w:rsidRPr="00A010DB" w:rsidRDefault="00A010DB" w:rsidP="001F4E0F">
            <w:pPr>
              <w:pStyle w:val="BodyText"/>
              <w:spacing w:after="0"/>
              <w:jc w:val="center"/>
            </w:pPr>
            <w:r w:rsidRPr="00A010DB">
              <w:t>X</w:t>
            </w:r>
          </w:p>
        </w:tc>
        <w:tc>
          <w:tcPr>
            <w:tcW w:w="2160" w:type="dxa"/>
            <w:vAlign w:val="center"/>
          </w:tcPr>
          <w:p w14:paraId="42DF77D8" w14:textId="77777777" w:rsidR="00163646" w:rsidRPr="00A010DB" w:rsidRDefault="00163646" w:rsidP="001F4E0F">
            <w:pPr>
              <w:pStyle w:val="BodyText"/>
              <w:spacing w:after="0"/>
              <w:jc w:val="center"/>
            </w:pPr>
          </w:p>
        </w:tc>
        <w:tc>
          <w:tcPr>
            <w:tcW w:w="2160" w:type="dxa"/>
            <w:vAlign w:val="center"/>
          </w:tcPr>
          <w:p w14:paraId="1205690C" w14:textId="77777777" w:rsidR="00163646" w:rsidRPr="00A010DB" w:rsidRDefault="00163646" w:rsidP="001F4E0F">
            <w:pPr>
              <w:pStyle w:val="BodyText"/>
              <w:spacing w:after="0"/>
              <w:jc w:val="center"/>
            </w:pPr>
          </w:p>
        </w:tc>
      </w:tr>
      <w:tr w:rsidR="00163646" w14:paraId="5A01659D" w14:textId="77777777" w:rsidTr="001F4E0F">
        <w:trPr>
          <w:trHeight w:val="576"/>
        </w:trPr>
        <w:tc>
          <w:tcPr>
            <w:tcW w:w="2592" w:type="dxa"/>
            <w:vAlign w:val="center"/>
          </w:tcPr>
          <w:p w14:paraId="117FBDE2" w14:textId="77777777" w:rsidR="00163646" w:rsidRPr="00163646" w:rsidRDefault="00163646" w:rsidP="001F4E0F">
            <w:pPr>
              <w:pStyle w:val="BodyText"/>
              <w:spacing w:after="0"/>
              <w:jc w:val="left"/>
            </w:pPr>
            <w:r w:rsidRPr="00163646">
              <w:t xml:space="preserve">Fixed </w:t>
            </w:r>
            <w:r w:rsidR="00DF3CE3" w:rsidRPr="00163646">
              <w:t xml:space="preserve">Asset Turnover </w:t>
            </w:r>
          </w:p>
        </w:tc>
        <w:tc>
          <w:tcPr>
            <w:tcW w:w="2160" w:type="dxa"/>
            <w:vAlign w:val="center"/>
          </w:tcPr>
          <w:p w14:paraId="6CA4485D" w14:textId="77777777" w:rsidR="00163646" w:rsidRPr="00A010DB" w:rsidRDefault="00A010DB" w:rsidP="001F4E0F">
            <w:pPr>
              <w:pStyle w:val="BodyText"/>
              <w:spacing w:after="0"/>
              <w:jc w:val="center"/>
            </w:pPr>
            <w:r w:rsidRPr="00A010DB">
              <w:t>X</w:t>
            </w:r>
          </w:p>
        </w:tc>
        <w:tc>
          <w:tcPr>
            <w:tcW w:w="2160" w:type="dxa"/>
            <w:vAlign w:val="center"/>
          </w:tcPr>
          <w:p w14:paraId="7578F9A3" w14:textId="77777777" w:rsidR="00163646" w:rsidRPr="00A010DB" w:rsidRDefault="00163646" w:rsidP="001F4E0F">
            <w:pPr>
              <w:pStyle w:val="BodyText"/>
              <w:spacing w:after="0"/>
              <w:jc w:val="center"/>
            </w:pPr>
          </w:p>
        </w:tc>
        <w:tc>
          <w:tcPr>
            <w:tcW w:w="2160" w:type="dxa"/>
            <w:vAlign w:val="center"/>
          </w:tcPr>
          <w:p w14:paraId="3D0DEB1C" w14:textId="77777777" w:rsidR="00163646" w:rsidRPr="00A010DB" w:rsidRDefault="00163646" w:rsidP="001F4E0F">
            <w:pPr>
              <w:pStyle w:val="BodyText"/>
              <w:spacing w:after="0"/>
              <w:jc w:val="center"/>
            </w:pPr>
          </w:p>
        </w:tc>
      </w:tr>
      <w:tr w:rsidR="00163646" w14:paraId="60FEC1AF" w14:textId="77777777" w:rsidTr="001F4E0F">
        <w:trPr>
          <w:trHeight w:val="576"/>
        </w:trPr>
        <w:tc>
          <w:tcPr>
            <w:tcW w:w="2592" w:type="dxa"/>
            <w:vAlign w:val="center"/>
          </w:tcPr>
          <w:p w14:paraId="02A42D14" w14:textId="77777777" w:rsidR="00163646" w:rsidRPr="00163646" w:rsidRDefault="00163646" w:rsidP="001F4E0F">
            <w:pPr>
              <w:pStyle w:val="BodyText"/>
              <w:spacing w:after="0"/>
              <w:jc w:val="left"/>
            </w:pPr>
            <w:r w:rsidRPr="00163646">
              <w:t xml:space="preserve">Gross </w:t>
            </w:r>
            <w:r w:rsidR="00DF3CE3" w:rsidRPr="00163646">
              <w:t xml:space="preserve">Profit Percentage </w:t>
            </w:r>
          </w:p>
        </w:tc>
        <w:tc>
          <w:tcPr>
            <w:tcW w:w="2160" w:type="dxa"/>
            <w:vAlign w:val="center"/>
          </w:tcPr>
          <w:p w14:paraId="6F620119" w14:textId="77777777" w:rsidR="00163646" w:rsidRPr="00A010DB" w:rsidRDefault="00A010DB" w:rsidP="001F4E0F">
            <w:pPr>
              <w:pStyle w:val="BodyText"/>
              <w:spacing w:after="0"/>
              <w:jc w:val="center"/>
            </w:pPr>
            <w:r w:rsidRPr="00A010DB">
              <w:t>X</w:t>
            </w:r>
          </w:p>
        </w:tc>
        <w:tc>
          <w:tcPr>
            <w:tcW w:w="2160" w:type="dxa"/>
            <w:vAlign w:val="center"/>
          </w:tcPr>
          <w:p w14:paraId="1DD11C10" w14:textId="77777777" w:rsidR="00163646" w:rsidRPr="00A010DB" w:rsidRDefault="00163646" w:rsidP="001F4E0F">
            <w:pPr>
              <w:pStyle w:val="BodyText"/>
              <w:spacing w:after="0"/>
              <w:jc w:val="center"/>
            </w:pPr>
          </w:p>
        </w:tc>
        <w:tc>
          <w:tcPr>
            <w:tcW w:w="2160" w:type="dxa"/>
            <w:vAlign w:val="center"/>
          </w:tcPr>
          <w:p w14:paraId="7A2E65A7" w14:textId="77777777" w:rsidR="00163646" w:rsidRPr="00A010DB" w:rsidRDefault="00163646" w:rsidP="001F4E0F">
            <w:pPr>
              <w:pStyle w:val="BodyText"/>
              <w:spacing w:after="0"/>
              <w:jc w:val="center"/>
            </w:pPr>
          </w:p>
        </w:tc>
      </w:tr>
      <w:tr w:rsidR="00163646" w14:paraId="6A5BDDEF" w14:textId="77777777" w:rsidTr="001F4E0F">
        <w:trPr>
          <w:trHeight w:val="576"/>
        </w:trPr>
        <w:tc>
          <w:tcPr>
            <w:tcW w:w="2592" w:type="dxa"/>
            <w:vAlign w:val="center"/>
          </w:tcPr>
          <w:p w14:paraId="285946E5" w14:textId="77777777" w:rsidR="00163646" w:rsidRPr="00163646" w:rsidRDefault="00163646" w:rsidP="001F4E0F">
            <w:pPr>
              <w:pStyle w:val="BodyText"/>
              <w:spacing w:after="0"/>
              <w:jc w:val="left"/>
            </w:pPr>
            <w:r w:rsidRPr="00163646">
              <w:t xml:space="preserve">Inventory </w:t>
            </w:r>
            <w:r w:rsidR="00DF3CE3" w:rsidRPr="00163646">
              <w:t>Turnover</w:t>
            </w:r>
          </w:p>
        </w:tc>
        <w:tc>
          <w:tcPr>
            <w:tcW w:w="2160" w:type="dxa"/>
            <w:vAlign w:val="center"/>
          </w:tcPr>
          <w:p w14:paraId="04017D63" w14:textId="77777777" w:rsidR="00163646" w:rsidRPr="00A010DB" w:rsidRDefault="00163646" w:rsidP="001F4E0F">
            <w:pPr>
              <w:pStyle w:val="BodyText"/>
              <w:spacing w:after="0"/>
              <w:jc w:val="center"/>
            </w:pPr>
          </w:p>
        </w:tc>
        <w:tc>
          <w:tcPr>
            <w:tcW w:w="2160" w:type="dxa"/>
            <w:vAlign w:val="center"/>
          </w:tcPr>
          <w:p w14:paraId="4833E94D" w14:textId="77777777" w:rsidR="00163646" w:rsidRPr="00A010DB" w:rsidRDefault="00A010DB" w:rsidP="001F4E0F">
            <w:pPr>
              <w:pStyle w:val="BodyText"/>
              <w:spacing w:after="0"/>
              <w:jc w:val="center"/>
            </w:pPr>
            <w:r w:rsidRPr="00A010DB">
              <w:t>X</w:t>
            </w:r>
          </w:p>
        </w:tc>
        <w:tc>
          <w:tcPr>
            <w:tcW w:w="2160" w:type="dxa"/>
            <w:vAlign w:val="center"/>
          </w:tcPr>
          <w:p w14:paraId="0A89FA81" w14:textId="77777777" w:rsidR="00163646" w:rsidRPr="00A010DB" w:rsidRDefault="00163646" w:rsidP="001F4E0F">
            <w:pPr>
              <w:pStyle w:val="BodyText"/>
              <w:spacing w:after="0"/>
              <w:jc w:val="center"/>
            </w:pPr>
          </w:p>
        </w:tc>
      </w:tr>
      <w:tr w:rsidR="00163646" w14:paraId="5A0B870E" w14:textId="77777777" w:rsidTr="001F4E0F">
        <w:trPr>
          <w:trHeight w:val="576"/>
        </w:trPr>
        <w:tc>
          <w:tcPr>
            <w:tcW w:w="2592" w:type="dxa"/>
            <w:vAlign w:val="center"/>
          </w:tcPr>
          <w:p w14:paraId="615E0711" w14:textId="77777777" w:rsidR="00163646" w:rsidRPr="00163646" w:rsidRDefault="00163646" w:rsidP="001F4E0F">
            <w:pPr>
              <w:pStyle w:val="BodyText"/>
              <w:spacing w:after="0"/>
              <w:jc w:val="left"/>
            </w:pPr>
            <w:r w:rsidRPr="00163646">
              <w:t xml:space="preserve">Net </w:t>
            </w:r>
            <w:r w:rsidR="00DF3CE3" w:rsidRPr="00163646">
              <w:t>Profit Margin</w:t>
            </w:r>
          </w:p>
        </w:tc>
        <w:tc>
          <w:tcPr>
            <w:tcW w:w="2160" w:type="dxa"/>
            <w:vAlign w:val="center"/>
          </w:tcPr>
          <w:p w14:paraId="6F4210EF" w14:textId="77777777" w:rsidR="00163646" w:rsidRPr="00A010DB" w:rsidRDefault="00A010DB" w:rsidP="001F4E0F">
            <w:pPr>
              <w:pStyle w:val="BodyText"/>
              <w:spacing w:after="0"/>
              <w:jc w:val="center"/>
            </w:pPr>
            <w:r w:rsidRPr="00A010DB">
              <w:t>X</w:t>
            </w:r>
          </w:p>
        </w:tc>
        <w:tc>
          <w:tcPr>
            <w:tcW w:w="2160" w:type="dxa"/>
            <w:vAlign w:val="center"/>
          </w:tcPr>
          <w:p w14:paraId="54908108" w14:textId="77777777" w:rsidR="00163646" w:rsidRPr="00A010DB" w:rsidRDefault="00163646" w:rsidP="001F4E0F">
            <w:pPr>
              <w:pStyle w:val="BodyText"/>
              <w:spacing w:after="0"/>
              <w:jc w:val="center"/>
            </w:pPr>
          </w:p>
        </w:tc>
        <w:tc>
          <w:tcPr>
            <w:tcW w:w="2160" w:type="dxa"/>
            <w:vAlign w:val="center"/>
          </w:tcPr>
          <w:p w14:paraId="46B2F270" w14:textId="77777777" w:rsidR="00163646" w:rsidRPr="00A010DB" w:rsidRDefault="00163646" w:rsidP="001F4E0F">
            <w:pPr>
              <w:pStyle w:val="BodyText"/>
              <w:spacing w:after="0"/>
              <w:jc w:val="center"/>
            </w:pPr>
          </w:p>
        </w:tc>
      </w:tr>
      <w:tr w:rsidR="00163646" w14:paraId="5AD91DD0" w14:textId="77777777" w:rsidTr="001F4E0F">
        <w:trPr>
          <w:trHeight w:val="576"/>
        </w:trPr>
        <w:tc>
          <w:tcPr>
            <w:tcW w:w="2592" w:type="dxa"/>
            <w:vAlign w:val="center"/>
          </w:tcPr>
          <w:p w14:paraId="07491229" w14:textId="77777777" w:rsidR="00163646" w:rsidRPr="00163646" w:rsidRDefault="00163646" w:rsidP="00DF3CE3">
            <w:pPr>
              <w:pStyle w:val="BodyText"/>
              <w:spacing w:after="0"/>
              <w:jc w:val="left"/>
            </w:pPr>
            <w:r w:rsidRPr="00163646">
              <w:t>Price</w:t>
            </w:r>
            <w:r w:rsidR="00DF3CE3" w:rsidRPr="00163646">
              <w:t>/ Earnings Ratio</w:t>
            </w:r>
          </w:p>
        </w:tc>
        <w:tc>
          <w:tcPr>
            <w:tcW w:w="2160" w:type="dxa"/>
            <w:vAlign w:val="center"/>
          </w:tcPr>
          <w:p w14:paraId="194A5BDB" w14:textId="77777777" w:rsidR="00163646" w:rsidRPr="00A010DB" w:rsidRDefault="00A010DB" w:rsidP="001F4E0F">
            <w:pPr>
              <w:pStyle w:val="BodyText"/>
              <w:spacing w:after="0"/>
              <w:jc w:val="center"/>
            </w:pPr>
            <w:r w:rsidRPr="00A010DB">
              <w:t>X</w:t>
            </w:r>
          </w:p>
        </w:tc>
        <w:tc>
          <w:tcPr>
            <w:tcW w:w="2160" w:type="dxa"/>
            <w:vAlign w:val="center"/>
          </w:tcPr>
          <w:p w14:paraId="54B2936F" w14:textId="77777777" w:rsidR="00163646" w:rsidRPr="00A010DB" w:rsidRDefault="00163646" w:rsidP="001F4E0F">
            <w:pPr>
              <w:pStyle w:val="BodyText"/>
              <w:spacing w:after="0"/>
              <w:jc w:val="center"/>
            </w:pPr>
          </w:p>
        </w:tc>
        <w:tc>
          <w:tcPr>
            <w:tcW w:w="2160" w:type="dxa"/>
            <w:vAlign w:val="center"/>
          </w:tcPr>
          <w:p w14:paraId="61CEEFF9" w14:textId="77777777" w:rsidR="00163646" w:rsidRPr="00A010DB" w:rsidRDefault="00163646" w:rsidP="001F4E0F">
            <w:pPr>
              <w:pStyle w:val="BodyText"/>
              <w:spacing w:after="0"/>
              <w:jc w:val="center"/>
            </w:pPr>
          </w:p>
        </w:tc>
      </w:tr>
      <w:tr w:rsidR="00163646" w14:paraId="0547B1C3" w14:textId="77777777" w:rsidTr="001F4E0F">
        <w:trPr>
          <w:trHeight w:val="576"/>
        </w:trPr>
        <w:tc>
          <w:tcPr>
            <w:tcW w:w="2592" w:type="dxa"/>
            <w:vAlign w:val="center"/>
          </w:tcPr>
          <w:p w14:paraId="5659A627" w14:textId="77777777" w:rsidR="00163646" w:rsidRPr="00163646" w:rsidRDefault="00163646" w:rsidP="001F4E0F">
            <w:pPr>
              <w:pStyle w:val="BodyText"/>
              <w:spacing w:after="0"/>
              <w:jc w:val="left"/>
            </w:pPr>
            <w:r w:rsidRPr="00163646">
              <w:t xml:space="preserve">Receivables </w:t>
            </w:r>
            <w:r w:rsidR="00DF3CE3" w:rsidRPr="00163646">
              <w:t>Turnover</w:t>
            </w:r>
          </w:p>
        </w:tc>
        <w:tc>
          <w:tcPr>
            <w:tcW w:w="2160" w:type="dxa"/>
            <w:vAlign w:val="center"/>
          </w:tcPr>
          <w:p w14:paraId="48480E18" w14:textId="77777777" w:rsidR="00163646" w:rsidRPr="00A010DB" w:rsidRDefault="00163646" w:rsidP="001F4E0F">
            <w:pPr>
              <w:pStyle w:val="BodyText"/>
              <w:spacing w:after="0"/>
              <w:jc w:val="center"/>
            </w:pPr>
          </w:p>
        </w:tc>
        <w:tc>
          <w:tcPr>
            <w:tcW w:w="2160" w:type="dxa"/>
            <w:vAlign w:val="center"/>
          </w:tcPr>
          <w:p w14:paraId="0F518617" w14:textId="77777777" w:rsidR="00163646" w:rsidRPr="00A010DB" w:rsidRDefault="00A010DB" w:rsidP="001F4E0F">
            <w:pPr>
              <w:pStyle w:val="BodyText"/>
              <w:spacing w:after="0"/>
              <w:jc w:val="center"/>
            </w:pPr>
            <w:r w:rsidRPr="00A010DB">
              <w:t>X</w:t>
            </w:r>
          </w:p>
        </w:tc>
        <w:tc>
          <w:tcPr>
            <w:tcW w:w="2160" w:type="dxa"/>
            <w:vAlign w:val="center"/>
          </w:tcPr>
          <w:p w14:paraId="4591CBE4" w14:textId="77777777" w:rsidR="00163646" w:rsidRPr="00A010DB" w:rsidRDefault="00163646" w:rsidP="001F4E0F">
            <w:pPr>
              <w:pStyle w:val="BodyText"/>
              <w:spacing w:after="0"/>
              <w:jc w:val="center"/>
            </w:pPr>
          </w:p>
        </w:tc>
      </w:tr>
      <w:tr w:rsidR="00163646" w14:paraId="463F37AD" w14:textId="77777777" w:rsidTr="001F4E0F">
        <w:trPr>
          <w:trHeight w:val="576"/>
        </w:trPr>
        <w:tc>
          <w:tcPr>
            <w:tcW w:w="2592" w:type="dxa"/>
            <w:vAlign w:val="center"/>
          </w:tcPr>
          <w:p w14:paraId="2A7B47B4" w14:textId="77777777" w:rsidR="00163646" w:rsidRPr="00163646" w:rsidRDefault="00163646" w:rsidP="001F4E0F">
            <w:pPr>
              <w:pStyle w:val="BodyText"/>
              <w:spacing w:after="0"/>
              <w:jc w:val="left"/>
            </w:pPr>
            <w:r w:rsidRPr="00163646">
              <w:t xml:space="preserve">Return </w:t>
            </w:r>
            <w:r w:rsidR="00DF3CE3">
              <w:t>o</w:t>
            </w:r>
            <w:r w:rsidR="00DF3CE3" w:rsidRPr="00163646">
              <w:t>n Equity (</w:t>
            </w:r>
            <w:r w:rsidRPr="00163646">
              <w:t>ROE</w:t>
            </w:r>
            <w:r w:rsidR="00DF3CE3" w:rsidRPr="00163646">
              <w:t xml:space="preserve">) </w:t>
            </w:r>
          </w:p>
        </w:tc>
        <w:tc>
          <w:tcPr>
            <w:tcW w:w="2160" w:type="dxa"/>
            <w:vAlign w:val="center"/>
          </w:tcPr>
          <w:p w14:paraId="567A9144" w14:textId="77777777" w:rsidR="00163646" w:rsidRPr="00A010DB" w:rsidRDefault="00A010DB" w:rsidP="001F4E0F">
            <w:pPr>
              <w:pStyle w:val="BodyText"/>
              <w:spacing w:after="0"/>
              <w:jc w:val="center"/>
            </w:pPr>
            <w:r w:rsidRPr="00A010DB">
              <w:t>X</w:t>
            </w:r>
          </w:p>
        </w:tc>
        <w:tc>
          <w:tcPr>
            <w:tcW w:w="2160" w:type="dxa"/>
            <w:vAlign w:val="center"/>
          </w:tcPr>
          <w:p w14:paraId="3723C57B" w14:textId="77777777" w:rsidR="00163646" w:rsidRPr="00A010DB" w:rsidRDefault="00163646" w:rsidP="001F4E0F">
            <w:pPr>
              <w:pStyle w:val="BodyText"/>
              <w:spacing w:after="0"/>
              <w:jc w:val="center"/>
            </w:pPr>
          </w:p>
        </w:tc>
        <w:tc>
          <w:tcPr>
            <w:tcW w:w="2160" w:type="dxa"/>
            <w:vAlign w:val="center"/>
          </w:tcPr>
          <w:p w14:paraId="725BC91C" w14:textId="77777777" w:rsidR="00163646" w:rsidRPr="00A010DB" w:rsidRDefault="00163646" w:rsidP="001F4E0F">
            <w:pPr>
              <w:pStyle w:val="BodyText"/>
              <w:spacing w:after="0"/>
              <w:jc w:val="center"/>
            </w:pPr>
          </w:p>
        </w:tc>
      </w:tr>
      <w:tr w:rsidR="00163646" w14:paraId="0179142D" w14:textId="77777777" w:rsidTr="001F4E0F">
        <w:trPr>
          <w:trHeight w:val="576"/>
        </w:trPr>
        <w:tc>
          <w:tcPr>
            <w:tcW w:w="2592" w:type="dxa"/>
            <w:vAlign w:val="center"/>
          </w:tcPr>
          <w:p w14:paraId="0247AF1C" w14:textId="77777777" w:rsidR="00163646" w:rsidRPr="00163646" w:rsidRDefault="00163646" w:rsidP="001F4E0F">
            <w:pPr>
              <w:pStyle w:val="BodyText"/>
              <w:spacing w:after="0"/>
              <w:jc w:val="left"/>
            </w:pPr>
            <w:r w:rsidRPr="00163646">
              <w:t xml:space="preserve">Times </w:t>
            </w:r>
            <w:r w:rsidR="00DF3CE3" w:rsidRPr="00163646">
              <w:t xml:space="preserve">Interest Earned </w:t>
            </w:r>
          </w:p>
        </w:tc>
        <w:tc>
          <w:tcPr>
            <w:tcW w:w="2160" w:type="dxa"/>
            <w:vAlign w:val="center"/>
          </w:tcPr>
          <w:p w14:paraId="13156EAF" w14:textId="77777777" w:rsidR="00163646" w:rsidRPr="00A010DB" w:rsidRDefault="00163646" w:rsidP="001F4E0F">
            <w:pPr>
              <w:pStyle w:val="BodyText"/>
              <w:spacing w:after="0"/>
              <w:jc w:val="center"/>
            </w:pPr>
          </w:p>
        </w:tc>
        <w:tc>
          <w:tcPr>
            <w:tcW w:w="2160" w:type="dxa"/>
            <w:vAlign w:val="center"/>
          </w:tcPr>
          <w:p w14:paraId="3843FB2E" w14:textId="77777777" w:rsidR="00163646" w:rsidRPr="00A010DB" w:rsidRDefault="00163646" w:rsidP="001F4E0F">
            <w:pPr>
              <w:pStyle w:val="BodyText"/>
              <w:spacing w:after="0"/>
              <w:jc w:val="center"/>
            </w:pPr>
          </w:p>
        </w:tc>
        <w:tc>
          <w:tcPr>
            <w:tcW w:w="2160" w:type="dxa"/>
            <w:vAlign w:val="center"/>
          </w:tcPr>
          <w:p w14:paraId="2307E8C2" w14:textId="77777777" w:rsidR="00163646" w:rsidRPr="00A010DB" w:rsidRDefault="00A010DB" w:rsidP="001F4E0F">
            <w:pPr>
              <w:pStyle w:val="BodyText"/>
              <w:spacing w:after="0"/>
              <w:jc w:val="center"/>
            </w:pPr>
            <w:r w:rsidRPr="00A010DB">
              <w:t>X</w:t>
            </w:r>
          </w:p>
        </w:tc>
      </w:tr>
    </w:tbl>
    <w:p w14:paraId="1D07B095" w14:textId="77777777" w:rsidR="00B17A5B" w:rsidRDefault="00163646" w:rsidP="00163646">
      <w:pPr>
        <w:pStyle w:val="Outline1"/>
      </w:pPr>
      <w:r w:rsidRPr="00163646">
        <w:br w:type="page"/>
      </w:r>
    </w:p>
    <w:p w14:paraId="4B0DFA61" w14:textId="31609BFF" w:rsidR="00A010DB" w:rsidRDefault="00A010DB" w:rsidP="00A010DB">
      <w:pPr>
        <w:pStyle w:val="Heading1"/>
        <w:spacing w:before="240"/>
      </w:pPr>
      <w:r w:rsidRPr="005F480C">
        <w:lastRenderedPageBreak/>
        <w:t>HANDOUT</w:t>
      </w:r>
      <w:r>
        <w:t xml:space="preserve"> 13–2 </w:t>
      </w:r>
    </w:p>
    <w:p w14:paraId="724B2DB2" w14:textId="77777777" w:rsidR="00A010DB" w:rsidRDefault="00A010DB" w:rsidP="00A010DB">
      <w:pPr>
        <w:pStyle w:val="Heading1"/>
        <w:spacing w:before="240"/>
        <w:jc w:val="center"/>
        <w:rPr>
          <w:u w:val="none"/>
        </w:rPr>
      </w:pPr>
      <w:r>
        <w:rPr>
          <w:u w:val="none"/>
        </w:rPr>
        <w:t>FINANCIAL RATIO FORMULAS</w:t>
      </w:r>
    </w:p>
    <w:p w14:paraId="4924EEB7" w14:textId="77777777" w:rsidR="006B3233" w:rsidRDefault="006B3233" w:rsidP="006B3233">
      <w:pPr>
        <w:pStyle w:val="BodyText"/>
        <w:rPr>
          <w:szCs w:val="22"/>
        </w:rPr>
      </w:pPr>
    </w:p>
    <w:p w14:paraId="28E6AF6F" w14:textId="77777777" w:rsidR="006B3233" w:rsidRDefault="006B3233" w:rsidP="006B3233">
      <w:pPr>
        <w:pStyle w:val="BodyText"/>
        <w:rPr>
          <w:szCs w:val="22"/>
        </w:rPr>
      </w:pPr>
      <w:r>
        <w:rPr>
          <w:szCs w:val="22"/>
        </w:rPr>
        <w:t>Match each of the following financial ratios with its formula:</w:t>
      </w:r>
    </w:p>
    <w:p w14:paraId="34E4FDB5" w14:textId="77777777" w:rsidR="006B3233" w:rsidRDefault="006B3233" w:rsidP="006B3233">
      <w:pPr>
        <w:pStyle w:val="BodyText"/>
        <w:spacing w:after="0"/>
        <w:rPr>
          <w:szCs w:val="22"/>
        </w:rPr>
      </w:pPr>
      <w:r>
        <w:rPr>
          <w:szCs w:val="22"/>
        </w:rPr>
        <w:t>Ratios:</w:t>
      </w:r>
    </w:p>
    <w:p w14:paraId="4FE5CE10" w14:textId="77777777" w:rsidR="006B3233" w:rsidRDefault="006B3233" w:rsidP="006B3233">
      <w:pPr>
        <w:pStyle w:val="BodyText"/>
        <w:spacing w:after="0"/>
      </w:pPr>
    </w:p>
    <w:tbl>
      <w:tblPr>
        <w:tblW w:w="8352" w:type="dxa"/>
        <w:tblInd w:w="144" w:type="dxa"/>
        <w:tblLook w:val="01E0" w:firstRow="1" w:lastRow="1" w:firstColumn="1" w:lastColumn="1" w:noHBand="0" w:noVBand="0"/>
      </w:tblPr>
      <w:tblGrid>
        <w:gridCol w:w="576"/>
        <w:gridCol w:w="3600"/>
        <w:gridCol w:w="576"/>
        <w:gridCol w:w="3600"/>
      </w:tblGrid>
      <w:tr w:rsidR="006B3233" w:rsidRPr="00D432B2" w14:paraId="4572BF5C" w14:textId="77777777" w:rsidTr="00743FE7">
        <w:tc>
          <w:tcPr>
            <w:tcW w:w="576" w:type="dxa"/>
            <w:tcBorders>
              <w:bottom w:val="single" w:sz="6" w:space="0" w:color="auto"/>
            </w:tcBorders>
            <w:noWrap/>
            <w:tcFitText/>
          </w:tcPr>
          <w:p w14:paraId="3E1F1654" w14:textId="77777777" w:rsidR="006B3233" w:rsidRPr="00185634" w:rsidRDefault="006B3233" w:rsidP="00743FE7">
            <w:pPr>
              <w:pStyle w:val="BodyText"/>
              <w:spacing w:after="0"/>
              <w:jc w:val="center"/>
            </w:pPr>
          </w:p>
        </w:tc>
        <w:tc>
          <w:tcPr>
            <w:tcW w:w="3600" w:type="dxa"/>
          </w:tcPr>
          <w:p w14:paraId="49A8582D" w14:textId="77777777" w:rsidR="006B3233" w:rsidRPr="00185634" w:rsidRDefault="006B3233" w:rsidP="00743FE7">
            <w:pPr>
              <w:pStyle w:val="BodyText"/>
              <w:spacing w:after="0"/>
              <w:jc w:val="left"/>
              <w:rPr>
                <w:szCs w:val="22"/>
              </w:rPr>
            </w:pPr>
            <w:r w:rsidRPr="00185634">
              <w:t xml:space="preserve">Current Ratio </w:t>
            </w:r>
          </w:p>
        </w:tc>
        <w:tc>
          <w:tcPr>
            <w:tcW w:w="576" w:type="dxa"/>
            <w:tcBorders>
              <w:bottom w:val="single" w:sz="4" w:space="0" w:color="auto"/>
            </w:tcBorders>
            <w:tcFitText/>
          </w:tcPr>
          <w:p w14:paraId="5A4B9102" w14:textId="77777777" w:rsidR="006B3233" w:rsidRPr="00185634" w:rsidRDefault="006B3233" w:rsidP="00743FE7">
            <w:pPr>
              <w:pStyle w:val="BodyText"/>
              <w:spacing w:after="0"/>
              <w:jc w:val="center"/>
            </w:pPr>
          </w:p>
        </w:tc>
        <w:tc>
          <w:tcPr>
            <w:tcW w:w="3600" w:type="dxa"/>
          </w:tcPr>
          <w:p w14:paraId="2006F1B0" w14:textId="77777777" w:rsidR="006B3233" w:rsidRPr="00185634" w:rsidRDefault="006B3233" w:rsidP="00743FE7">
            <w:pPr>
              <w:pStyle w:val="BodyText"/>
              <w:spacing w:after="0"/>
              <w:jc w:val="left"/>
            </w:pPr>
            <w:r w:rsidRPr="00185634">
              <w:t>Inventory Turnover</w:t>
            </w:r>
          </w:p>
        </w:tc>
      </w:tr>
      <w:tr w:rsidR="006B3233" w:rsidRPr="00C04A0B" w14:paraId="154E3F80" w14:textId="77777777" w:rsidTr="00743FE7">
        <w:tc>
          <w:tcPr>
            <w:tcW w:w="576" w:type="dxa"/>
            <w:tcBorders>
              <w:top w:val="single" w:sz="6" w:space="0" w:color="auto"/>
              <w:bottom w:val="single" w:sz="6" w:space="0" w:color="auto"/>
            </w:tcBorders>
            <w:noWrap/>
            <w:tcFitText/>
          </w:tcPr>
          <w:p w14:paraId="5E23FEC4" w14:textId="77777777" w:rsidR="006B3233" w:rsidRPr="00185634" w:rsidRDefault="006B3233" w:rsidP="00743FE7">
            <w:pPr>
              <w:pStyle w:val="BodyText"/>
              <w:spacing w:after="0"/>
              <w:jc w:val="center"/>
            </w:pPr>
          </w:p>
        </w:tc>
        <w:tc>
          <w:tcPr>
            <w:tcW w:w="3600" w:type="dxa"/>
          </w:tcPr>
          <w:p w14:paraId="25F196F2" w14:textId="77777777" w:rsidR="006B3233" w:rsidRPr="00185634" w:rsidRDefault="006B3233" w:rsidP="00743FE7">
            <w:pPr>
              <w:pStyle w:val="BodyText"/>
              <w:spacing w:after="0"/>
              <w:jc w:val="left"/>
              <w:rPr>
                <w:szCs w:val="22"/>
              </w:rPr>
            </w:pPr>
            <w:r w:rsidRPr="00185634">
              <w:t xml:space="preserve">Days </w:t>
            </w:r>
            <w:r>
              <w:t>t</w:t>
            </w:r>
            <w:r w:rsidRPr="00185634">
              <w:t>o Collect</w:t>
            </w:r>
          </w:p>
        </w:tc>
        <w:tc>
          <w:tcPr>
            <w:tcW w:w="576" w:type="dxa"/>
            <w:tcBorders>
              <w:top w:val="single" w:sz="4" w:space="0" w:color="auto"/>
              <w:bottom w:val="single" w:sz="4" w:space="0" w:color="auto"/>
            </w:tcBorders>
            <w:tcFitText/>
          </w:tcPr>
          <w:p w14:paraId="4038916A" w14:textId="77777777" w:rsidR="006B3233" w:rsidRPr="00185634" w:rsidRDefault="006B3233" w:rsidP="00743FE7">
            <w:pPr>
              <w:pStyle w:val="BodyText"/>
              <w:spacing w:after="0"/>
              <w:jc w:val="center"/>
            </w:pPr>
          </w:p>
        </w:tc>
        <w:tc>
          <w:tcPr>
            <w:tcW w:w="3600" w:type="dxa"/>
          </w:tcPr>
          <w:p w14:paraId="552F5EA2" w14:textId="77777777" w:rsidR="006B3233" w:rsidRPr="00185634" w:rsidRDefault="006B3233" w:rsidP="00743FE7">
            <w:pPr>
              <w:pStyle w:val="BodyText"/>
              <w:spacing w:after="0"/>
              <w:jc w:val="left"/>
            </w:pPr>
            <w:r w:rsidRPr="00185634">
              <w:t>Net Profit Margin</w:t>
            </w:r>
          </w:p>
        </w:tc>
      </w:tr>
      <w:tr w:rsidR="006B3233" w:rsidRPr="00C04A0B" w14:paraId="57F8B5BD" w14:textId="77777777" w:rsidTr="00743FE7">
        <w:tc>
          <w:tcPr>
            <w:tcW w:w="576" w:type="dxa"/>
            <w:tcBorders>
              <w:top w:val="single" w:sz="6" w:space="0" w:color="auto"/>
              <w:bottom w:val="single" w:sz="6" w:space="0" w:color="auto"/>
            </w:tcBorders>
            <w:noWrap/>
            <w:tcFitText/>
          </w:tcPr>
          <w:p w14:paraId="75E6D263" w14:textId="77777777" w:rsidR="006B3233" w:rsidRPr="00185634" w:rsidRDefault="006B3233" w:rsidP="00743FE7">
            <w:pPr>
              <w:pStyle w:val="BodyText"/>
              <w:spacing w:after="0"/>
              <w:jc w:val="center"/>
            </w:pPr>
          </w:p>
        </w:tc>
        <w:tc>
          <w:tcPr>
            <w:tcW w:w="3600" w:type="dxa"/>
          </w:tcPr>
          <w:p w14:paraId="33220558" w14:textId="77777777" w:rsidR="006B3233" w:rsidRPr="00185634" w:rsidRDefault="006B3233" w:rsidP="00743FE7">
            <w:pPr>
              <w:pStyle w:val="BodyText"/>
              <w:spacing w:after="0"/>
              <w:jc w:val="left"/>
              <w:rPr>
                <w:szCs w:val="22"/>
              </w:rPr>
            </w:pPr>
            <w:r w:rsidRPr="00185634">
              <w:t xml:space="preserve">Days </w:t>
            </w:r>
            <w:r>
              <w:t>t</w:t>
            </w:r>
            <w:r w:rsidRPr="00185634">
              <w:t>o Sell</w:t>
            </w:r>
          </w:p>
        </w:tc>
        <w:tc>
          <w:tcPr>
            <w:tcW w:w="576" w:type="dxa"/>
            <w:tcBorders>
              <w:top w:val="single" w:sz="4" w:space="0" w:color="auto"/>
              <w:bottom w:val="single" w:sz="4" w:space="0" w:color="auto"/>
            </w:tcBorders>
            <w:tcFitText/>
          </w:tcPr>
          <w:p w14:paraId="3B33D1AB" w14:textId="77777777" w:rsidR="006B3233" w:rsidRPr="00185634" w:rsidRDefault="006B3233" w:rsidP="00743FE7">
            <w:pPr>
              <w:pStyle w:val="BodyText"/>
              <w:spacing w:after="0"/>
              <w:jc w:val="center"/>
            </w:pPr>
          </w:p>
        </w:tc>
        <w:tc>
          <w:tcPr>
            <w:tcW w:w="3600" w:type="dxa"/>
          </w:tcPr>
          <w:p w14:paraId="4DFF58A6" w14:textId="77777777" w:rsidR="006B3233" w:rsidRPr="00185634" w:rsidRDefault="006B3233" w:rsidP="00743FE7">
            <w:pPr>
              <w:pStyle w:val="BodyText"/>
              <w:spacing w:after="0"/>
              <w:jc w:val="left"/>
            </w:pPr>
            <w:r w:rsidRPr="00185634">
              <w:t>Price/Earnings (P/E) Ratio</w:t>
            </w:r>
          </w:p>
        </w:tc>
      </w:tr>
      <w:tr w:rsidR="006B3233" w:rsidRPr="00D432B2" w14:paraId="6D0502A8" w14:textId="77777777" w:rsidTr="00743FE7">
        <w:tc>
          <w:tcPr>
            <w:tcW w:w="576" w:type="dxa"/>
            <w:tcBorders>
              <w:top w:val="single" w:sz="6" w:space="0" w:color="auto"/>
              <w:bottom w:val="single" w:sz="6" w:space="0" w:color="auto"/>
            </w:tcBorders>
            <w:noWrap/>
            <w:tcFitText/>
          </w:tcPr>
          <w:p w14:paraId="7B6100E7" w14:textId="77777777" w:rsidR="006B3233" w:rsidRPr="00185634" w:rsidRDefault="006B3233" w:rsidP="00743FE7">
            <w:pPr>
              <w:pStyle w:val="BodyText"/>
              <w:spacing w:after="0"/>
              <w:jc w:val="center"/>
            </w:pPr>
          </w:p>
        </w:tc>
        <w:tc>
          <w:tcPr>
            <w:tcW w:w="3600" w:type="dxa"/>
          </w:tcPr>
          <w:p w14:paraId="536C97AD" w14:textId="77777777" w:rsidR="006B3233" w:rsidRPr="00185634" w:rsidRDefault="006B3233" w:rsidP="00743FE7">
            <w:pPr>
              <w:pStyle w:val="BodyText"/>
              <w:spacing w:after="0"/>
              <w:jc w:val="left"/>
            </w:pPr>
            <w:r w:rsidRPr="00185634">
              <w:t>Debt</w:t>
            </w:r>
            <w:r w:rsidR="005E3E12">
              <w:t>-to-</w:t>
            </w:r>
            <w:r w:rsidRPr="00185634">
              <w:t>Assets</w:t>
            </w:r>
          </w:p>
        </w:tc>
        <w:tc>
          <w:tcPr>
            <w:tcW w:w="576" w:type="dxa"/>
            <w:tcBorders>
              <w:top w:val="single" w:sz="4" w:space="0" w:color="auto"/>
              <w:bottom w:val="single" w:sz="4" w:space="0" w:color="auto"/>
            </w:tcBorders>
            <w:tcFitText/>
          </w:tcPr>
          <w:p w14:paraId="0803A822" w14:textId="77777777" w:rsidR="006B3233" w:rsidRPr="00185634" w:rsidRDefault="006B3233" w:rsidP="00743FE7">
            <w:pPr>
              <w:pStyle w:val="BodyText"/>
              <w:spacing w:after="0"/>
              <w:jc w:val="center"/>
            </w:pPr>
          </w:p>
        </w:tc>
        <w:tc>
          <w:tcPr>
            <w:tcW w:w="3600" w:type="dxa"/>
          </w:tcPr>
          <w:p w14:paraId="0F55E37E" w14:textId="77777777" w:rsidR="006B3233" w:rsidRPr="00185634" w:rsidRDefault="006B3233" w:rsidP="00743FE7">
            <w:pPr>
              <w:pStyle w:val="BodyText"/>
              <w:spacing w:after="0"/>
              <w:jc w:val="left"/>
            </w:pPr>
            <w:r w:rsidRPr="00185634">
              <w:t>Receivables Turnover</w:t>
            </w:r>
          </w:p>
        </w:tc>
      </w:tr>
      <w:tr w:rsidR="006B3233" w:rsidRPr="00D432B2" w14:paraId="5544E287" w14:textId="77777777" w:rsidTr="00743FE7">
        <w:tc>
          <w:tcPr>
            <w:tcW w:w="576" w:type="dxa"/>
            <w:tcBorders>
              <w:top w:val="single" w:sz="6" w:space="0" w:color="auto"/>
              <w:bottom w:val="single" w:sz="6" w:space="0" w:color="auto"/>
            </w:tcBorders>
            <w:noWrap/>
            <w:tcFitText/>
          </w:tcPr>
          <w:p w14:paraId="7443D579" w14:textId="77777777" w:rsidR="006B3233" w:rsidRPr="00185634" w:rsidRDefault="006B3233" w:rsidP="00743FE7">
            <w:pPr>
              <w:pStyle w:val="BodyText"/>
              <w:spacing w:after="0"/>
              <w:jc w:val="center"/>
            </w:pPr>
          </w:p>
        </w:tc>
        <w:tc>
          <w:tcPr>
            <w:tcW w:w="3600" w:type="dxa"/>
          </w:tcPr>
          <w:p w14:paraId="69617944" w14:textId="77777777" w:rsidR="006B3233" w:rsidRPr="00185634" w:rsidRDefault="006B3233" w:rsidP="00743FE7">
            <w:pPr>
              <w:pStyle w:val="BodyText"/>
              <w:spacing w:after="0"/>
              <w:jc w:val="left"/>
            </w:pPr>
            <w:r w:rsidRPr="00185634">
              <w:t>Earnings Per Share (E</w:t>
            </w:r>
            <w:r>
              <w:t>PS</w:t>
            </w:r>
            <w:r w:rsidRPr="00185634">
              <w:t>)</w:t>
            </w:r>
          </w:p>
        </w:tc>
        <w:tc>
          <w:tcPr>
            <w:tcW w:w="576" w:type="dxa"/>
            <w:tcBorders>
              <w:top w:val="single" w:sz="4" w:space="0" w:color="auto"/>
              <w:bottom w:val="single" w:sz="4" w:space="0" w:color="auto"/>
            </w:tcBorders>
            <w:tcFitText/>
          </w:tcPr>
          <w:p w14:paraId="5B761EB6" w14:textId="77777777" w:rsidR="006B3233" w:rsidRPr="00185634" w:rsidRDefault="006B3233" w:rsidP="00743FE7">
            <w:pPr>
              <w:pStyle w:val="BodyText"/>
              <w:spacing w:after="0"/>
              <w:jc w:val="center"/>
            </w:pPr>
          </w:p>
        </w:tc>
        <w:tc>
          <w:tcPr>
            <w:tcW w:w="3600" w:type="dxa"/>
          </w:tcPr>
          <w:p w14:paraId="5D85135E" w14:textId="77777777" w:rsidR="006B3233" w:rsidRPr="00185634" w:rsidRDefault="006B3233" w:rsidP="00743FE7">
            <w:pPr>
              <w:pStyle w:val="BodyText"/>
              <w:spacing w:after="0"/>
              <w:jc w:val="left"/>
            </w:pPr>
            <w:r>
              <w:t>Return o</w:t>
            </w:r>
            <w:r w:rsidRPr="00185634">
              <w:t>n Equity (R</w:t>
            </w:r>
            <w:r>
              <w:t>OE</w:t>
            </w:r>
            <w:r w:rsidRPr="00185634">
              <w:t xml:space="preserve">) </w:t>
            </w:r>
          </w:p>
        </w:tc>
      </w:tr>
      <w:tr w:rsidR="006B3233" w:rsidRPr="00D432B2" w14:paraId="467308D2" w14:textId="77777777" w:rsidTr="00743FE7">
        <w:tc>
          <w:tcPr>
            <w:tcW w:w="576" w:type="dxa"/>
            <w:tcBorders>
              <w:top w:val="single" w:sz="6" w:space="0" w:color="auto"/>
              <w:bottom w:val="single" w:sz="6" w:space="0" w:color="auto"/>
            </w:tcBorders>
            <w:noWrap/>
            <w:tcFitText/>
          </w:tcPr>
          <w:p w14:paraId="4EB325AA" w14:textId="77777777" w:rsidR="006B3233" w:rsidRPr="00185634" w:rsidRDefault="006B3233" w:rsidP="00743FE7">
            <w:pPr>
              <w:pStyle w:val="BodyText"/>
              <w:spacing w:after="0"/>
              <w:jc w:val="center"/>
            </w:pPr>
          </w:p>
        </w:tc>
        <w:tc>
          <w:tcPr>
            <w:tcW w:w="3600" w:type="dxa"/>
          </w:tcPr>
          <w:p w14:paraId="49B8D5AE" w14:textId="77777777" w:rsidR="006B3233" w:rsidRPr="00185634" w:rsidRDefault="006B3233" w:rsidP="00743FE7">
            <w:pPr>
              <w:pStyle w:val="BodyText"/>
              <w:spacing w:after="0"/>
              <w:jc w:val="left"/>
            </w:pPr>
            <w:r w:rsidRPr="00185634">
              <w:t xml:space="preserve">Fixed Asset Turnover </w:t>
            </w:r>
          </w:p>
        </w:tc>
        <w:tc>
          <w:tcPr>
            <w:tcW w:w="576" w:type="dxa"/>
            <w:tcBorders>
              <w:top w:val="single" w:sz="4" w:space="0" w:color="auto"/>
              <w:bottom w:val="single" w:sz="4" w:space="0" w:color="auto"/>
            </w:tcBorders>
            <w:tcFitText/>
          </w:tcPr>
          <w:p w14:paraId="52EA55C4" w14:textId="77777777" w:rsidR="006B3233" w:rsidRPr="00185634" w:rsidRDefault="006B3233" w:rsidP="00743FE7">
            <w:pPr>
              <w:pStyle w:val="BodyText"/>
              <w:spacing w:after="0"/>
              <w:jc w:val="center"/>
            </w:pPr>
          </w:p>
        </w:tc>
        <w:tc>
          <w:tcPr>
            <w:tcW w:w="3600" w:type="dxa"/>
          </w:tcPr>
          <w:p w14:paraId="02E92D14" w14:textId="77777777" w:rsidR="006B3233" w:rsidRPr="00185634" w:rsidRDefault="006B3233" w:rsidP="00743FE7">
            <w:pPr>
              <w:pStyle w:val="BodyText"/>
              <w:spacing w:after="0"/>
              <w:jc w:val="left"/>
            </w:pPr>
            <w:r w:rsidRPr="00185634">
              <w:t xml:space="preserve">Times Interest Earned </w:t>
            </w:r>
          </w:p>
        </w:tc>
      </w:tr>
      <w:tr w:rsidR="006B3233" w:rsidRPr="00C04A0B" w14:paraId="389158CD" w14:textId="77777777" w:rsidTr="00743FE7">
        <w:tc>
          <w:tcPr>
            <w:tcW w:w="576" w:type="dxa"/>
            <w:tcBorders>
              <w:top w:val="single" w:sz="6" w:space="0" w:color="auto"/>
              <w:bottom w:val="single" w:sz="6" w:space="0" w:color="auto"/>
            </w:tcBorders>
            <w:noWrap/>
            <w:tcFitText/>
          </w:tcPr>
          <w:p w14:paraId="46262EBE" w14:textId="77777777" w:rsidR="006B3233" w:rsidRPr="00185634" w:rsidRDefault="006B3233" w:rsidP="00743FE7">
            <w:pPr>
              <w:pStyle w:val="BodyText"/>
              <w:spacing w:after="0"/>
              <w:jc w:val="center"/>
            </w:pPr>
          </w:p>
        </w:tc>
        <w:tc>
          <w:tcPr>
            <w:tcW w:w="3600" w:type="dxa"/>
          </w:tcPr>
          <w:p w14:paraId="41DC0052" w14:textId="77777777" w:rsidR="006B3233" w:rsidRPr="00185634" w:rsidRDefault="006B3233" w:rsidP="00743FE7">
            <w:pPr>
              <w:pStyle w:val="BodyText"/>
              <w:spacing w:after="0"/>
              <w:jc w:val="left"/>
            </w:pPr>
            <w:r w:rsidRPr="00185634">
              <w:t xml:space="preserve">Gross Profit Percentage </w:t>
            </w:r>
          </w:p>
        </w:tc>
        <w:tc>
          <w:tcPr>
            <w:tcW w:w="576" w:type="dxa"/>
            <w:tcBorders>
              <w:top w:val="single" w:sz="4" w:space="0" w:color="auto"/>
            </w:tcBorders>
            <w:tcFitText/>
          </w:tcPr>
          <w:p w14:paraId="300526B4" w14:textId="77777777" w:rsidR="006B3233" w:rsidRPr="00185634" w:rsidRDefault="006B3233" w:rsidP="00743FE7">
            <w:pPr>
              <w:pStyle w:val="BodyText"/>
              <w:spacing w:after="0"/>
              <w:jc w:val="center"/>
            </w:pPr>
          </w:p>
        </w:tc>
        <w:tc>
          <w:tcPr>
            <w:tcW w:w="3600" w:type="dxa"/>
          </w:tcPr>
          <w:p w14:paraId="50AA83DB" w14:textId="77777777" w:rsidR="006B3233" w:rsidRPr="00185634" w:rsidRDefault="006B3233" w:rsidP="00743FE7">
            <w:pPr>
              <w:pStyle w:val="BodyText"/>
              <w:spacing w:after="0"/>
              <w:jc w:val="left"/>
            </w:pPr>
          </w:p>
        </w:tc>
      </w:tr>
      <w:tr w:rsidR="006B3233" w:rsidRPr="00D432B2" w14:paraId="7F5D7A75" w14:textId="77777777" w:rsidTr="00743FE7">
        <w:tc>
          <w:tcPr>
            <w:tcW w:w="576" w:type="dxa"/>
            <w:tcBorders>
              <w:top w:val="single" w:sz="4" w:space="0" w:color="auto"/>
            </w:tcBorders>
            <w:noWrap/>
            <w:tcFitText/>
          </w:tcPr>
          <w:p w14:paraId="3B088E0F" w14:textId="77777777" w:rsidR="006B3233" w:rsidRPr="00185634" w:rsidRDefault="006B3233" w:rsidP="00743FE7">
            <w:pPr>
              <w:pStyle w:val="BodyText"/>
              <w:spacing w:after="0"/>
              <w:jc w:val="center"/>
            </w:pPr>
          </w:p>
        </w:tc>
        <w:tc>
          <w:tcPr>
            <w:tcW w:w="3600" w:type="dxa"/>
          </w:tcPr>
          <w:p w14:paraId="523EAA44" w14:textId="77777777" w:rsidR="006B3233" w:rsidRPr="00185634" w:rsidRDefault="006B3233" w:rsidP="00743FE7">
            <w:pPr>
              <w:pStyle w:val="BodyText"/>
              <w:spacing w:after="0"/>
              <w:jc w:val="left"/>
            </w:pPr>
          </w:p>
        </w:tc>
        <w:tc>
          <w:tcPr>
            <w:tcW w:w="576" w:type="dxa"/>
            <w:tcFitText/>
          </w:tcPr>
          <w:p w14:paraId="4916E438" w14:textId="77777777" w:rsidR="006B3233" w:rsidRPr="00185634" w:rsidRDefault="006B3233" w:rsidP="00743FE7">
            <w:pPr>
              <w:pStyle w:val="BodyText"/>
              <w:spacing w:after="0"/>
              <w:jc w:val="center"/>
            </w:pPr>
          </w:p>
        </w:tc>
        <w:tc>
          <w:tcPr>
            <w:tcW w:w="3600" w:type="dxa"/>
          </w:tcPr>
          <w:p w14:paraId="0E3E194E" w14:textId="77777777" w:rsidR="006B3233" w:rsidRPr="00185634" w:rsidRDefault="006B3233" w:rsidP="00743FE7">
            <w:pPr>
              <w:pStyle w:val="BodyText"/>
              <w:spacing w:after="0"/>
              <w:jc w:val="left"/>
            </w:pPr>
          </w:p>
        </w:tc>
      </w:tr>
    </w:tbl>
    <w:p w14:paraId="402FD264" w14:textId="77777777" w:rsidR="006B3233" w:rsidRDefault="006B3233" w:rsidP="006B3233">
      <w:pPr>
        <w:pStyle w:val="BodyText"/>
        <w:spacing w:after="0"/>
        <w:rPr>
          <w:szCs w:val="22"/>
        </w:rPr>
      </w:pPr>
      <w:r>
        <w:rPr>
          <w:szCs w:val="22"/>
        </w:rPr>
        <w:t>Formulas:</w:t>
      </w:r>
    </w:p>
    <w:p w14:paraId="05A711C9" w14:textId="77777777" w:rsidR="006B3233" w:rsidRDefault="006B3233" w:rsidP="006B3233">
      <w:pPr>
        <w:pStyle w:val="BodyText"/>
        <w:spacing w:after="0"/>
      </w:pPr>
    </w:p>
    <w:p w14:paraId="7561FC1F" w14:textId="77777777" w:rsidR="006B3233" w:rsidRPr="00163646" w:rsidRDefault="006B3233" w:rsidP="006B3233">
      <w:pPr>
        <w:pStyle w:val="Outline1"/>
        <w:numPr>
          <w:ilvl w:val="0"/>
          <w:numId w:val="12"/>
        </w:numPr>
        <w:spacing w:before="0"/>
      </w:pPr>
      <w:r w:rsidRPr="00163646">
        <w:t>Cost of sales divided by Average inventory</w:t>
      </w:r>
    </w:p>
    <w:p w14:paraId="4B1222A1" w14:textId="77777777" w:rsidR="006B3233" w:rsidRPr="00163646" w:rsidRDefault="006B3233" w:rsidP="006B3233">
      <w:pPr>
        <w:pStyle w:val="Outline1"/>
        <w:numPr>
          <w:ilvl w:val="0"/>
          <w:numId w:val="12"/>
        </w:numPr>
      </w:pPr>
      <w:r w:rsidRPr="00163646">
        <w:t>Current assets divided by Current liabilities</w:t>
      </w:r>
    </w:p>
    <w:p w14:paraId="11C74D96" w14:textId="77777777" w:rsidR="006B3233" w:rsidRDefault="006B3233" w:rsidP="006B3233">
      <w:pPr>
        <w:pStyle w:val="Outline1"/>
        <w:numPr>
          <w:ilvl w:val="0"/>
          <w:numId w:val="12"/>
        </w:numPr>
      </w:pPr>
      <w:r w:rsidRPr="00163646">
        <w:t>Stock price divided by EPS</w:t>
      </w:r>
    </w:p>
    <w:p w14:paraId="25F837D4" w14:textId="77777777" w:rsidR="006B3233" w:rsidRPr="00163646" w:rsidRDefault="006B3233" w:rsidP="006B3233">
      <w:pPr>
        <w:pStyle w:val="Outline1"/>
        <w:numPr>
          <w:ilvl w:val="0"/>
          <w:numId w:val="12"/>
        </w:numPr>
      </w:pPr>
      <w:r w:rsidRPr="00163646">
        <w:t>Total liabilities divided by Total assets</w:t>
      </w:r>
    </w:p>
    <w:p w14:paraId="3E828CAB" w14:textId="77777777" w:rsidR="006B3233" w:rsidRDefault="006B3233" w:rsidP="006B3233">
      <w:pPr>
        <w:pStyle w:val="Outline1"/>
        <w:numPr>
          <w:ilvl w:val="0"/>
          <w:numId w:val="12"/>
        </w:numPr>
      </w:pPr>
      <w:r w:rsidRPr="00163646">
        <w:t xml:space="preserve">365 divided by Inventory turnover ratio </w:t>
      </w:r>
    </w:p>
    <w:p w14:paraId="315B4EFE" w14:textId="49E50491" w:rsidR="006B3233" w:rsidRPr="00163646" w:rsidRDefault="006B3233" w:rsidP="006B3233">
      <w:pPr>
        <w:pStyle w:val="Outline1"/>
        <w:numPr>
          <w:ilvl w:val="0"/>
          <w:numId w:val="12"/>
        </w:numPr>
      </w:pPr>
      <w:r>
        <w:t>(</w:t>
      </w:r>
      <w:r w:rsidRPr="00163646">
        <w:t xml:space="preserve">Net income </w:t>
      </w:r>
      <w:r>
        <w:t>minus Preferred dividends)</w:t>
      </w:r>
      <w:r w:rsidR="00051189">
        <w:t xml:space="preserve"> </w:t>
      </w:r>
      <w:r w:rsidRPr="00163646">
        <w:t>divided by Average number of common shares</w:t>
      </w:r>
    </w:p>
    <w:p w14:paraId="16F23C12" w14:textId="2C9D8AF0" w:rsidR="006B3233" w:rsidRPr="00163646" w:rsidRDefault="006B3233" w:rsidP="006B3233">
      <w:pPr>
        <w:pStyle w:val="Outline1"/>
        <w:numPr>
          <w:ilvl w:val="0"/>
          <w:numId w:val="12"/>
        </w:numPr>
      </w:pPr>
      <w:r>
        <w:t>(</w:t>
      </w:r>
      <w:r w:rsidRPr="00163646">
        <w:t xml:space="preserve">Net income </w:t>
      </w:r>
      <w:r>
        <w:t>minus Preferred dividends)</w:t>
      </w:r>
      <w:r w:rsidR="00051189">
        <w:t xml:space="preserve"> </w:t>
      </w:r>
      <w:r w:rsidRPr="00163646">
        <w:t xml:space="preserve">divided by Average </w:t>
      </w:r>
      <w:r>
        <w:t xml:space="preserve">common </w:t>
      </w:r>
      <w:r w:rsidRPr="00163646">
        <w:t>stockholders’ equity</w:t>
      </w:r>
    </w:p>
    <w:p w14:paraId="65F73130" w14:textId="32E7E88A" w:rsidR="006B3233" w:rsidRPr="00163646" w:rsidRDefault="006B3233" w:rsidP="006B3233">
      <w:pPr>
        <w:pStyle w:val="Outline1"/>
        <w:numPr>
          <w:ilvl w:val="0"/>
          <w:numId w:val="12"/>
        </w:numPr>
      </w:pPr>
      <w:r>
        <w:t>(</w:t>
      </w:r>
      <w:r w:rsidRPr="00163646">
        <w:t>Net income divided by Net sales revenue</w:t>
      </w:r>
      <w:r>
        <w:t xml:space="preserve">) </w:t>
      </w:r>
      <w:r w:rsidR="00051189">
        <w:t>×</w:t>
      </w:r>
      <w:r>
        <w:t xml:space="preserve"> 100</w:t>
      </w:r>
    </w:p>
    <w:p w14:paraId="5726F68C" w14:textId="77777777" w:rsidR="006B3233" w:rsidRPr="00163646" w:rsidRDefault="006B3233" w:rsidP="006B3233">
      <w:pPr>
        <w:pStyle w:val="Outline1"/>
        <w:numPr>
          <w:ilvl w:val="0"/>
          <w:numId w:val="12"/>
        </w:numPr>
      </w:pPr>
      <w:r w:rsidRPr="00163646">
        <w:t>(Net income + Interest expense + Income tax expense) divided by Interest expense</w:t>
      </w:r>
    </w:p>
    <w:p w14:paraId="0CCD3938" w14:textId="33159FAE" w:rsidR="006B3233" w:rsidRPr="00163646" w:rsidRDefault="006B3233" w:rsidP="006B3233">
      <w:pPr>
        <w:pStyle w:val="Outline1"/>
        <w:numPr>
          <w:ilvl w:val="0"/>
          <w:numId w:val="12"/>
        </w:numPr>
      </w:pPr>
      <w:r>
        <w:t xml:space="preserve">[(Net sales revenue </w:t>
      </w:r>
      <w:r w:rsidR="00051189">
        <w:t>−</w:t>
      </w:r>
      <w:r>
        <w:t xml:space="preserve"> C</w:t>
      </w:r>
      <w:r w:rsidRPr="00163646">
        <w:t>ost of goods sold) divided by Net sales revenue</w:t>
      </w:r>
      <w:r>
        <w:t xml:space="preserve">] </w:t>
      </w:r>
      <w:r w:rsidR="00051189">
        <w:t>×</w:t>
      </w:r>
      <w:r>
        <w:t xml:space="preserve"> 100</w:t>
      </w:r>
    </w:p>
    <w:p w14:paraId="3818E373" w14:textId="77777777" w:rsidR="006B3233" w:rsidRPr="00163646" w:rsidRDefault="006B3233" w:rsidP="006B3233">
      <w:pPr>
        <w:pStyle w:val="Outline1"/>
        <w:numPr>
          <w:ilvl w:val="0"/>
          <w:numId w:val="12"/>
        </w:numPr>
      </w:pPr>
      <w:r>
        <w:t>Total</w:t>
      </w:r>
      <w:r w:rsidRPr="00163646">
        <w:t xml:space="preserve"> revenue divided by Average net fixed assets</w:t>
      </w:r>
    </w:p>
    <w:p w14:paraId="2DDA7EE8" w14:textId="77777777" w:rsidR="006B3233" w:rsidRPr="00163646" w:rsidRDefault="006B3233" w:rsidP="006B3233">
      <w:pPr>
        <w:pStyle w:val="Outline1"/>
        <w:numPr>
          <w:ilvl w:val="0"/>
          <w:numId w:val="12"/>
        </w:numPr>
      </w:pPr>
      <w:r w:rsidRPr="00163646">
        <w:t>Net sales revenue divided by Average net receivables</w:t>
      </w:r>
    </w:p>
    <w:p w14:paraId="324352BD" w14:textId="77777777" w:rsidR="00F957AF" w:rsidRPr="00163646" w:rsidRDefault="006B3233" w:rsidP="006B3233">
      <w:pPr>
        <w:pStyle w:val="Outline1"/>
        <w:numPr>
          <w:ilvl w:val="0"/>
          <w:numId w:val="12"/>
        </w:numPr>
      </w:pPr>
      <w:r w:rsidRPr="00163646">
        <w:t>365 divided by Receivables turnover ratio</w:t>
      </w:r>
    </w:p>
    <w:p w14:paraId="5BC9E8F0" w14:textId="6EE3C0C0" w:rsidR="00C04A0B" w:rsidRDefault="00163646" w:rsidP="00185634">
      <w:pPr>
        <w:pStyle w:val="Heading1"/>
        <w:spacing w:before="240"/>
      </w:pPr>
      <w:r w:rsidRPr="00185634">
        <w:rPr>
          <w:kern w:val="0"/>
        </w:rPr>
        <w:br w:type="page"/>
      </w:r>
      <w:r w:rsidR="00A010DB">
        <w:lastRenderedPageBreak/>
        <w:t xml:space="preserve"> </w:t>
      </w:r>
      <w:r w:rsidR="00C04A0B" w:rsidRPr="005F480C">
        <w:t>HANDOUT</w:t>
      </w:r>
      <w:r w:rsidR="00C04A0B">
        <w:t xml:space="preserve"> 13–2 SOLUTION</w:t>
      </w:r>
    </w:p>
    <w:p w14:paraId="6BFA1594" w14:textId="77777777" w:rsidR="00C04A0B" w:rsidRDefault="00C04A0B" w:rsidP="00C04A0B">
      <w:pPr>
        <w:pStyle w:val="Heading1"/>
        <w:spacing w:before="240"/>
        <w:jc w:val="center"/>
        <w:rPr>
          <w:u w:val="none"/>
        </w:rPr>
      </w:pPr>
      <w:r>
        <w:rPr>
          <w:u w:val="none"/>
        </w:rPr>
        <w:t>FINANCIAL RATIO FORMULAS</w:t>
      </w:r>
    </w:p>
    <w:p w14:paraId="741AB929" w14:textId="77777777" w:rsidR="00C04A0B" w:rsidRDefault="00C04A0B" w:rsidP="00C04A0B">
      <w:pPr>
        <w:pStyle w:val="BodyText"/>
        <w:rPr>
          <w:szCs w:val="22"/>
        </w:rPr>
      </w:pPr>
    </w:p>
    <w:p w14:paraId="403E5766" w14:textId="77777777" w:rsidR="00C04A0B" w:rsidRDefault="00C04A0B" w:rsidP="00C04A0B">
      <w:pPr>
        <w:pStyle w:val="BodyText"/>
        <w:rPr>
          <w:szCs w:val="22"/>
        </w:rPr>
      </w:pPr>
      <w:r>
        <w:rPr>
          <w:szCs w:val="22"/>
        </w:rPr>
        <w:t>Match each of the following financial ratios with its formula:</w:t>
      </w:r>
    </w:p>
    <w:p w14:paraId="32ABC77C" w14:textId="77777777" w:rsidR="00C04A0B" w:rsidRDefault="00C04A0B" w:rsidP="00C04A0B">
      <w:pPr>
        <w:pStyle w:val="BodyText"/>
        <w:spacing w:after="0"/>
        <w:rPr>
          <w:szCs w:val="22"/>
        </w:rPr>
      </w:pPr>
      <w:r>
        <w:rPr>
          <w:szCs w:val="22"/>
        </w:rPr>
        <w:t>Ratios:</w:t>
      </w:r>
    </w:p>
    <w:p w14:paraId="0310BB50" w14:textId="77777777" w:rsidR="006B3233" w:rsidRDefault="006B3233" w:rsidP="00C04A0B">
      <w:pPr>
        <w:pStyle w:val="BodyText"/>
        <w:spacing w:after="0"/>
      </w:pPr>
    </w:p>
    <w:tbl>
      <w:tblPr>
        <w:tblW w:w="8352" w:type="dxa"/>
        <w:tblInd w:w="144" w:type="dxa"/>
        <w:tblLook w:val="01E0" w:firstRow="1" w:lastRow="1" w:firstColumn="1" w:lastColumn="1" w:noHBand="0" w:noVBand="0"/>
      </w:tblPr>
      <w:tblGrid>
        <w:gridCol w:w="576"/>
        <w:gridCol w:w="3600"/>
        <w:gridCol w:w="576"/>
        <w:gridCol w:w="3600"/>
      </w:tblGrid>
      <w:tr w:rsidR="006B3233" w:rsidRPr="00D432B2" w14:paraId="15ACB3D1" w14:textId="77777777" w:rsidTr="00D432B2">
        <w:tc>
          <w:tcPr>
            <w:tcW w:w="576" w:type="dxa"/>
            <w:tcBorders>
              <w:bottom w:val="single" w:sz="6" w:space="0" w:color="auto"/>
            </w:tcBorders>
            <w:noWrap/>
            <w:tcFitText/>
          </w:tcPr>
          <w:p w14:paraId="33EEA8AE" w14:textId="77777777" w:rsidR="006B3233" w:rsidRPr="00185634" w:rsidRDefault="006B3233" w:rsidP="00743FE7">
            <w:pPr>
              <w:pStyle w:val="BodyText"/>
              <w:spacing w:after="0"/>
              <w:jc w:val="center"/>
            </w:pPr>
            <w:r w:rsidRPr="0085275A">
              <w:t>B</w:t>
            </w:r>
          </w:p>
        </w:tc>
        <w:tc>
          <w:tcPr>
            <w:tcW w:w="3600" w:type="dxa"/>
          </w:tcPr>
          <w:p w14:paraId="65C9F307" w14:textId="77777777" w:rsidR="006B3233" w:rsidRPr="00185634" w:rsidRDefault="006B3233" w:rsidP="00743FE7">
            <w:pPr>
              <w:pStyle w:val="BodyText"/>
              <w:spacing w:after="0"/>
              <w:jc w:val="left"/>
              <w:rPr>
                <w:szCs w:val="22"/>
              </w:rPr>
            </w:pPr>
            <w:r w:rsidRPr="00185634">
              <w:t xml:space="preserve">Current Ratio </w:t>
            </w:r>
          </w:p>
        </w:tc>
        <w:tc>
          <w:tcPr>
            <w:tcW w:w="576" w:type="dxa"/>
            <w:tcBorders>
              <w:bottom w:val="single" w:sz="4" w:space="0" w:color="auto"/>
            </w:tcBorders>
            <w:tcFitText/>
          </w:tcPr>
          <w:p w14:paraId="0F7D3FE4" w14:textId="77777777" w:rsidR="006B3233" w:rsidRPr="00185634" w:rsidRDefault="006B3233" w:rsidP="00E61C8F">
            <w:pPr>
              <w:pStyle w:val="BodyText"/>
              <w:spacing w:after="0"/>
              <w:jc w:val="center"/>
            </w:pPr>
            <w:r w:rsidRPr="0085275A">
              <w:t>A</w:t>
            </w:r>
          </w:p>
        </w:tc>
        <w:tc>
          <w:tcPr>
            <w:tcW w:w="3600" w:type="dxa"/>
          </w:tcPr>
          <w:p w14:paraId="5308DA54" w14:textId="77777777" w:rsidR="006B3233" w:rsidRPr="00185634" w:rsidRDefault="006B3233" w:rsidP="00E61C8F">
            <w:pPr>
              <w:pStyle w:val="BodyText"/>
              <w:spacing w:after="0"/>
              <w:jc w:val="left"/>
            </w:pPr>
            <w:r w:rsidRPr="00185634">
              <w:t>Inventory Turnover</w:t>
            </w:r>
          </w:p>
        </w:tc>
      </w:tr>
      <w:tr w:rsidR="006B3233" w:rsidRPr="00C04A0B" w14:paraId="0F55FC74" w14:textId="77777777" w:rsidTr="00D432B2">
        <w:tc>
          <w:tcPr>
            <w:tcW w:w="576" w:type="dxa"/>
            <w:tcBorders>
              <w:top w:val="single" w:sz="6" w:space="0" w:color="auto"/>
              <w:bottom w:val="single" w:sz="6" w:space="0" w:color="auto"/>
            </w:tcBorders>
            <w:noWrap/>
            <w:tcFitText/>
          </w:tcPr>
          <w:p w14:paraId="1D7B109A" w14:textId="77777777" w:rsidR="006B3233" w:rsidRPr="00185634" w:rsidRDefault="006B3233" w:rsidP="00743FE7">
            <w:pPr>
              <w:pStyle w:val="BodyText"/>
              <w:spacing w:after="0"/>
              <w:jc w:val="center"/>
            </w:pPr>
            <w:r w:rsidRPr="0085275A">
              <w:t>M</w:t>
            </w:r>
          </w:p>
        </w:tc>
        <w:tc>
          <w:tcPr>
            <w:tcW w:w="3600" w:type="dxa"/>
          </w:tcPr>
          <w:p w14:paraId="153895DA" w14:textId="77777777" w:rsidR="006B3233" w:rsidRPr="00185634" w:rsidRDefault="006B3233" w:rsidP="00743FE7">
            <w:pPr>
              <w:pStyle w:val="BodyText"/>
              <w:spacing w:after="0"/>
              <w:jc w:val="left"/>
              <w:rPr>
                <w:szCs w:val="22"/>
              </w:rPr>
            </w:pPr>
            <w:r w:rsidRPr="00185634">
              <w:t xml:space="preserve">Days </w:t>
            </w:r>
            <w:r>
              <w:t>t</w:t>
            </w:r>
            <w:r w:rsidRPr="00185634">
              <w:t>o Collect</w:t>
            </w:r>
          </w:p>
        </w:tc>
        <w:tc>
          <w:tcPr>
            <w:tcW w:w="576" w:type="dxa"/>
            <w:tcBorders>
              <w:top w:val="single" w:sz="4" w:space="0" w:color="auto"/>
              <w:bottom w:val="single" w:sz="4" w:space="0" w:color="auto"/>
            </w:tcBorders>
            <w:tcFitText/>
          </w:tcPr>
          <w:p w14:paraId="36D97E9F" w14:textId="77777777" w:rsidR="006B3233" w:rsidRPr="00185634" w:rsidRDefault="006B3233" w:rsidP="00E61C8F">
            <w:pPr>
              <w:pStyle w:val="BodyText"/>
              <w:spacing w:after="0"/>
              <w:jc w:val="center"/>
            </w:pPr>
            <w:r w:rsidRPr="0085275A">
              <w:t>H</w:t>
            </w:r>
          </w:p>
        </w:tc>
        <w:tc>
          <w:tcPr>
            <w:tcW w:w="3600" w:type="dxa"/>
          </w:tcPr>
          <w:p w14:paraId="50DB7CF7" w14:textId="77777777" w:rsidR="006B3233" w:rsidRPr="00185634" w:rsidRDefault="006B3233" w:rsidP="00E61C8F">
            <w:pPr>
              <w:pStyle w:val="BodyText"/>
              <w:spacing w:after="0"/>
              <w:jc w:val="left"/>
            </w:pPr>
            <w:r w:rsidRPr="00185634">
              <w:t>Net Profit Margin</w:t>
            </w:r>
          </w:p>
        </w:tc>
      </w:tr>
      <w:tr w:rsidR="006B3233" w:rsidRPr="00C04A0B" w14:paraId="2D9B8F5B" w14:textId="77777777" w:rsidTr="00D432B2">
        <w:tc>
          <w:tcPr>
            <w:tcW w:w="576" w:type="dxa"/>
            <w:tcBorders>
              <w:top w:val="single" w:sz="6" w:space="0" w:color="auto"/>
              <w:bottom w:val="single" w:sz="6" w:space="0" w:color="auto"/>
            </w:tcBorders>
            <w:noWrap/>
            <w:tcFitText/>
          </w:tcPr>
          <w:p w14:paraId="70C2B71E" w14:textId="77777777" w:rsidR="006B3233" w:rsidRPr="00185634" w:rsidRDefault="006B3233" w:rsidP="00743FE7">
            <w:pPr>
              <w:pStyle w:val="BodyText"/>
              <w:spacing w:after="0"/>
              <w:jc w:val="center"/>
            </w:pPr>
            <w:r w:rsidRPr="0085275A">
              <w:t>E</w:t>
            </w:r>
          </w:p>
        </w:tc>
        <w:tc>
          <w:tcPr>
            <w:tcW w:w="3600" w:type="dxa"/>
          </w:tcPr>
          <w:p w14:paraId="78F7F6F3" w14:textId="77777777" w:rsidR="006B3233" w:rsidRPr="00185634" w:rsidRDefault="006B3233" w:rsidP="00743FE7">
            <w:pPr>
              <w:pStyle w:val="BodyText"/>
              <w:spacing w:after="0"/>
              <w:jc w:val="left"/>
              <w:rPr>
                <w:szCs w:val="22"/>
              </w:rPr>
            </w:pPr>
            <w:r w:rsidRPr="00185634">
              <w:t xml:space="preserve">Days </w:t>
            </w:r>
            <w:r>
              <w:t>t</w:t>
            </w:r>
            <w:r w:rsidRPr="00185634">
              <w:t>o Sell</w:t>
            </w:r>
          </w:p>
        </w:tc>
        <w:tc>
          <w:tcPr>
            <w:tcW w:w="576" w:type="dxa"/>
            <w:tcBorders>
              <w:top w:val="single" w:sz="4" w:space="0" w:color="auto"/>
              <w:bottom w:val="single" w:sz="4" w:space="0" w:color="auto"/>
            </w:tcBorders>
            <w:tcFitText/>
          </w:tcPr>
          <w:p w14:paraId="5BC9CE9F" w14:textId="77777777" w:rsidR="006B3233" w:rsidRPr="00185634" w:rsidRDefault="006B3233" w:rsidP="00E61C8F">
            <w:pPr>
              <w:pStyle w:val="BodyText"/>
              <w:spacing w:after="0"/>
              <w:jc w:val="center"/>
            </w:pPr>
            <w:r w:rsidRPr="0085275A">
              <w:t>C</w:t>
            </w:r>
          </w:p>
        </w:tc>
        <w:tc>
          <w:tcPr>
            <w:tcW w:w="3600" w:type="dxa"/>
          </w:tcPr>
          <w:p w14:paraId="68089DD3" w14:textId="77777777" w:rsidR="006B3233" w:rsidRPr="00185634" w:rsidRDefault="006B3233" w:rsidP="00185634">
            <w:pPr>
              <w:pStyle w:val="BodyText"/>
              <w:spacing w:after="0"/>
              <w:jc w:val="left"/>
            </w:pPr>
            <w:r w:rsidRPr="00185634">
              <w:t>Price/Earnings (P/E) Ratio</w:t>
            </w:r>
          </w:p>
        </w:tc>
      </w:tr>
      <w:tr w:rsidR="006B3233" w:rsidRPr="00D432B2" w14:paraId="1CF5B859" w14:textId="77777777" w:rsidTr="00D432B2">
        <w:tc>
          <w:tcPr>
            <w:tcW w:w="576" w:type="dxa"/>
            <w:tcBorders>
              <w:top w:val="single" w:sz="6" w:space="0" w:color="auto"/>
              <w:bottom w:val="single" w:sz="6" w:space="0" w:color="auto"/>
            </w:tcBorders>
            <w:noWrap/>
            <w:tcFitText/>
          </w:tcPr>
          <w:p w14:paraId="43D75885" w14:textId="77777777" w:rsidR="006B3233" w:rsidRPr="00185634" w:rsidRDefault="006B3233" w:rsidP="00743FE7">
            <w:pPr>
              <w:pStyle w:val="BodyText"/>
              <w:spacing w:after="0"/>
              <w:jc w:val="center"/>
            </w:pPr>
            <w:r w:rsidRPr="0085275A">
              <w:t>D</w:t>
            </w:r>
          </w:p>
        </w:tc>
        <w:tc>
          <w:tcPr>
            <w:tcW w:w="3600" w:type="dxa"/>
          </w:tcPr>
          <w:p w14:paraId="376BC494" w14:textId="77777777" w:rsidR="006B3233" w:rsidRPr="00185634" w:rsidRDefault="006B3233" w:rsidP="00743FE7">
            <w:pPr>
              <w:pStyle w:val="BodyText"/>
              <w:spacing w:after="0"/>
              <w:jc w:val="left"/>
            </w:pPr>
            <w:r w:rsidRPr="00185634">
              <w:t>Debt</w:t>
            </w:r>
            <w:r w:rsidR="005E3E12">
              <w:t>-to-</w:t>
            </w:r>
            <w:r w:rsidRPr="00185634">
              <w:t>Assets</w:t>
            </w:r>
          </w:p>
        </w:tc>
        <w:tc>
          <w:tcPr>
            <w:tcW w:w="576" w:type="dxa"/>
            <w:tcBorders>
              <w:top w:val="single" w:sz="4" w:space="0" w:color="auto"/>
              <w:bottom w:val="single" w:sz="4" w:space="0" w:color="auto"/>
            </w:tcBorders>
            <w:tcFitText/>
          </w:tcPr>
          <w:p w14:paraId="3C612893" w14:textId="77777777" w:rsidR="006B3233" w:rsidRPr="00185634" w:rsidRDefault="006B3233" w:rsidP="00743FE7">
            <w:pPr>
              <w:pStyle w:val="BodyText"/>
              <w:spacing w:after="0"/>
              <w:jc w:val="center"/>
            </w:pPr>
            <w:r w:rsidRPr="0085275A">
              <w:t>L</w:t>
            </w:r>
          </w:p>
        </w:tc>
        <w:tc>
          <w:tcPr>
            <w:tcW w:w="3600" w:type="dxa"/>
          </w:tcPr>
          <w:p w14:paraId="765E5BD4" w14:textId="77777777" w:rsidR="006B3233" w:rsidRPr="00185634" w:rsidRDefault="006B3233" w:rsidP="00743FE7">
            <w:pPr>
              <w:pStyle w:val="BodyText"/>
              <w:spacing w:after="0"/>
              <w:jc w:val="left"/>
            </w:pPr>
            <w:r w:rsidRPr="00185634">
              <w:t>Receivables Turnover</w:t>
            </w:r>
          </w:p>
        </w:tc>
      </w:tr>
      <w:tr w:rsidR="006B3233" w:rsidRPr="00D432B2" w14:paraId="7CE22B05" w14:textId="77777777" w:rsidTr="00D432B2">
        <w:tc>
          <w:tcPr>
            <w:tcW w:w="576" w:type="dxa"/>
            <w:tcBorders>
              <w:top w:val="single" w:sz="6" w:space="0" w:color="auto"/>
              <w:bottom w:val="single" w:sz="6" w:space="0" w:color="auto"/>
            </w:tcBorders>
            <w:noWrap/>
            <w:tcFitText/>
          </w:tcPr>
          <w:p w14:paraId="19ADEA34" w14:textId="77777777" w:rsidR="006B3233" w:rsidRPr="00185634" w:rsidRDefault="006B3233" w:rsidP="00743FE7">
            <w:pPr>
              <w:pStyle w:val="BodyText"/>
              <w:spacing w:after="0"/>
              <w:jc w:val="center"/>
            </w:pPr>
            <w:r w:rsidRPr="0085275A">
              <w:t>F</w:t>
            </w:r>
          </w:p>
        </w:tc>
        <w:tc>
          <w:tcPr>
            <w:tcW w:w="3600" w:type="dxa"/>
          </w:tcPr>
          <w:p w14:paraId="3FFE8563" w14:textId="77777777" w:rsidR="006B3233" w:rsidRPr="00185634" w:rsidRDefault="006B3233" w:rsidP="00743FE7">
            <w:pPr>
              <w:pStyle w:val="BodyText"/>
              <w:spacing w:after="0"/>
              <w:jc w:val="left"/>
            </w:pPr>
            <w:r w:rsidRPr="00185634">
              <w:t>Earnings Per Share (E</w:t>
            </w:r>
            <w:r>
              <w:t>PS</w:t>
            </w:r>
            <w:r w:rsidRPr="00185634">
              <w:t>)</w:t>
            </w:r>
          </w:p>
        </w:tc>
        <w:tc>
          <w:tcPr>
            <w:tcW w:w="576" w:type="dxa"/>
            <w:tcBorders>
              <w:top w:val="single" w:sz="4" w:space="0" w:color="auto"/>
              <w:bottom w:val="single" w:sz="4" w:space="0" w:color="auto"/>
            </w:tcBorders>
            <w:tcFitText/>
          </w:tcPr>
          <w:p w14:paraId="224FFF28" w14:textId="77777777" w:rsidR="006B3233" w:rsidRPr="00185634" w:rsidRDefault="006B3233" w:rsidP="00743FE7">
            <w:pPr>
              <w:pStyle w:val="BodyText"/>
              <w:spacing w:after="0"/>
              <w:jc w:val="center"/>
            </w:pPr>
            <w:r w:rsidRPr="0085275A">
              <w:t>G</w:t>
            </w:r>
          </w:p>
        </w:tc>
        <w:tc>
          <w:tcPr>
            <w:tcW w:w="3600" w:type="dxa"/>
          </w:tcPr>
          <w:p w14:paraId="71FC735A" w14:textId="77777777" w:rsidR="006B3233" w:rsidRPr="00185634" w:rsidRDefault="006B3233" w:rsidP="00743FE7">
            <w:pPr>
              <w:pStyle w:val="BodyText"/>
              <w:spacing w:after="0"/>
              <w:jc w:val="left"/>
            </w:pPr>
            <w:r>
              <w:t>Return o</w:t>
            </w:r>
            <w:r w:rsidRPr="00185634">
              <w:t>n Equity (R</w:t>
            </w:r>
            <w:r>
              <w:t>OE</w:t>
            </w:r>
            <w:r w:rsidRPr="00185634">
              <w:t xml:space="preserve">) </w:t>
            </w:r>
          </w:p>
        </w:tc>
      </w:tr>
      <w:tr w:rsidR="006B3233" w:rsidRPr="00D432B2" w14:paraId="56541BA4" w14:textId="77777777" w:rsidTr="006B3233">
        <w:tc>
          <w:tcPr>
            <w:tcW w:w="576" w:type="dxa"/>
            <w:tcBorders>
              <w:top w:val="single" w:sz="6" w:space="0" w:color="auto"/>
              <w:bottom w:val="single" w:sz="6" w:space="0" w:color="auto"/>
            </w:tcBorders>
            <w:noWrap/>
            <w:tcFitText/>
          </w:tcPr>
          <w:p w14:paraId="0B994B3E" w14:textId="77777777" w:rsidR="006B3233" w:rsidRPr="00185634" w:rsidRDefault="006B3233" w:rsidP="00743FE7">
            <w:pPr>
              <w:pStyle w:val="BodyText"/>
              <w:spacing w:after="0"/>
              <w:jc w:val="center"/>
            </w:pPr>
            <w:r w:rsidRPr="0085275A">
              <w:t>K</w:t>
            </w:r>
          </w:p>
        </w:tc>
        <w:tc>
          <w:tcPr>
            <w:tcW w:w="3600" w:type="dxa"/>
          </w:tcPr>
          <w:p w14:paraId="12E836B5" w14:textId="77777777" w:rsidR="006B3233" w:rsidRPr="00185634" w:rsidRDefault="006B3233" w:rsidP="00743FE7">
            <w:pPr>
              <w:pStyle w:val="BodyText"/>
              <w:spacing w:after="0"/>
              <w:jc w:val="left"/>
            </w:pPr>
            <w:r w:rsidRPr="00185634">
              <w:t xml:space="preserve">Fixed Asset Turnover </w:t>
            </w:r>
          </w:p>
        </w:tc>
        <w:tc>
          <w:tcPr>
            <w:tcW w:w="576" w:type="dxa"/>
            <w:tcBorders>
              <w:top w:val="single" w:sz="4" w:space="0" w:color="auto"/>
              <w:bottom w:val="single" w:sz="4" w:space="0" w:color="auto"/>
            </w:tcBorders>
            <w:tcFitText/>
          </w:tcPr>
          <w:p w14:paraId="71878588" w14:textId="77777777" w:rsidR="006B3233" w:rsidRPr="00185634" w:rsidRDefault="006B3233" w:rsidP="00743FE7">
            <w:pPr>
              <w:pStyle w:val="BodyText"/>
              <w:spacing w:after="0"/>
              <w:jc w:val="center"/>
            </w:pPr>
            <w:r w:rsidRPr="0085275A">
              <w:t>I</w:t>
            </w:r>
          </w:p>
        </w:tc>
        <w:tc>
          <w:tcPr>
            <w:tcW w:w="3600" w:type="dxa"/>
          </w:tcPr>
          <w:p w14:paraId="771AB30E" w14:textId="77777777" w:rsidR="006B3233" w:rsidRPr="00185634" w:rsidRDefault="006B3233" w:rsidP="00743FE7">
            <w:pPr>
              <w:pStyle w:val="BodyText"/>
              <w:spacing w:after="0"/>
              <w:jc w:val="left"/>
            </w:pPr>
            <w:r w:rsidRPr="00185634">
              <w:t xml:space="preserve">Times Interest Earned </w:t>
            </w:r>
          </w:p>
        </w:tc>
      </w:tr>
      <w:tr w:rsidR="006B3233" w:rsidRPr="00C04A0B" w14:paraId="4B1CD4D5" w14:textId="77777777" w:rsidTr="006B3233">
        <w:tc>
          <w:tcPr>
            <w:tcW w:w="576" w:type="dxa"/>
            <w:tcBorders>
              <w:top w:val="single" w:sz="6" w:space="0" w:color="auto"/>
              <w:bottom w:val="single" w:sz="6" w:space="0" w:color="auto"/>
            </w:tcBorders>
            <w:noWrap/>
            <w:tcFitText/>
          </w:tcPr>
          <w:p w14:paraId="73B550A5" w14:textId="77777777" w:rsidR="006B3233" w:rsidRPr="00185634" w:rsidRDefault="006B3233" w:rsidP="00743FE7">
            <w:pPr>
              <w:pStyle w:val="BodyText"/>
              <w:spacing w:after="0"/>
              <w:jc w:val="center"/>
            </w:pPr>
            <w:r w:rsidRPr="0085275A">
              <w:t>J</w:t>
            </w:r>
          </w:p>
        </w:tc>
        <w:tc>
          <w:tcPr>
            <w:tcW w:w="3600" w:type="dxa"/>
          </w:tcPr>
          <w:p w14:paraId="0DE3C3A1" w14:textId="77777777" w:rsidR="006B3233" w:rsidRPr="00185634" w:rsidRDefault="006B3233" w:rsidP="00743FE7">
            <w:pPr>
              <w:pStyle w:val="BodyText"/>
              <w:spacing w:after="0"/>
              <w:jc w:val="left"/>
            </w:pPr>
            <w:r w:rsidRPr="00185634">
              <w:t xml:space="preserve">Gross Profit Percentage </w:t>
            </w:r>
          </w:p>
        </w:tc>
        <w:tc>
          <w:tcPr>
            <w:tcW w:w="576" w:type="dxa"/>
            <w:tcBorders>
              <w:top w:val="single" w:sz="4" w:space="0" w:color="auto"/>
            </w:tcBorders>
            <w:tcFitText/>
          </w:tcPr>
          <w:p w14:paraId="75D4AA5D" w14:textId="77777777" w:rsidR="006B3233" w:rsidRPr="00185634" w:rsidRDefault="006B3233" w:rsidP="00AB00C1">
            <w:pPr>
              <w:pStyle w:val="BodyText"/>
              <w:spacing w:after="0"/>
              <w:jc w:val="center"/>
            </w:pPr>
          </w:p>
        </w:tc>
        <w:tc>
          <w:tcPr>
            <w:tcW w:w="3600" w:type="dxa"/>
          </w:tcPr>
          <w:p w14:paraId="7A98986F" w14:textId="77777777" w:rsidR="006B3233" w:rsidRPr="00185634" w:rsidRDefault="006B3233" w:rsidP="00AB00C1">
            <w:pPr>
              <w:pStyle w:val="BodyText"/>
              <w:spacing w:after="0"/>
              <w:jc w:val="left"/>
            </w:pPr>
          </w:p>
        </w:tc>
      </w:tr>
      <w:tr w:rsidR="006B3233" w:rsidRPr="00D432B2" w14:paraId="6E946276" w14:textId="77777777" w:rsidTr="00AB00C1">
        <w:tc>
          <w:tcPr>
            <w:tcW w:w="576" w:type="dxa"/>
            <w:tcBorders>
              <w:top w:val="single" w:sz="4" w:space="0" w:color="auto"/>
            </w:tcBorders>
            <w:noWrap/>
            <w:tcFitText/>
          </w:tcPr>
          <w:p w14:paraId="2C1DC89F" w14:textId="77777777" w:rsidR="006B3233" w:rsidRPr="00185634" w:rsidRDefault="006B3233" w:rsidP="00E61C8F">
            <w:pPr>
              <w:pStyle w:val="BodyText"/>
              <w:spacing w:after="0"/>
              <w:jc w:val="center"/>
            </w:pPr>
          </w:p>
        </w:tc>
        <w:tc>
          <w:tcPr>
            <w:tcW w:w="3600" w:type="dxa"/>
          </w:tcPr>
          <w:p w14:paraId="0DA63C0E" w14:textId="77777777" w:rsidR="006B3233" w:rsidRPr="00185634" w:rsidRDefault="006B3233" w:rsidP="00E61C8F">
            <w:pPr>
              <w:pStyle w:val="BodyText"/>
              <w:spacing w:after="0"/>
              <w:jc w:val="left"/>
            </w:pPr>
          </w:p>
        </w:tc>
        <w:tc>
          <w:tcPr>
            <w:tcW w:w="576" w:type="dxa"/>
            <w:tcFitText/>
          </w:tcPr>
          <w:p w14:paraId="3D5A92B8" w14:textId="77777777" w:rsidR="006B3233" w:rsidRPr="00185634" w:rsidRDefault="006B3233" w:rsidP="00E61C8F">
            <w:pPr>
              <w:pStyle w:val="BodyText"/>
              <w:spacing w:after="0"/>
              <w:jc w:val="center"/>
            </w:pPr>
          </w:p>
        </w:tc>
        <w:tc>
          <w:tcPr>
            <w:tcW w:w="3600" w:type="dxa"/>
          </w:tcPr>
          <w:p w14:paraId="56BB6812" w14:textId="77777777" w:rsidR="006B3233" w:rsidRPr="00185634" w:rsidRDefault="006B3233" w:rsidP="00E61C8F">
            <w:pPr>
              <w:pStyle w:val="BodyText"/>
              <w:spacing w:after="0"/>
              <w:jc w:val="left"/>
            </w:pPr>
          </w:p>
        </w:tc>
      </w:tr>
    </w:tbl>
    <w:p w14:paraId="4D924699" w14:textId="77777777" w:rsidR="00C04A0B" w:rsidRDefault="00C04A0B" w:rsidP="00C04A0B">
      <w:pPr>
        <w:pStyle w:val="BodyText"/>
        <w:spacing w:after="0"/>
        <w:rPr>
          <w:szCs w:val="22"/>
        </w:rPr>
      </w:pPr>
      <w:r>
        <w:rPr>
          <w:szCs w:val="22"/>
        </w:rPr>
        <w:t>Formulas:</w:t>
      </w:r>
    </w:p>
    <w:p w14:paraId="7FAB2DA0" w14:textId="77777777" w:rsidR="006B3233" w:rsidRDefault="006B3233" w:rsidP="00C04A0B">
      <w:pPr>
        <w:pStyle w:val="BodyText"/>
        <w:spacing w:after="0"/>
      </w:pPr>
    </w:p>
    <w:p w14:paraId="65024F5B" w14:textId="77777777" w:rsidR="00C04A0B" w:rsidRPr="00163646" w:rsidRDefault="00C04A0B" w:rsidP="006B3233">
      <w:pPr>
        <w:pStyle w:val="Outline1"/>
        <w:numPr>
          <w:ilvl w:val="0"/>
          <w:numId w:val="22"/>
        </w:numPr>
        <w:spacing w:before="0"/>
      </w:pPr>
      <w:r w:rsidRPr="00163646">
        <w:t>Cost of sales divided by Average inventory</w:t>
      </w:r>
    </w:p>
    <w:p w14:paraId="24AB3632" w14:textId="77777777" w:rsidR="00C04A0B" w:rsidRPr="00163646" w:rsidRDefault="00C04A0B" w:rsidP="00F957AF">
      <w:pPr>
        <w:pStyle w:val="Outline1"/>
        <w:numPr>
          <w:ilvl w:val="0"/>
          <w:numId w:val="22"/>
        </w:numPr>
      </w:pPr>
      <w:r w:rsidRPr="00163646">
        <w:t>Current assets divided by Current liabilities</w:t>
      </w:r>
    </w:p>
    <w:p w14:paraId="574AD15D" w14:textId="77777777" w:rsidR="00C04A0B" w:rsidRDefault="006B3233" w:rsidP="00F957AF">
      <w:pPr>
        <w:pStyle w:val="Outline1"/>
        <w:numPr>
          <w:ilvl w:val="0"/>
          <w:numId w:val="22"/>
        </w:numPr>
      </w:pPr>
      <w:r w:rsidRPr="00163646">
        <w:t>Stock price divided by EPS</w:t>
      </w:r>
    </w:p>
    <w:p w14:paraId="6C4EB546" w14:textId="77777777" w:rsidR="00C04A0B" w:rsidRPr="00163646" w:rsidRDefault="006B3233" w:rsidP="00F957AF">
      <w:pPr>
        <w:pStyle w:val="Outline1"/>
        <w:numPr>
          <w:ilvl w:val="0"/>
          <w:numId w:val="22"/>
        </w:numPr>
      </w:pPr>
      <w:r w:rsidRPr="00163646">
        <w:t>Total liabilities divided by Total assets</w:t>
      </w:r>
    </w:p>
    <w:p w14:paraId="228D2C20" w14:textId="77777777" w:rsidR="00185634" w:rsidRDefault="00AB00C1" w:rsidP="00F957AF">
      <w:pPr>
        <w:pStyle w:val="Outline1"/>
        <w:numPr>
          <w:ilvl w:val="0"/>
          <w:numId w:val="22"/>
        </w:numPr>
      </w:pPr>
      <w:r w:rsidRPr="00163646">
        <w:t>365 divided by Inventory turnover ratio</w:t>
      </w:r>
      <w:r w:rsidR="00185634" w:rsidRPr="00163646">
        <w:t xml:space="preserve"> </w:t>
      </w:r>
    </w:p>
    <w:p w14:paraId="1CE29E78" w14:textId="21395E75" w:rsidR="00C04A0B" w:rsidRPr="00163646" w:rsidRDefault="00F957AF" w:rsidP="00F957AF">
      <w:pPr>
        <w:pStyle w:val="Outline1"/>
        <w:numPr>
          <w:ilvl w:val="0"/>
          <w:numId w:val="22"/>
        </w:numPr>
      </w:pPr>
      <w:r>
        <w:t>(</w:t>
      </w:r>
      <w:r w:rsidRPr="00163646">
        <w:t xml:space="preserve">Net income </w:t>
      </w:r>
      <w:r>
        <w:t>minus Preferred dividends)</w:t>
      </w:r>
      <w:r w:rsidR="00051189">
        <w:t xml:space="preserve"> </w:t>
      </w:r>
      <w:r w:rsidR="00C04A0B" w:rsidRPr="00163646">
        <w:t>divided by Average number of common shares</w:t>
      </w:r>
    </w:p>
    <w:p w14:paraId="3CE62913" w14:textId="0726ABEA" w:rsidR="00C04A0B" w:rsidRPr="00163646" w:rsidRDefault="00F957AF" w:rsidP="00F957AF">
      <w:pPr>
        <w:pStyle w:val="Outline1"/>
        <w:numPr>
          <w:ilvl w:val="0"/>
          <w:numId w:val="22"/>
        </w:numPr>
      </w:pPr>
      <w:r>
        <w:t>(</w:t>
      </w:r>
      <w:r w:rsidRPr="00163646">
        <w:t xml:space="preserve">Net income </w:t>
      </w:r>
      <w:r>
        <w:t>minus Preferred dividends)</w:t>
      </w:r>
      <w:r w:rsidR="00051189">
        <w:t xml:space="preserve"> </w:t>
      </w:r>
      <w:r w:rsidR="00C04A0B" w:rsidRPr="00163646">
        <w:t xml:space="preserve">divided by Average </w:t>
      </w:r>
      <w:r w:rsidR="006B3233">
        <w:t xml:space="preserve">common </w:t>
      </w:r>
      <w:r w:rsidR="00C04A0B" w:rsidRPr="00163646">
        <w:t>stockholders’ equity</w:t>
      </w:r>
    </w:p>
    <w:p w14:paraId="64C2A2AE" w14:textId="719DF4F0" w:rsidR="00C04A0B" w:rsidRPr="00163646" w:rsidRDefault="006B3233" w:rsidP="00F957AF">
      <w:pPr>
        <w:pStyle w:val="Outline1"/>
        <w:numPr>
          <w:ilvl w:val="0"/>
          <w:numId w:val="22"/>
        </w:numPr>
      </w:pPr>
      <w:r>
        <w:t>(</w:t>
      </w:r>
      <w:r w:rsidR="00C04A0B" w:rsidRPr="00163646">
        <w:t>Net income divided by Net sales revenue</w:t>
      </w:r>
      <w:r>
        <w:t xml:space="preserve">) </w:t>
      </w:r>
      <w:r w:rsidR="00051189">
        <w:t>×</w:t>
      </w:r>
      <w:r>
        <w:t xml:space="preserve"> 100</w:t>
      </w:r>
    </w:p>
    <w:p w14:paraId="19E7D2D1" w14:textId="77777777" w:rsidR="00C04A0B" w:rsidRPr="00163646" w:rsidRDefault="00C04A0B" w:rsidP="00F957AF">
      <w:pPr>
        <w:pStyle w:val="Outline1"/>
        <w:numPr>
          <w:ilvl w:val="0"/>
          <w:numId w:val="22"/>
        </w:numPr>
      </w:pPr>
      <w:r w:rsidRPr="00163646">
        <w:t>(Net income + Interest expense + Income tax expense) divided by Interest expense</w:t>
      </w:r>
    </w:p>
    <w:p w14:paraId="6D8F5B16" w14:textId="1F5915D6" w:rsidR="00C04A0B" w:rsidRPr="00163646" w:rsidRDefault="006B3233" w:rsidP="00F957AF">
      <w:pPr>
        <w:pStyle w:val="Outline1"/>
        <w:numPr>
          <w:ilvl w:val="0"/>
          <w:numId w:val="22"/>
        </w:numPr>
      </w:pPr>
      <w:r>
        <w:t>[</w:t>
      </w:r>
      <w:r w:rsidR="00AB00C1">
        <w:t xml:space="preserve">(Net sales revenue </w:t>
      </w:r>
      <w:r w:rsidR="00051189">
        <w:t>÷</w:t>
      </w:r>
      <w:r w:rsidR="00AB00C1">
        <w:t xml:space="preserve"> C</w:t>
      </w:r>
      <w:r w:rsidR="00C04A0B" w:rsidRPr="00163646">
        <w:t>ost of goods sold) divided by Net sales revenue</w:t>
      </w:r>
      <w:r>
        <w:t xml:space="preserve">] </w:t>
      </w:r>
      <w:r w:rsidR="00051189">
        <w:t>×</w:t>
      </w:r>
      <w:r>
        <w:t xml:space="preserve"> 100</w:t>
      </w:r>
    </w:p>
    <w:p w14:paraId="2FA65FEB" w14:textId="77777777" w:rsidR="00C04A0B" w:rsidRPr="00163646" w:rsidRDefault="006B3233" w:rsidP="00F957AF">
      <w:pPr>
        <w:pStyle w:val="Outline1"/>
        <w:numPr>
          <w:ilvl w:val="0"/>
          <w:numId w:val="22"/>
        </w:numPr>
      </w:pPr>
      <w:r>
        <w:t>Total</w:t>
      </w:r>
      <w:r w:rsidR="00C04A0B" w:rsidRPr="00163646">
        <w:t xml:space="preserve"> revenue divided by Average net fixed assets</w:t>
      </w:r>
    </w:p>
    <w:p w14:paraId="1CBA76D7" w14:textId="77777777" w:rsidR="00C04A0B" w:rsidRPr="00163646" w:rsidRDefault="00C04A0B" w:rsidP="00F957AF">
      <w:pPr>
        <w:pStyle w:val="Outline1"/>
        <w:numPr>
          <w:ilvl w:val="0"/>
          <w:numId w:val="22"/>
        </w:numPr>
      </w:pPr>
      <w:r w:rsidRPr="00163646">
        <w:t>Net sales revenue divided by Average net receivables</w:t>
      </w:r>
    </w:p>
    <w:p w14:paraId="386DDFFC" w14:textId="77777777" w:rsidR="00C04A0B" w:rsidRPr="00163646" w:rsidRDefault="00AB00C1" w:rsidP="00F957AF">
      <w:pPr>
        <w:pStyle w:val="Outline1"/>
        <w:numPr>
          <w:ilvl w:val="0"/>
          <w:numId w:val="22"/>
        </w:numPr>
      </w:pPr>
      <w:r w:rsidRPr="00163646">
        <w:t>365 divided by Receivables turnover ratio</w:t>
      </w:r>
    </w:p>
    <w:p w14:paraId="6A36A421" w14:textId="77777777" w:rsidR="00DE6AC4" w:rsidRPr="00B17A5B" w:rsidRDefault="00DE6AC4" w:rsidP="00185634">
      <w:pPr>
        <w:pStyle w:val="Outline1"/>
        <w:ind w:left="648" w:firstLine="0"/>
      </w:pPr>
    </w:p>
    <w:p w14:paraId="4D43812B" w14:textId="77777777" w:rsidR="00D432B2" w:rsidRPr="00B17A5B" w:rsidRDefault="00D432B2" w:rsidP="00185634">
      <w:pPr>
        <w:pStyle w:val="Outline1"/>
        <w:ind w:left="648" w:firstLine="0"/>
      </w:pPr>
    </w:p>
    <w:sectPr w:rsidR="00D432B2" w:rsidRPr="00B17A5B" w:rsidSect="005777FB">
      <w:footerReference w:type="even" r:id="rId11"/>
      <w:footerReference w:type="default" r:id="rId12"/>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5A9A3" w14:textId="77777777" w:rsidR="00320206" w:rsidRDefault="00320206">
      <w:r>
        <w:separator/>
      </w:r>
    </w:p>
  </w:endnote>
  <w:endnote w:type="continuationSeparator" w:id="0">
    <w:p w14:paraId="53490C94" w14:textId="77777777" w:rsidR="00320206" w:rsidRDefault="00320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oudy">
    <w:altName w:val="Cambria"/>
    <w:panose1 w:val="00000000000000000000"/>
    <w:charset w:val="00"/>
    <w:family w:val="swiss"/>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86EBF" w14:textId="77777777" w:rsidR="00AB00C1" w:rsidRDefault="002564EF">
    <w:pPr>
      <w:pStyle w:val="Footer"/>
      <w:tabs>
        <w:tab w:val="clear" w:pos="8640"/>
        <w:tab w:val="right" w:pos="9360"/>
      </w:tabs>
      <w:ind w:right="360"/>
      <w:jc w:val="left"/>
      <w:rPr>
        <w:i/>
        <w:u w:val="single"/>
      </w:rPr>
    </w:pPr>
    <w:r>
      <w:rPr>
        <w:i/>
        <w:u w:val="single"/>
      </w:rPr>
      <w:t>Copyright © 2016 McGraw-Hill Education</w:t>
    </w:r>
    <w:r w:rsidR="00AB00C1">
      <w:rPr>
        <w:i/>
        <w:u w:val="single"/>
      </w:rPr>
      <w:tab/>
    </w:r>
    <w:r w:rsidR="00AB00C1">
      <w:rPr>
        <w:i/>
        <w:u w:val="single"/>
      </w:rPr>
      <w:tab/>
    </w:r>
  </w:p>
  <w:p w14:paraId="175D8C87" w14:textId="77777777" w:rsidR="00AB00C1" w:rsidRDefault="00AB00C1" w:rsidP="00BC1960">
    <w:pPr>
      <w:pStyle w:val="Footer"/>
      <w:tabs>
        <w:tab w:val="clear" w:pos="8640"/>
        <w:tab w:val="right" w:pos="9360"/>
      </w:tabs>
      <w:ind w:right="360"/>
      <w:jc w:val="left"/>
      <w:rPr>
        <w:i/>
      </w:rPr>
    </w:pPr>
    <w:r>
      <w:rPr>
        <w:rStyle w:val="PageNumber"/>
        <w:i/>
      </w:rPr>
      <w:t>13-</w:t>
    </w:r>
    <w:r>
      <w:rPr>
        <w:rStyle w:val="PageNumber"/>
        <w:i/>
      </w:rPr>
      <w:fldChar w:fldCharType="begin"/>
    </w:r>
    <w:r>
      <w:rPr>
        <w:rStyle w:val="PageNumber"/>
        <w:i/>
      </w:rPr>
      <w:instrText xml:space="preserve"> PAGE </w:instrText>
    </w:r>
    <w:r>
      <w:rPr>
        <w:rStyle w:val="PageNumber"/>
        <w:i/>
      </w:rPr>
      <w:fldChar w:fldCharType="separate"/>
    </w:r>
    <w:r w:rsidR="0085275A">
      <w:rPr>
        <w:rStyle w:val="PageNumber"/>
        <w:i/>
        <w:noProof/>
      </w:rPr>
      <w:t>14</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62E68" w14:textId="77777777" w:rsidR="00AB00C1" w:rsidRDefault="00AB00C1" w:rsidP="00BC1960">
    <w:pPr>
      <w:pStyle w:val="Footer"/>
      <w:tabs>
        <w:tab w:val="clear" w:pos="8640"/>
        <w:tab w:val="right" w:pos="9360"/>
      </w:tabs>
      <w:ind w:right="360"/>
      <w:jc w:val="left"/>
      <w:rPr>
        <w:i/>
        <w:u w:val="single"/>
      </w:rPr>
    </w:pPr>
    <w:r>
      <w:rPr>
        <w:i/>
        <w:u w:val="single"/>
      </w:rPr>
      <w:tab/>
    </w:r>
    <w:r>
      <w:rPr>
        <w:i/>
        <w:u w:val="single"/>
      </w:rPr>
      <w:tab/>
      <w:t xml:space="preserve"> </w:t>
    </w:r>
    <w:r w:rsidR="002564EF">
      <w:rPr>
        <w:i/>
        <w:u w:val="single"/>
      </w:rPr>
      <w:t>Copyright © 2016 McGraw-Hill Education</w:t>
    </w:r>
    <w:r>
      <w:rPr>
        <w:i/>
        <w:u w:val="single"/>
      </w:rPr>
      <w:t xml:space="preserve"> </w:t>
    </w:r>
  </w:p>
  <w:p w14:paraId="14CF0AF3" w14:textId="77777777" w:rsidR="00AB00C1" w:rsidRDefault="00AB00C1" w:rsidP="00625295">
    <w:pPr>
      <w:pStyle w:val="Footer"/>
      <w:tabs>
        <w:tab w:val="clear" w:pos="8640"/>
        <w:tab w:val="right" w:pos="9360"/>
      </w:tabs>
      <w:jc w:val="left"/>
      <w:rPr>
        <w:i/>
      </w:rPr>
    </w:pPr>
    <w:r>
      <w:rPr>
        <w:i/>
      </w:rPr>
      <w:t>Instructor’s Resource Manual, Chapter 13</w:t>
    </w:r>
    <w:r>
      <w:rPr>
        <w:i/>
      </w:rPr>
      <w:tab/>
    </w:r>
    <w:r>
      <w:rPr>
        <w:i/>
      </w:rPr>
      <w:tab/>
      <w:t>13-</w:t>
    </w:r>
    <w:r>
      <w:rPr>
        <w:rStyle w:val="PageNumber"/>
        <w:i/>
      </w:rPr>
      <w:fldChar w:fldCharType="begin"/>
    </w:r>
    <w:r>
      <w:rPr>
        <w:rStyle w:val="PageNumber"/>
        <w:i/>
      </w:rPr>
      <w:instrText xml:space="preserve"> PAGE </w:instrText>
    </w:r>
    <w:r>
      <w:rPr>
        <w:rStyle w:val="PageNumber"/>
        <w:i/>
      </w:rPr>
      <w:fldChar w:fldCharType="separate"/>
    </w:r>
    <w:r w:rsidR="0085275A">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F4023" w14:textId="77777777" w:rsidR="00320206" w:rsidRDefault="00320206">
      <w:r>
        <w:separator/>
      </w:r>
    </w:p>
  </w:footnote>
  <w:footnote w:type="continuationSeparator" w:id="0">
    <w:p w14:paraId="22BF24F9" w14:textId="77777777" w:rsidR="00320206" w:rsidRDefault="003202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0F40FCB"/>
    <w:multiLevelType w:val="hybridMultilevel"/>
    <w:tmpl w:val="8CA4D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73A7C"/>
    <w:multiLevelType w:val="hybridMultilevel"/>
    <w:tmpl w:val="B8367A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1B3347"/>
    <w:multiLevelType w:val="hybridMultilevel"/>
    <w:tmpl w:val="F48656CA"/>
    <w:lvl w:ilvl="0" w:tplc="04090019">
      <w:start w:val="1"/>
      <w:numFmt w:val="lowerLetter"/>
      <w:lvlText w:val="%1."/>
      <w:lvlJc w:val="left"/>
      <w:pPr>
        <w:ind w:left="2232" w:hanging="360"/>
      </w:p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4">
    <w:nsid w:val="1DF75026"/>
    <w:multiLevelType w:val="hybridMultilevel"/>
    <w:tmpl w:val="1ADE38D2"/>
    <w:lvl w:ilvl="0" w:tplc="88DCF4C6">
      <w:start w:val="1"/>
      <w:numFmt w:val="decimal"/>
      <w:lvlText w:val="%1. "/>
      <w:lvlJc w:val="left"/>
      <w:pPr>
        <w:ind w:left="1584" w:hanging="360"/>
      </w:pPr>
      <w:rPr>
        <w:rFonts w:hint="default"/>
      </w:rPr>
    </w:lvl>
    <w:lvl w:ilvl="1" w:tplc="04090019">
      <w:start w:val="1"/>
      <w:numFmt w:val="lowerLetter"/>
      <w:lvlText w:val="%2."/>
      <w:lvlJc w:val="left"/>
      <w:pPr>
        <w:ind w:left="2304" w:hanging="360"/>
      </w:pPr>
    </w:lvl>
    <w:lvl w:ilvl="2" w:tplc="0409001B">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nsid w:val="21403DF5"/>
    <w:multiLevelType w:val="hybridMultilevel"/>
    <w:tmpl w:val="2EBC66F0"/>
    <w:lvl w:ilvl="0" w:tplc="7456701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348457D"/>
    <w:multiLevelType w:val="hybridMultilevel"/>
    <w:tmpl w:val="0706A9C2"/>
    <w:lvl w:ilvl="0" w:tplc="62025330">
      <w:start w:val="1"/>
      <w:numFmt w:val="decimal"/>
      <w:lvlText w:val="____  %1."/>
      <w:lvlJc w:val="left"/>
      <w:pPr>
        <w:tabs>
          <w:tab w:val="num" w:pos="792"/>
        </w:tabs>
        <w:ind w:left="64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E67120"/>
    <w:multiLevelType w:val="hybridMultilevel"/>
    <w:tmpl w:val="3BE8B3B6"/>
    <w:lvl w:ilvl="0" w:tplc="48206310">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8">
    <w:nsid w:val="31B818DE"/>
    <w:multiLevelType w:val="hybridMultilevel"/>
    <w:tmpl w:val="7610AD50"/>
    <w:lvl w:ilvl="0" w:tplc="7FC41464">
      <w:start w:val="1"/>
      <w:numFmt w:val="upperLetter"/>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9">
    <w:nsid w:val="3BC07167"/>
    <w:multiLevelType w:val="hybridMultilevel"/>
    <w:tmpl w:val="874E639A"/>
    <w:lvl w:ilvl="0" w:tplc="F5B2451A">
      <w:start w:val="1"/>
      <w:numFmt w:val="upperLetter"/>
      <w:lvlText w:val="%1."/>
      <w:lvlJc w:val="left"/>
      <w:pPr>
        <w:tabs>
          <w:tab w:val="num" w:pos="648"/>
        </w:tabs>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1C027BC"/>
    <w:multiLevelType w:val="hybridMultilevel"/>
    <w:tmpl w:val="D22ED6BA"/>
    <w:lvl w:ilvl="0" w:tplc="48206310">
      <w:start w:val="1"/>
      <w:numFmt w:val="lowerLetter"/>
      <w:lvlText w:val="%1."/>
      <w:lvlJc w:val="left"/>
      <w:pPr>
        <w:tabs>
          <w:tab w:val="num" w:pos="1512"/>
        </w:tabs>
        <w:ind w:left="1512" w:hanging="360"/>
      </w:pPr>
      <w:rPr>
        <w:rFonts w:hint="default"/>
      </w:rPr>
    </w:lvl>
    <w:lvl w:ilvl="1" w:tplc="04090019">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2">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nsid w:val="42EF071D"/>
    <w:multiLevelType w:val="hybridMultilevel"/>
    <w:tmpl w:val="23D2A874"/>
    <w:lvl w:ilvl="0" w:tplc="0409000F">
      <w:start w:val="1"/>
      <w:numFmt w:val="decimal"/>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nsid w:val="462C4D47"/>
    <w:multiLevelType w:val="hybridMultilevel"/>
    <w:tmpl w:val="10D8AD40"/>
    <w:lvl w:ilvl="0" w:tplc="F2DEC15A">
      <w:start w:val="1"/>
      <w:numFmt w:val="bullet"/>
      <w:lvlText w:val=""/>
      <w:lvlJc w:val="left"/>
      <w:pPr>
        <w:tabs>
          <w:tab w:val="num" w:pos="2088"/>
        </w:tabs>
        <w:ind w:left="2088" w:hanging="360"/>
      </w:pPr>
      <w:rPr>
        <w:rFonts w:ascii="Symbol" w:hAnsi="Symbol" w:hint="default"/>
        <w:sz w:val="22"/>
        <w:szCs w:val="22"/>
      </w:rPr>
    </w:lvl>
    <w:lvl w:ilvl="1" w:tplc="04090003">
      <w:start w:val="1"/>
      <w:numFmt w:val="bullet"/>
      <w:lvlText w:val="o"/>
      <w:lvlJc w:val="left"/>
      <w:pPr>
        <w:tabs>
          <w:tab w:val="num" w:pos="2808"/>
        </w:tabs>
        <w:ind w:left="2808" w:hanging="360"/>
      </w:pPr>
      <w:rPr>
        <w:rFonts w:ascii="Courier New" w:hAnsi="Courier New" w:cs="Courier New" w:hint="default"/>
      </w:rPr>
    </w:lvl>
    <w:lvl w:ilvl="2" w:tplc="04090005" w:tentative="1">
      <w:start w:val="1"/>
      <w:numFmt w:val="bullet"/>
      <w:lvlText w:val=""/>
      <w:lvlJc w:val="left"/>
      <w:pPr>
        <w:tabs>
          <w:tab w:val="num" w:pos="3528"/>
        </w:tabs>
        <w:ind w:left="3528" w:hanging="360"/>
      </w:pPr>
      <w:rPr>
        <w:rFonts w:ascii="Wingdings" w:hAnsi="Wingdings" w:hint="default"/>
      </w:rPr>
    </w:lvl>
    <w:lvl w:ilvl="3" w:tplc="04090001" w:tentative="1">
      <w:start w:val="1"/>
      <w:numFmt w:val="bullet"/>
      <w:lvlText w:val=""/>
      <w:lvlJc w:val="left"/>
      <w:pPr>
        <w:tabs>
          <w:tab w:val="num" w:pos="4248"/>
        </w:tabs>
        <w:ind w:left="4248" w:hanging="360"/>
      </w:pPr>
      <w:rPr>
        <w:rFonts w:ascii="Symbol" w:hAnsi="Symbol" w:hint="default"/>
      </w:rPr>
    </w:lvl>
    <w:lvl w:ilvl="4" w:tplc="04090003" w:tentative="1">
      <w:start w:val="1"/>
      <w:numFmt w:val="bullet"/>
      <w:lvlText w:val="o"/>
      <w:lvlJc w:val="left"/>
      <w:pPr>
        <w:tabs>
          <w:tab w:val="num" w:pos="4968"/>
        </w:tabs>
        <w:ind w:left="4968" w:hanging="360"/>
      </w:pPr>
      <w:rPr>
        <w:rFonts w:ascii="Courier New" w:hAnsi="Courier New" w:cs="Courier New" w:hint="default"/>
      </w:rPr>
    </w:lvl>
    <w:lvl w:ilvl="5" w:tplc="04090005" w:tentative="1">
      <w:start w:val="1"/>
      <w:numFmt w:val="bullet"/>
      <w:lvlText w:val=""/>
      <w:lvlJc w:val="left"/>
      <w:pPr>
        <w:tabs>
          <w:tab w:val="num" w:pos="5688"/>
        </w:tabs>
        <w:ind w:left="5688" w:hanging="360"/>
      </w:pPr>
      <w:rPr>
        <w:rFonts w:ascii="Wingdings" w:hAnsi="Wingdings" w:hint="default"/>
      </w:rPr>
    </w:lvl>
    <w:lvl w:ilvl="6" w:tplc="04090001" w:tentative="1">
      <w:start w:val="1"/>
      <w:numFmt w:val="bullet"/>
      <w:lvlText w:val=""/>
      <w:lvlJc w:val="left"/>
      <w:pPr>
        <w:tabs>
          <w:tab w:val="num" w:pos="6408"/>
        </w:tabs>
        <w:ind w:left="6408" w:hanging="360"/>
      </w:pPr>
      <w:rPr>
        <w:rFonts w:ascii="Symbol" w:hAnsi="Symbol" w:hint="default"/>
      </w:rPr>
    </w:lvl>
    <w:lvl w:ilvl="7" w:tplc="04090003" w:tentative="1">
      <w:start w:val="1"/>
      <w:numFmt w:val="bullet"/>
      <w:lvlText w:val="o"/>
      <w:lvlJc w:val="left"/>
      <w:pPr>
        <w:tabs>
          <w:tab w:val="num" w:pos="7128"/>
        </w:tabs>
        <w:ind w:left="7128" w:hanging="360"/>
      </w:pPr>
      <w:rPr>
        <w:rFonts w:ascii="Courier New" w:hAnsi="Courier New" w:cs="Courier New" w:hint="default"/>
      </w:rPr>
    </w:lvl>
    <w:lvl w:ilvl="8" w:tplc="04090005" w:tentative="1">
      <w:start w:val="1"/>
      <w:numFmt w:val="bullet"/>
      <w:lvlText w:val=""/>
      <w:lvlJc w:val="left"/>
      <w:pPr>
        <w:tabs>
          <w:tab w:val="num" w:pos="7848"/>
        </w:tabs>
        <w:ind w:left="7848" w:hanging="360"/>
      </w:pPr>
      <w:rPr>
        <w:rFonts w:ascii="Wingdings" w:hAnsi="Wingdings" w:hint="default"/>
      </w:rPr>
    </w:lvl>
  </w:abstractNum>
  <w:abstractNum w:abstractNumId="15">
    <w:nsid w:val="508C4AD4"/>
    <w:multiLevelType w:val="hybridMultilevel"/>
    <w:tmpl w:val="C03C5DB0"/>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6">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895988"/>
    <w:multiLevelType w:val="hybridMultilevel"/>
    <w:tmpl w:val="1ADE38D2"/>
    <w:lvl w:ilvl="0" w:tplc="88DCF4C6">
      <w:start w:val="1"/>
      <w:numFmt w:val="decimal"/>
      <w:lvlText w:val="%1. "/>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8">
    <w:nsid w:val="6CF25B59"/>
    <w:multiLevelType w:val="hybridMultilevel"/>
    <w:tmpl w:val="D22ED6BA"/>
    <w:lvl w:ilvl="0" w:tplc="48206310">
      <w:start w:val="1"/>
      <w:numFmt w:val="lowerLetter"/>
      <w:lvlText w:val="%1."/>
      <w:lvlJc w:val="left"/>
      <w:pPr>
        <w:tabs>
          <w:tab w:val="num" w:pos="1512"/>
        </w:tabs>
        <w:ind w:left="1512" w:hanging="360"/>
      </w:pPr>
      <w:rPr>
        <w:rFonts w:hint="default"/>
      </w:rPr>
    </w:lvl>
    <w:lvl w:ilvl="1" w:tplc="04090019">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9">
    <w:nsid w:val="6EE51E6C"/>
    <w:multiLevelType w:val="hybridMultilevel"/>
    <w:tmpl w:val="D22ED6BA"/>
    <w:lvl w:ilvl="0" w:tplc="48206310">
      <w:start w:val="1"/>
      <w:numFmt w:val="lowerLetter"/>
      <w:lvlText w:val="%1."/>
      <w:lvlJc w:val="left"/>
      <w:pPr>
        <w:tabs>
          <w:tab w:val="num" w:pos="1512"/>
        </w:tabs>
        <w:ind w:left="1512" w:hanging="360"/>
      </w:pPr>
      <w:rPr>
        <w:rFonts w:hint="default"/>
      </w:rPr>
    </w:lvl>
    <w:lvl w:ilvl="1" w:tplc="04090019">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0">
    <w:nsid w:val="6EF801AF"/>
    <w:multiLevelType w:val="hybridMultilevel"/>
    <w:tmpl w:val="8C6697B4"/>
    <w:lvl w:ilvl="0" w:tplc="A8E87890">
      <w:start w:val="1"/>
      <w:numFmt w:val="bullet"/>
      <w:lvlText w:val=""/>
      <w:lvlJc w:val="left"/>
      <w:pPr>
        <w:tabs>
          <w:tab w:val="num" w:pos="648"/>
        </w:tabs>
        <w:ind w:left="648" w:hanging="360"/>
      </w:pPr>
      <w:rPr>
        <w:rFonts w:ascii="Symbol" w:hAnsi="Symbol" w:hint="default"/>
      </w:rPr>
    </w:lvl>
    <w:lvl w:ilvl="1" w:tplc="8B90824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1">
    <w:nsid w:val="72F62931"/>
    <w:multiLevelType w:val="hybridMultilevel"/>
    <w:tmpl w:val="FD50AEA4"/>
    <w:lvl w:ilvl="0" w:tplc="88DCF4C6">
      <w:start w:val="1"/>
      <w:numFmt w:val="decimal"/>
      <w:lvlText w:val="%1. "/>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3B7752D"/>
    <w:multiLevelType w:val="hybridMultilevel"/>
    <w:tmpl w:val="2BC475B4"/>
    <w:lvl w:ilvl="0" w:tplc="017C31E0">
      <w:start w:val="1"/>
      <w:numFmt w:val="upperLetter"/>
      <w:lvlText w:val="%1."/>
      <w:lvlJc w:val="left"/>
      <w:pPr>
        <w:tabs>
          <w:tab w:val="num" w:pos="648"/>
        </w:tabs>
        <w:ind w:left="64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CF0DA2"/>
    <w:multiLevelType w:val="hybridMultilevel"/>
    <w:tmpl w:val="3858D044"/>
    <w:lvl w:ilvl="0" w:tplc="3356F53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20"/>
  </w:num>
  <w:num w:numId="3">
    <w:abstractNumId w:val="18"/>
  </w:num>
  <w:num w:numId="4">
    <w:abstractNumId w:val="23"/>
  </w:num>
  <w:num w:numId="5">
    <w:abstractNumId w:val="8"/>
  </w:num>
  <w:num w:numId="6">
    <w:abstractNumId w:val="5"/>
  </w:num>
  <w:num w:numId="7">
    <w:abstractNumId w:val="6"/>
  </w:num>
  <w:num w:numId="8">
    <w:abstractNumId w:val="10"/>
  </w:num>
  <w:num w:numId="9">
    <w:abstractNumId w:val="21"/>
  </w:num>
  <w:num w:numId="10">
    <w:abstractNumId w:val="15"/>
  </w:num>
  <w:num w:numId="11">
    <w:abstractNumId w:val="0"/>
  </w:num>
  <w:num w:numId="12">
    <w:abstractNumId w:val="22"/>
  </w:num>
  <w:num w:numId="13">
    <w:abstractNumId w:val="2"/>
  </w:num>
  <w:num w:numId="14">
    <w:abstractNumId w:val="7"/>
  </w:num>
  <w:num w:numId="15">
    <w:abstractNumId w:val="4"/>
  </w:num>
  <w:num w:numId="16">
    <w:abstractNumId w:val="17"/>
  </w:num>
  <w:num w:numId="17">
    <w:abstractNumId w:val="1"/>
  </w:num>
  <w:num w:numId="18">
    <w:abstractNumId w:val="16"/>
  </w:num>
  <w:num w:numId="19">
    <w:abstractNumId w:val="13"/>
  </w:num>
  <w:num w:numId="20">
    <w:abstractNumId w:val="3"/>
  </w:num>
  <w:num w:numId="21">
    <w:abstractNumId w:val="12"/>
  </w:num>
  <w:num w:numId="22">
    <w:abstractNumId w:val="9"/>
  </w:num>
  <w:num w:numId="23">
    <w:abstractNumId w:val="19"/>
  </w:num>
  <w:num w:numId="2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1282E"/>
    <w:rsid w:val="00031BE5"/>
    <w:rsid w:val="00034904"/>
    <w:rsid w:val="00035FD6"/>
    <w:rsid w:val="00051189"/>
    <w:rsid w:val="00051DB9"/>
    <w:rsid w:val="00053381"/>
    <w:rsid w:val="00056FD4"/>
    <w:rsid w:val="0006038F"/>
    <w:rsid w:val="00061933"/>
    <w:rsid w:val="00062A1E"/>
    <w:rsid w:val="000707F3"/>
    <w:rsid w:val="0007201C"/>
    <w:rsid w:val="00086067"/>
    <w:rsid w:val="00090F4B"/>
    <w:rsid w:val="000A0187"/>
    <w:rsid w:val="000A3A85"/>
    <w:rsid w:val="000A468B"/>
    <w:rsid w:val="000C4AAD"/>
    <w:rsid w:val="000E06BE"/>
    <w:rsid w:val="000F10BD"/>
    <w:rsid w:val="000F2143"/>
    <w:rsid w:val="000F2B11"/>
    <w:rsid w:val="00101039"/>
    <w:rsid w:val="001039A8"/>
    <w:rsid w:val="0010529C"/>
    <w:rsid w:val="001078A7"/>
    <w:rsid w:val="001212FA"/>
    <w:rsid w:val="00133398"/>
    <w:rsid w:val="00142B0F"/>
    <w:rsid w:val="00144E6F"/>
    <w:rsid w:val="00150621"/>
    <w:rsid w:val="00150AB9"/>
    <w:rsid w:val="0016307B"/>
    <w:rsid w:val="00163646"/>
    <w:rsid w:val="00173A7F"/>
    <w:rsid w:val="001838A3"/>
    <w:rsid w:val="00185634"/>
    <w:rsid w:val="0018658E"/>
    <w:rsid w:val="001A4374"/>
    <w:rsid w:val="001A5B81"/>
    <w:rsid w:val="001C1E64"/>
    <w:rsid w:val="001D129F"/>
    <w:rsid w:val="001D2A98"/>
    <w:rsid w:val="001F2D16"/>
    <w:rsid w:val="001F2D21"/>
    <w:rsid w:val="001F3F25"/>
    <w:rsid w:val="001F4E0F"/>
    <w:rsid w:val="001F5F87"/>
    <w:rsid w:val="002329AC"/>
    <w:rsid w:val="00241083"/>
    <w:rsid w:val="00242FCA"/>
    <w:rsid w:val="002564EF"/>
    <w:rsid w:val="0026211F"/>
    <w:rsid w:val="00265392"/>
    <w:rsid w:val="00285AB9"/>
    <w:rsid w:val="00286FF9"/>
    <w:rsid w:val="002950FD"/>
    <w:rsid w:val="0029661D"/>
    <w:rsid w:val="00296986"/>
    <w:rsid w:val="00297434"/>
    <w:rsid w:val="002B5285"/>
    <w:rsid w:val="002B6D54"/>
    <w:rsid w:val="002C23B2"/>
    <w:rsid w:val="002C6F11"/>
    <w:rsid w:val="002E0F4C"/>
    <w:rsid w:val="002F07A6"/>
    <w:rsid w:val="00300851"/>
    <w:rsid w:val="003116DB"/>
    <w:rsid w:val="003168B2"/>
    <w:rsid w:val="00316E29"/>
    <w:rsid w:val="00320206"/>
    <w:rsid w:val="0032581D"/>
    <w:rsid w:val="003441E8"/>
    <w:rsid w:val="003445DC"/>
    <w:rsid w:val="00344846"/>
    <w:rsid w:val="00347C9D"/>
    <w:rsid w:val="00353C6B"/>
    <w:rsid w:val="00366981"/>
    <w:rsid w:val="0037106D"/>
    <w:rsid w:val="00374D17"/>
    <w:rsid w:val="003807E7"/>
    <w:rsid w:val="00384F21"/>
    <w:rsid w:val="00387F52"/>
    <w:rsid w:val="003949D0"/>
    <w:rsid w:val="00396826"/>
    <w:rsid w:val="00397729"/>
    <w:rsid w:val="003A19E3"/>
    <w:rsid w:val="003A7B3D"/>
    <w:rsid w:val="003B1CBD"/>
    <w:rsid w:val="003C1269"/>
    <w:rsid w:val="003C5492"/>
    <w:rsid w:val="003D68F2"/>
    <w:rsid w:val="0041057B"/>
    <w:rsid w:val="00414427"/>
    <w:rsid w:val="0043101B"/>
    <w:rsid w:val="00441A1A"/>
    <w:rsid w:val="00443FC0"/>
    <w:rsid w:val="00451033"/>
    <w:rsid w:val="00456E30"/>
    <w:rsid w:val="00471B8A"/>
    <w:rsid w:val="004729B2"/>
    <w:rsid w:val="00474288"/>
    <w:rsid w:val="00476423"/>
    <w:rsid w:val="00493A12"/>
    <w:rsid w:val="00497884"/>
    <w:rsid w:val="004B07B0"/>
    <w:rsid w:val="004B4FD1"/>
    <w:rsid w:val="004C3465"/>
    <w:rsid w:val="004D459F"/>
    <w:rsid w:val="004E38BB"/>
    <w:rsid w:val="004F07E1"/>
    <w:rsid w:val="0050052B"/>
    <w:rsid w:val="0050083C"/>
    <w:rsid w:val="00504E9B"/>
    <w:rsid w:val="00506BDE"/>
    <w:rsid w:val="00506D4F"/>
    <w:rsid w:val="00507ED2"/>
    <w:rsid w:val="00513000"/>
    <w:rsid w:val="00517EB7"/>
    <w:rsid w:val="00530CF7"/>
    <w:rsid w:val="005328D9"/>
    <w:rsid w:val="00532B8D"/>
    <w:rsid w:val="0053653A"/>
    <w:rsid w:val="00552686"/>
    <w:rsid w:val="005739DE"/>
    <w:rsid w:val="005742DA"/>
    <w:rsid w:val="005777FB"/>
    <w:rsid w:val="00582DEE"/>
    <w:rsid w:val="00593BC1"/>
    <w:rsid w:val="005A29AB"/>
    <w:rsid w:val="005B7AFA"/>
    <w:rsid w:val="005C0941"/>
    <w:rsid w:val="005E3E12"/>
    <w:rsid w:val="005F058F"/>
    <w:rsid w:val="005F3814"/>
    <w:rsid w:val="005F5217"/>
    <w:rsid w:val="00604194"/>
    <w:rsid w:val="0061767B"/>
    <w:rsid w:val="00625295"/>
    <w:rsid w:val="006275E8"/>
    <w:rsid w:val="00640C37"/>
    <w:rsid w:val="006426B4"/>
    <w:rsid w:val="00660979"/>
    <w:rsid w:val="00662B55"/>
    <w:rsid w:val="00672338"/>
    <w:rsid w:val="00681F75"/>
    <w:rsid w:val="006918C9"/>
    <w:rsid w:val="006B3233"/>
    <w:rsid w:val="006D6A20"/>
    <w:rsid w:val="006F249E"/>
    <w:rsid w:val="00702FF2"/>
    <w:rsid w:val="007044AC"/>
    <w:rsid w:val="0071193D"/>
    <w:rsid w:val="00727D7B"/>
    <w:rsid w:val="00737E4B"/>
    <w:rsid w:val="00742C4B"/>
    <w:rsid w:val="0076560E"/>
    <w:rsid w:val="00767D0A"/>
    <w:rsid w:val="00786427"/>
    <w:rsid w:val="007939AD"/>
    <w:rsid w:val="00793D25"/>
    <w:rsid w:val="007979C0"/>
    <w:rsid w:val="007A63F2"/>
    <w:rsid w:val="007B528A"/>
    <w:rsid w:val="007B5A05"/>
    <w:rsid w:val="007B7F6F"/>
    <w:rsid w:val="007D690C"/>
    <w:rsid w:val="007E3B3F"/>
    <w:rsid w:val="00801E7A"/>
    <w:rsid w:val="008123FC"/>
    <w:rsid w:val="00816C00"/>
    <w:rsid w:val="00844D11"/>
    <w:rsid w:val="00845EE5"/>
    <w:rsid w:val="0085275A"/>
    <w:rsid w:val="00862E9F"/>
    <w:rsid w:val="00866A9B"/>
    <w:rsid w:val="00890126"/>
    <w:rsid w:val="008B3E32"/>
    <w:rsid w:val="008B7706"/>
    <w:rsid w:val="008C452F"/>
    <w:rsid w:val="008C4D72"/>
    <w:rsid w:val="008E7556"/>
    <w:rsid w:val="008E7ABE"/>
    <w:rsid w:val="008F7348"/>
    <w:rsid w:val="008F7F49"/>
    <w:rsid w:val="009054DD"/>
    <w:rsid w:val="00905C96"/>
    <w:rsid w:val="00907917"/>
    <w:rsid w:val="009238C8"/>
    <w:rsid w:val="0093003C"/>
    <w:rsid w:val="00932DE3"/>
    <w:rsid w:val="00946E69"/>
    <w:rsid w:val="00953916"/>
    <w:rsid w:val="00961842"/>
    <w:rsid w:val="009630AB"/>
    <w:rsid w:val="00970351"/>
    <w:rsid w:val="0097500E"/>
    <w:rsid w:val="0098274B"/>
    <w:rsid w:val="00993956"/>
    <w:rsid w:val="009944A8"/>
    <w:rsid w:val="009A0C3A"/>
    <w:rsid w:val="009A53F6"/>
    <w:rsid w:val="009B0EA6"/>
    <w:rsid w:val="009B3A7F"/>
    <w:rsid w:val="009D5DA1"/>
    <w:rsid w:val="009E0CA3"/>
    <w:rsid w:val="009E4D26"/>
    <w:rsid w:val="009F240B"/>
    <w:rsid w:val="00A00BCC"/>
    <w:rsid w:val="00A010DB"/>
    <w:rsid w:val="00A07558"/>
    <w:rsid w:val="00A1233F"/>
    <w:rsid w:val="00A3104F"/>
    <w:rsid w:val="00A565B3"/>
    <w:rsid w:val="00A70481"/>
    <w:rsid w:val="00A74679"/>
    <w:rsid w:val="00A807DF"/>
    <w:rsid w:val="00A844A6"/>
    <w:rsid w:val="00AB00C1"/>
    <w:rsid w:val="00AB67B7"/>
    <w:rsid w:val="00B05F98"/>
    <w:rsid w:val="00B17A5B"/>
    <w:rsid w:val="00B278BA"/>
    <w:rsid w:val="00B43DAE"/>
    <w:rsid w:val="00B65B7A"/>
    <w:rsid w:val="00B80335"/>
    <w:rsid w:val="00B81153"/>
    <w:rsid w:val="00B81763"/>
    <w:rsid w:val="00B81F46"/>
    <w:rsid w:val="00B84365"/>
    <w:rsid w:val="00B95C07"/>
    <w:rsid w:val="00B979B1"/>
    <w:rsid w:val="00BA2418"/>
    <w:rsid w:val="00BB116E"/>
    <w:rsid w:val="00BB42C2"/>
    <w:rsid w:val="00BC044B"/>
    <w:rsid w:val="00BC16A0"/>
    <w:rsid w:val="00BC1960"/>
    <w:rsid w:val="00BC3DEF"/>
    <w:rsid w:val="00BF633A"/>
    <w:rsid w:val="00BF6CC9"/>
    <w:rsid w:val="00C04A0B"/>
    <w:rsid w:val="00C264B8"/>
    <w:rsid w:val="00C47851"/>
    <w:rsid w:val="00C50DF8"/>
    <w:rsid w:val="00C552A7"/>
    <w:rsid w:val="00C55467"/>
    <w:rsid w:val="00C63D6A"/>
    <w:rsid w:val="00C70478"/>
    <w:rsid w:val="00C74CB3"/>
    <w:rsid w:val="00C97B91"/>
    <w:rsid w:val="00CA3DFE"/>
    <w:rsid w:val="00CA7007"/>
    <w:rsid w:val="00CB2246"/>
    <w:rsid w:val="00CC4633"/>
    <w:rsid w:val="00CC7C1C"/>
    <w:rsid w:val="00CD0775"/>
    <w:rsid w:val="00CD480D"/>
    <w:rsid w:val="00CF1938"/>
    <w:rsid w:val="00CF3934"/>
    <w:rsid w:val="00D01114"/>
    <w:rsid w:val="00D16797"/>
    <w:rsid w:val="00D16D5A"/>
    <w:rsid w:val="00D25360"/>
    <w:rsid w:val="00D25933"/>
    <w:rsid w:val="00D432B2"/>
    <w:rsid w:val="00D539EB"/>
    <w:rsid w:val="00D53C32"/>
    <w:rsid w:val="00D64AB8"/>
    <w:rsid w:val="00D66B52"/>
    <w:rsid w:val="00D77A32"/>
    <w:rsid w:val="00D82A7E"/>
    <w:rsid w:val="00D84086"/>
    <w:rsid w:val="00D867A2"/>
    <w:rsid w:val="00D86ED9"/>
    <w:rsid w:val="00D91098"/>
    <w:rsid w:val="00D94747"/>
    <w:rsid w:val="00DA206F"/>
    <w:rsid w:val="00DA4C36"/>
    <w:rsid w:val="00DA63FF"/>
    <w:rsid w:val="00DB7BE1"/>
    <w:rsid w:val="00DC04CC"/>
    <w:rsid w:val="00DC12BE"/>
    <w:rsid w:val="00DC40DE"/>
    <w:rsid w:val="00DC593E"/>
    <w:rsid w:val="00DD4FA4"/>
    <w:rsid w:val="00DD59D5"/>
    <w:rsid w:val="00DD612D"/>
    <w:rsid w:val="00DE6AC4"/>
    <w:rsid w:val="00DF3CE3"/>
    <w:rsid w:val="00E02929"/>
    <w:rsid w:val="00E05725"/>
    <w:rsid w:val="00E220B1"/>
    <w:rsid w:val="00E32366"/>
    <w:rsid w:val="00E4171E"/>
    <w:rsid w:val="00E46807"/>
    <w:rsid w:val="00E5196C"/>
    <w:rsid w:val="00E52FF5"/>
    <w:rsid w:val="00E61C8F"/>
    <w:rsid w:val="00E758D5"/>
    <w:rsid w:val="00E75B30"/>
    <w:rsid w:val="00E810D5"/>
    <w:rsid w:val="00E909E3"/>
    <w:rsid w:val="00E9106B"/>
    <w:rsid w:val="00E91FE1"/>
    <w:rsid w:val="00EC2E37"/>
    <w:rsid w:val="00EE6F06"/>
    <w:rsid w:val="00EF639E"/>
    <w:rsid w:val="00EF6B2B"/>
    <w:rsid w:val="00F034F3"/>
    <w:rsid w:val="00F21CC7"/>
    <w:rsid w:val="00F239C1"/>
    <w:rsid w:val="00F26D74"/>
    <w:rsid w:val="00F326FB"/>
    <w:rsid w:val="00F34C21"/>
    <w:rsid w:val="00F379CC"/>
    <w:rsid w:val="00F520C3"/>
    <w:rsid w:val="00F733C0"/>
    <w:rsid w:val="00F957AF"/>
    <w:rsid w:val="00FA2E13"/>
    <w:rsid w:val="00FA3BF9"/>
    <w:rsid w:val="00FA4DCF"/>
    <w:rsid w:val="00FA5DEC"/>
    <w:rsid w:val="00FC124C"/>
    <w:rsid w:val="00FC226B"/>
    <w:rsid w:val="00FD1105"/>
    <w:rsid w:val="00FD5B02"/>
    <w:rsid w:val="00FF0738"/>
    <w:rsid w:val="00FF71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949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37106D"/>
    <w:rPr>
      <w:rFonts w:ascii="Arial" w:hAnsi="Arial"/>
      <w:b/>
      <w:kern w:val="28"/>
      <w:sz w:val="24"/>
      <w:u w:val="single"/>
      <w:lang w:val="en-US" w:eastAsia="en-US" w:bidi="ar-SA"/>
    </w:rPr>
  </w:style>
  <w:style w:type="character" w:customStyle="1" w:styleId="BodyTextChar">
    <w:name w:val="Body Text Char"/>
    <w:link w:val="BodyText"/>
    <w:rsid w:val="00CA7007"/>
    <w:rPr>
      <w:sz w:val="22"/>
      <w:lang w:val="en-US" w:eastAsia="en-US" w:bidi="ar-SA"/>
    </w:rPr>
  </w:style>
  <w:style w:type="paragraph" w:styleId="ListParagraph">
    <w:name w:val="List Paragraph"/>
    <w:basedOn w:val="Normal"/>
    <w:uiPriority w:val="34"/>
    <w:qFormat/>
    <w:rsid w:val="004F07E1"/>
    <w:pPr>
      <w:ind w:left="720" w:hanging="576"/>
      <w:contextualSpacing/>
      <w:jc w:val="both"/>
    </w:pPr>
    <w:rPr>
      <w:rFonts w:eastAsia="Calibri"/>
      <w:bCs/>
      <w:sz w:val="24"/>
      <w:szCs w:val="24"/>
    </w:rPr>
  </w:style>
  <w:style w:type="character" w:styleId="Hyperlink">
    <w:name w:val="Hyperlink"/>
    <w:basedOn w:val="DefaultParagraphFont"/>
    <w:uiPriority w:val="99"/>
    <w:unhideWhenUsed/>
    <w:rsid w:val="00051189"/>
    <w:rPr>
      <w:color w:val="0000FF" w:themeColor="hyperlink"/>
      <w:u w:val="single"/>
    </w:rPr>
  </w:style>
  <w:style w:type="paragraph" w:styleId="DocumentMap">
    <w:name w:val="Document Map"/>
    <w:basedOn w:val="Normal"/>
    <w:link w:val="DocumentMapChar"/>
    <w:uiPriority w:val="99"/>
    <w:semiHidden/>
    <w:unhideWhenUsed/>
    <w:rsid w:val="00051189"/>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51189"/>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37106D"/>
    <w:rPr>
      <w:rFonts w:ascii="Arial" w:hAnsi="Arial"/>
      <w:b/>
      <w:kern w:val="28"/>
      <w:sz w:val="24"/>
      <w:u w:val="single"/>
      <w:lang w:val="en-US" w:eastAsia="en-US" w:bidi="ar-SA"/>
    </w:rPr>
  </w:style>
  <w:style w:type="character" w:customStyle="1" w:styleId="BodyTextChar">
    <w:name w:val="Body Text Char"/>
    <w:link w:val="BodyText"/>
    <w:rsid w:val="00CA7007"/>
    <w:rPr>
      <w:sz w:val="22"/>
      <w:lang w:val="en-US" w:eastAsia="en-US" w:bidi="ar-SA"/>
    </w:rPr>
  </w:style>
  <w:style w:type="paragraph" w:styleId="ListParagraph">
    <w:name w:val="List Paragraph"/>
    <w:basedOn w:val="Normal"/>
    <w:uiPriority w:val="34"/>
    <w:qFormat/>
    <w:rsid w:val="004F07E1"/>
    <w:pPr>
      <w:ind w:left="720" w:hanging="576"/>
      <w:contextualSpacing/>
      <w:jc w:val="both"/>
    </w:pPr>
    <w:rPr>
      <w:rFonts w:eastAsia="Calibri"/>
      <w:bCs/>
      <w:sz w:val="24"/>
      <w:szCs w:val="24"/>
    </w:rPr>
  </w:style>
  <w:style w:type="character" w:styleId="Hyperlink">
    <w:name w:val="Hyperlink"/>
    <w:basedOn w:val="DefaultParagraphFont"/>
    <w:uiPriority w:val="99"/>
    <w:unhideWhenUsed/>
    <w:rsid w:val="00051189"/>
    <w:rPr>
      <w:color w:val="0000FF" w:themeColor="hyperlink"/>
      <w:u w:val="single"/>
    </w:rPr>
  </w:style>
  <w:style w:type="paragraph" w:styleId="DocumentMap">
    <w:name w:val="Document Map"/>
    <w:basedOn w:val="Normal"/>
    <w:link w:val="DocumentMapChar"/>
    <w:uiPriority w:val="99"/>
    <w:semiHidden/>
    <w:unhideWhenUsed/>
    <w:rsid w:val="00051189"/>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051189"/>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4088">
      <w:bodyDiv w:val="1"/>
      <w:marLeft w:val="0"/>
      <w:marRight w:val="0"/>
      <w:marTop w:val="0"/>
      <w:marBottom w:val="0"/>
      <w:divBdr>
        <w:top w:val="none" w:sz="0" w:space="0" w:color="auto"/>
        <w:left w:val="none" w:sz="0" w:space="0" w:color="auto"/>
        <w:bottom w:val="none" w:sz="0" w:space="0" w:color="auto"/>
        <w:right w:val="none" w:sz="0" w:space="0" w:color="auto"/>
      </w:divBdr>
    </w:div>
    <w:div w:id="1032612258">
      <w:bodyDiv w:val="1"/>
      <w:marLeft w:val="0"/>
      <w:marRight w:val="0"/>
      <w:marTop w:val="0"/>
      <w:marBottom w:val="0"/>
      <w:divBdr>
        <w:top w:val="none" w:sz="0" w:space="0" w:color="auto"/>
        <w:left w:val="none" w:sz="0" w:space="0" w:color="auto"/>
        <w:bottom w:val="none" w:sz="0" w:space="0" w:color="auto"/>
        <w:right w:val="none" w:sz="0" w:space="0" w:color="auto"/>
      </w:divBdr>
    </w:div>
    <w:div w:id="1344478750">
      <w:bodyDiv w:val="1"/>
      <w:marLeft w:val="0"/>
      <w:marRight w:val="0"/>
      <w:marTop w:val="0"/>
      <w:marBottom w:val="0"/>
      <w:divBdr>
        <w:top w:val="none" w:sz="0" w:space="0" w:color="auto"/>
        <w:left w:val="none" w:sz="0" w:space="0" w:color="auto"/>
        <w:bottom w:val="none" w:sz="0" w:space="0" w:color="auto"/>
        <w:right w:val="none" w:sz="0" w:space="0" w:color="auto"/>
      </w:divBdr>
    </w:div>
    <w:div w:id="163324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statementstudies.org" TargetMode="External"/><Relationship Id="rId10" Type="http://schemas.openxmlformats.org/officeDocument/2006/relationships/hyperlink" Target="http://www.cfene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249A1-16BA-7046-B9C4-3BC62AE9E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0</TotalTime>
  <Pages>15</Pages>
  <Words>3799</Words>
  <Characters>21659</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25408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3</cp:revision>
  <cp:lastPrinted>2014-06-04T18:14:00Z</cp:lastPrinted>
  <dcterms:created xsi:type="dcterms:W3CDTF">2014-11-14T22:09:00Z</dcterms:created>
  <dcterms:modified xsi:type="dcterms:W3CDTF">2014-11-14T22:09:00Z</dcterms:modified>
</cp:coreProperties>
</file>