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C0F32F" w14:textId="7EBDFFF7" w:rsidR="00A2134D" w:rsidRPr="00E73D2F" w:rsidRDefault="00A2134D" w:rsidP="00A2134D">
      <w:pPr>
        <w:pStyle w:val="Title"/>
        <w:pBdr>
          <w:bottom w:val="none" w:sz="0" w:space="0" w:color="auto"/>
        </w:pBdr>
        <w:spacing w:before="1200" w:after="240"/>
        <w:ind w:left="720"/>
        <w:contextualSpacing w:val="0"/>
        <w:rPr>
          <w:rFonts w:ascii="Times New Roman" w:hAnsi="Times New Roman" w:cs="Times New Roman"/>
          <w:color w:val="auto"/>
        </w:rPr>
      </w:pPr>
      <w:r w:rsidRPr="00E73D2F">
        <w:rPr>
          <w:rFonts w:ascii="Times New Roman" w:hAnsi="Times New Roman" w:cs="Times New Roman"/>
          <w:color w:val="7F7F7F" w:themeColor="text1" w:themeTint="80"/>
          <w:position w:val="-8"/>
        </w:rPr>
        <w:t>——</w:t>
      </w:r>
      <w:r>
        <w:rPr>
          <w:rFonts w:ascii="Arial Black" w:hAnsi="Arial Black" w:cs="Times New Roman"/>
          <w:color w:val="auto"/>
        </w:rPr>
        <w:t>1</w:t>
      </w:r>
      <w:r w:rsidRPr="00E73D2F">
        <w:rPr>
          <w:rFonts w:ascii="Times New Roman" w:hAnsi="Times New Roman" w:cs="Times New Roman"/>
          <w:color w:val="7F7F7F" w:themeColor="text1" w:themeTint="80"/>
          <w:position w:val="-8"/>
        </w:rPr>
        <w:t>———</w:t>
      </w:r>
    </w:p>
    <w:p w14:paraId="07D8985C" w14:textId="6EA20917" w:rsidR="00E40280" w:rsidRPr="00AD2577" w:rsidRDefault="00E40280" w:rsidP="00E40280">
      <w:pPr>
        <w:pStyle w:val="CT"/>
      </w:pPr>
      <w:r w:rsidRPr="00AD2577">
        <w:t>The Financial Reporting Environme</w:t>
      </w:r>
      <w:bookmarkStart w:id="0" w:name="_GoBack"/>
      <w:bookmarkEnd w:id="0"/>
      <w:r w:rsidRPr="00AD2577">
        <w:t>nt</w:t>
      </w:r>
    </w:p>
    <w:p w14:paraId="794E4624" w14:textId="77777777" w:rsidR="00B411FF" w:rsidRPr="00AD2577" w:rsidRDefault="00B411FF" w:rsidP="00022B14">
      <w:pPr>
        <w:pStyle w:val="1head"/>
      </w:pPr>
      <w:r w:rsidRPr="00AD2577">
        <w:t>Overview</w:t>
      </w:r>
    </w:p>
    <w:p w14:paraId="69C62B19" w14:textId="079793F1" w:rsidR="00DB1F57" w:rsidRPr="00AD2577" w:rsidRDefault="00B50342" w:rsidP="0097463B">
      <w:pPr>
        <w:pStyle w:val="Text"/>
      </w:pPr>
      <w:r w:rsidRPr="00AD2577">
        <w:t>Chapter 1 presents an overview of the fi</w:t>
      </w:r>
      <w:r w:rsidR="0097463B" w:rsidRPr="00AD2577">
        <w:t xml:space="preserve">nancial reporting environment to explain how capital markets rely on the credibility of </w:t>
      </w:r>
      <w:r w:rsidR="00BB3D6C" w:rsidRPr="00AD2577">
        <w:t xml:space="preserve">published financial statements. </w:t>
      </w:r>
      <w:r w:rsidR="00EF4277" w:rsidRPr="00AD2577">
        <w:t>M</w:t>
      </w:r>
      <w:r w:rsidR="00BB3D6C" w:rsidRPr="00AD2577">
        <w:t xml:space="preserve">any factors impact decisions made by firms and, thus, the financial reporting process extends far beyond the financial statements. This chapter </w:t>
      </w:r>
      <w:r w:rsidR="003869BF" w:rsidRPr="00AD2577">
        <w:t>provides</w:t>
      </w:r>
      <w:r w:rsidR="00BB3D6C" w:rsidRPr="00AD2577">
        <w:t xml:space="preserve"> a definition of financial accounting and the supply and demand of accounting information, </w:t>
      </w:r>
      <w:r w:rsidR="003869BF" w:rsidRPr="00AD2577">
        <w:t>discusses</w:t>
      </w:r>
      <w:r w:rsidR="00BB3D6C" w:rsidRPr="00AD2577">
        <w:t xml:space="preserve"> economic entities that prepare financial information and the users of such information, and </w:t>
      </w:r>
      <w:r w:rsidR="003869BF" w:rsidRPr="00AD2577">
        <w:t>explains</w:t>
      </w:r>
      <w:r w:rsidR="00BB3D6C" w:rsidRPr="00AD2577">
        <w:t xml:space="preserve"> the factors that shape financial information.</w:t>
      </w:r>
    </w:p>
    <w:p w14:paraId="56FE6051" w14:textId="5D133BFF" w:rsidR="00DB1F57" w:rsidRPr="00AD2577" w:rsidRDefault="00DB1F57" w:rsidP="007A03CA">
      <w:pPr>
        <w:pStyle w:val="1head"/>
      </w:pPr>
      <w:r w:rsidRPr="00AD2577">
        <w:t xml:space="preserve">Learning </w:t>
      </w:r>
      <w:r w:rsidR="00300483" w:rsidRPr="00AD2577">
        <w:t>Objectives</w:t>
      </w:r>
    </w:p>
    <w:p w14:paraId="1D828D7F" w14:textId="77777777" w:rsidR="00002715" w:rsidRPr="00AD2577" w:rsidRDefault="000B2E2D" w:rsidP="007A03CA">
      <w:pPr>
        <w:pStyle w:val="NumberedList"/>
      </w:pPr>
      <w:r w:rsidRPr="00AD2577">
        <w:t xml:space="preserve">Define financial accounting and describe the demand for financial </w:t>
      </w:r>
      <w:r w:rsidR="00597512" w:rsidRPr="00AD2577">
        <w:t>information, including the role</w:t>
      </w:r>
      <w:r w:rsidRPr="00AD2577">
        <w:t xml:space="preserve"> of general-purpose financial statements, the information needs of financial statement users and other parties, and the factors that influence financial reporting.</w:t>
      </w:r>
    </w:p>
    <w:p w14:paraId="4CF3894D" w14:textId="7E299D40" w:rsidR="000B2E2D" w:rsidRPr="00AD2577" w:rsidRDefault="000B2E2D" w:rsidP="007A03CA">
      <w:pPr>
        <w:pStyle w:val="NumberedList"/>
      </w:pPr>
      <w:r w:rsidRPr="00AD2577">
        <w:t>Discuss the role o</w:t>
      </w:r>
      <w:r w:rsidR="00EB245A" w:rsidRPr="00AD2577">
        <w:t xml:space="preserve">f financial accounting </w:t>
      </w:r>
      <w:r w:rsidR="00A473DC" w:rsidRPr="00AD2577">
        <w:t xml:space="preserve">standard </w:t>
      </w:r>
      <w:r w:rsidRPr="00AD2577">
        <w:t>setters in the United States and internationally.</w:t>
      </w:r>
    </w:p>
    <w:p w14:paraId="35E72CEF" w14:textId="116836DB" w:rsidR="000B2E2D" w:rsidRPr="00AD2577" w:rsidRDefault="00EB245A" w:rsidP="007A03CA">
      <w:pPr>
        <w:pStyle w:val="NumberedList"/>
      </w:pPr>
      <w:r w:rsidRPr="00AD2577">
        <w:t xml:space="preserve">Detail the </w:t>
      </w:r>
      <w:r w:rsidR="00060F83" w:rsidRPr="00AD2577">
        <w:t>standard-</w:t>
      </w:r>
      <w:r w:rsidR="000B2E2D" w:rsidRPr="00AD2577">
        <w:t>setting process.</w:t>
      </w:r>
    </w:p>
    <w:p w14:paraId="70D5455A" w14:textId="77777777" w:rsidR="00002715" w:rsidRPr="00AD2577" w:rsidRDefault="000B2E2D" w:rsidP="007A03CA">
      <w:pPr>
        <w:pStyle w:val="NumberedList"/>
      </w:pPr>
      <w:r w:rsidRPr="00AD2577">
        <w:t>Explain three recent trends in standard setting: principles-based, rules-based, and objective-oriented standards; the asset/liability approach; and fair value measurements.</w:t>
      </w:r>
    </w:p>
    <w:p w14:paraId="63FD8066" w14:textId="77777777" w:rsidR="001A2990" w:rsidRDefault="001A2990">
      <w:pPr>
        <w:rPr>
          <w:rFonts w:ascii="Arial" w:hAnsi="Arial" w:cs="Arial"/>
          <w:b/>
          <w:spacing w:val="30"/>
          <w:sz w:val="28"/>
          <w:szCs w:val="24"/>
        </w:rPr>
      </w:pPr>
      <w:r>
        <w:br w:type="page"/>
      </w:r>
    </w:p>
    <w:p w14:paraId="1468C2D2" w14:textId="7E823378" w:rsidR="005C0468" w:rsidRPr="00AD2577" w:rsidRDefault="00BF5799" w:rsidP="007A03CA">
      <w:pPr>
        <w:pStyle w:val="1head"/>
      </w:pPr>
      <w:r w:rsidRPr="00AD2577">
        <w:lastRenderedPageBreak/>
        <w:t>Teaching Outline</w:t>
      </w:r>
    </w:p>
    <w:p w14:paraId="09ACED83" w14:textId="5F15A193" w:rsidR="00F61278" w:rsidRPr="00AD2577" w:rsidRDefault="00F61278" w:rsidP="007A03CA">
      <w:pPr>
        <w:pStyle w:val="2head"/>
      </w:pPr>
      <w:r w:rsidRPr="00AD2577">
        <w:t xml:space="preserve">Learning </w:t>
      </w:r>
      <w:r w:rsidR="00002715" w:rsidRPr="00AD2577">
        <w:t xml:space="preserve">Objective </w:t>
      </w:r>
      <w:r w:rsidRPr="00AD2577">
        <w:t>1</w:t>
      </w:r>
      <w:r w:rsidR="002F1033" w:rsidRPr="00AD2577">
        <w:t>:</w:t>
      </w:r>
      <w:r w:rsidR="00B14BF3" w:rsidRPr="00AD2577">
        <w:t xml:space="preserve"> Overview of Financial Reporting</w:t>
      </w:r>
    </w:p>
    <w:p w14:paraId="57036CAD" w14:textId="25BFEE90" w:rsidR="00BF5799" w:rsidRPr="00AD2577" w:rsidRDefault="00CC589A" w:rsidP="0024374B">
      <w:pPr>
        <w:pStyle w:val="OutlineI"/>
      </w:pPr>
      <w:r w:rsidRPr="00AD2577">
        <w:t>The d</w:t>
      </w:r>
      <w:r w:rsidR="008D75F9" w:rsidRPr="00AD2577">
        <w:t>efinition of financial reporting</w:t>
      </w:r>
      <w:r w:rsidR="002F1033" w:rsidRPr="00AD2577">
        <w:t xml:space="preserve"> </w:t>
      </w:r>
      <w:r w:rsidR="008D75F9" w:rsidRPr="00AD2577">
        <w:t xml:space="preserve">contains </w:t>
      </w:r>
      <w:r w:rsidR="00B14BF3" w:rsidRPr="00AD2577">
        <w:t>four major elements:</w:t>
      </w:r>
    </w:p>
    <w:p w14:paraId="396D1A37" w14:textId="77777777" w:rsidR="008D75F9" w:rsidRPr="00AD2577" w:rsidRDefault="00EB245A" w:rsidP="0024374B">
      <w:pPr>
        <w:pStyle w:val="BulletsI"/>
      </w:pPr>
      <w:r w:rsidRPr="00AD2577">
        <w:t>Financial i</w:t>
      </w:r>
      <w:r w:rsidR="008D75F9" w:rsidRPr="00AD2577">
        <w:t>nformation</w:t>
      </w:r>
    </w:p>
    <w:p w14:paraId="29938301" w14:textId="77777777" w:rsidR="008D75F9" w:rsidRPr="00AD2577" w:rsidRDefault="00EB245A" w:rsidP="0024374B">
      <w:pPr>
        <w:pStyle w:val="BulletsI"/>
      </w:pPr>
      <w:r w:rsidRPr="00AD2577">
        <w:t>Economic e</w:t>
      </w:r>
      <w:r w:rsidR="008D75F9" w:rsidRPr="00AD2577">
        <w:t>ntity</w:t>
      </w:r>
    </w:p>
    <w:p w14:paraId="1B157ABB" w14:textId="77777777" w:rsidR="008D75F9" w:rsidRPr="00AD2577" w:rsidRDefault="008D75F9" w:rsidP="0024374B">
      <w:pPr>
        <w:pStyle w:val="BulletsI"/>
      </w:pPr>
      <w:r w:rsidRPr="00AD2577">
        <w:t>User groups</w:t>
      </w:r>
    </w:p>
    <w:p w14:paraId="221228B5" w14:textId="77777777" w:rsidR="008D75F9" w:rsidRPr="00AD2577" w:rsidRDefault="008D75F9" w:rsidP="0024374B">
      <w:pPr>
        <w:pStyle w:val="BulletsI"/>
      </w:pPr>
      <w:r w:rsidRPr="00AD2577">
        <w:t>Legal, economic, political, and social environment</w:t>
      </w:r>
    </w:p>
    <w:p w14:paraId="100B7A60" w14:textId="64B81F92" w:rsidR="00CC2097" w:rsidRPr="00AD2577" w:rsidRDefault="00CC589A" w:rsidP="0024374B">
      <w:pPr>
        <w:pStyle w:val="OutlineIcont"/>
      </w:pPr>
      <w:r w:rsidRPr="00AD2577">
        <w:t>Financial reporting is the p</w:t>
      </w:r>
      <w:r w:rsidR="00BF4CEA" w:rsidRPr="00AD2577">
        <w:t>rocess of identifying, measuring, and communicating financial information about an economic entity to various user groups within the legal, economic, political, and social environment.</w:t>
      </w:r>
    </w:p>
    <w:p w14:paraId="664EC290" w14:textId="74D0F9C9" w:rsidR="00BB14BC" w:rsidRPr="00AD2577" w:rsidRDefault="00BB14BC" w:rsidP="0024374B">
      <w:pPr>
        <w:pStyle w:val="OutlineA0"/>
      </w:pPr>
      <w:r w:rsidRPr="00AD2577">
        <w:t>Financial Information</w:t>
      </w:r>
      <w:r w:rsidR="00FC6004" w:rsidRPr="00AD2577">
        <w:t xml:space="preserve"> </w:t>
      </w:r>
      <w:r w:rsidR="007A7933" w:rsidRPr="00AD2577">
        <w:t>(</w:t>
      </w:r>
      <w:r w:rsidR="00D01AA8" w:rsidRPr="00AD2577">
        <w:t xml:space="preserve">first </w:t>
      </w:r>
      <w:r w:rsidR="007A7933" w:rsidRPr="00AD2577">
        <w:t>element of financial accounting)</w:t>
      </w:r>
    </w:p>
    <w:p w14:paraId="768AFBEE" w14:textId="643C73F8" w:rsidR="00195629" w:rsidRPr="00AD2577" w:rsidRDefault="00BE13AA" w:rsidP="0024374B">
      <w:pPr>
        <w:pStyle w:val="BulletA"/>
      </w:pPr>
      <w:r w:rsidRPr="00AD2577">
        <w:t>Information that is governed by rules set f</w:t>
      </w:r>
      <w:r w:rsidR="008B6447" w:rsidRPr="00AD2577">
        <w:t xml:space="preserve">orth by the accounting </w:t>
      </w:r>
      <w:r w:rsidR="00060F83" w:rsidRPr="00AD2577">
        <w:t>standard-</w:t>
      </w:r>
      <w:r w:rsidRPr="00AD2577">
        <w:t>setting bodies</w:t>
      </w:r>
      <w:r w:rsidR="00784A7B">
        <w:t xml:space="preserve"> (for example,</w:t>
      </w:r>
      <w:r w:rsidR="00784A7B">
        <w:rPr>
          <w:b/>
        </w:rPr>
        <w:t xml:space="preserve"> </w:t>
      </w:r>
      <w:r w:rsidR="00784A7B" w:rsidRPr="00AD2577">
        <w:t xml:space="preserve">financial </w:t>
      </w:r>
      <w:r w:rsidRPr="00AD2577">
        <w:t>statements</w:t>
      </w:r>
      <w:r w:rsidR="00EA7CBB" w:rsidRPr="00AD2577">
        <w:t xml:space="preserve"> and footnotes</w:t>
      </w:r>
      <w:r w:rsidR="00784A7B">
        <w:t>)</w:t>
      </w:r>
    </w:p>
    <w:p w14:paraId="4CEFCFB3" w14:textId="178CBC0F" w:rsidR="005531D1" w:rsidRPr="00AD2577" w:rsidRDefault="00BE13AA" w:rsidP="0024374B">
      <w:pPr>
        <w:pStyle w:val="BulletA"/>
      </w:pPr>
      <w:r w:rsidRPr="00AD2577">
        <w:t xml:space="preserve">Information that is not governed by rules set forth by the accounting </w:t>
      </w:r>
      <w:r w:rsidR="00D01AA8" w:rsidRPr="00AD2577">
        <w:t>standard-</w:t>
      </w:r>
      <w:r w:rsidRPr="00AD2577">
        <w:t>setting bodies</w:t>
      </w:r>
      <w:r w:rsidR="00784A7B">
        <w:t xml:space="preserve"> (for </w:t>
      </w:r>
      <w:r w:rsidR="00784A7B" w:rsidRPr="00784A7B">
        <w:t>e</w:t>
      </w:r>
      <w:r w:rsidRPr="00784A7B">
        <w:t>xample</w:t>
      </w:r>
      <w:r w:rsidR="00784A7B">
        <w:t>,</w:t>
      </w:r>
      <w:r w:rsidR="00784A7B">
        <w:rPr>
          <w:b/>
        </w:rPr>
        <w:t xml:space="preserve"> </w:t>
      </w:r>
      <w:r w:rsidR="00784A7B" w:rsidRPr="00AD2577">
        <w:t xml:space="preserve">management </w:t>
      </w:r>
      <w:r w:rsidRPr="00AD2577">
        <w:t>discussion and analysis</w:t>
      </w:r>
      <w:r w:rsidR="00784A7B">
        <w:t>)</w:t>
      </w:r>
      <w:r w:rsidR="00EA7CBB" w:rsidRPr="00AD2577">
        <w:t xml:space="preserve"> (regulated by other authoritative bodies)</w:t>
      </w:r>
    </w:p>
    <w:p w14:paraId="12020E18" w14:textId="77777777" w:rsidR="00002715" w:rsidRPr="00AD2577" w:rsidRDefault="00BB14BC" w:rsidP="0024374B">
      <w:pPr>
        <w:pStyle w:val="Outline1"/>
      </w:pPr>
      <w:r w:rsidRPr="00AD2577">
        <w:t>Demand for Financial Information</w:t>
      </w:r>
      <w:r w:rsidR="00CC4F25" w:rsidRPr="00AD2577">
        <w:t xml:space="preserve">: </w:t>
      </w:r>
      <w:r w:rsidR="00EA7CBB" w:rsidRPr="00AD2577">
        <w:t xml:space="preserve">The form, content, and extent of financial information is based on market participant demand. </w:t>
      </w:r>
      <w:r w:rsidR="00F451F5" w:rsidRPr="00AD2577">
        <w:t xml:space="preserve">The demand for financial information is linked to the allocation of scarce resources. </w:t>
      </w:r>
      <w:r w:rsidR="00CC4F25" w:rsidRPr="00AD2577">
        <w:rPr>
          <w:i/>
        </w:rPr>
        <w:t>See Exhibit 1.1</w:t>
      </w:r>
      <w:r w:rsidR="00D03D2B" w:rsidRPr="00AD2577">
        <w:t>.</w:t>
      </w:r>
    </w:p>
    <w:p w14:paraId="0ADD143A" w14:textId="4F600112" w:rsidR="0024374B" w:rsidRPr="00AD2577" w:rsidRDefault="00BB14BC" w:rsidP="0024374B">
      <w:pPr>
        <w:pStyle w:val="Outline1"/>
      </w:pPr>
      <w:r w:rsidRPr="00AD2577">
        <w:t>Sources of Financial Information</w:t>
      </w:r>
      <w:r w:rsidR="00F451F5" w:rsidRPr="00AD2577">
        <w:t xml:space="preserve">: The four basic financial statements </w:t>
      </w:r>
      <w:r w:rsidR="000A0AEB" w:rsidRPr="00AD2577">
        <w:t xml:space="preserve">are </w:t>
      </w:r>
      <w:r w:rsidR="00F451F5" w:rsidRPr="00AD2577">
        <w:t xml:space="preserve">the </w:t>
      </w:r>
      <w:r w:rsidR="00784A7B">
        <w:t>(</w:t>
      </w:r>
      <w:r w:rsidR="00F451F5" w:rsidRPr="00AD2577">
        <w:t xml:space="preserve">1) balance sheet, </w:t>
      </w:r>
      <w:r w:rsidR="00784A7B">
        <w:t>(</w:t>
      </w:r>
      <w:r w:rsidR="00F451F5" w:rsidRPr="00AD2577">
        <w:t xml:space="preserve">2) statement of comprehensive income, </w:t>
      </w:r>
      <w:r w:rsidR="00784A7B">
        <w:t>(</w:t>
      </w:r>
      <w:r w:rsidR="00F451F5" w:rsidRPr="00AD2577">
        <w:t xml:space="preserve">3) statement of cash flows, and </w:t>
      </w:r>
      <w:r w:rsidR="00784A7B">
        <w:t>(</w:t>
      </w:r>
      <w:r w:rsidR="00F451F5" w:rsidRPr="00AD2577">
        <w:t>4) statement of shareholders’ equity.</w:t>
      </w:r>
    </w:p>
    <w:p w14:paraId="75E1A255" w14:textId="77777777" w:rsidR="00002715" w:rsidRPr="00AD2577" w:rsidRDefault="00CB0EC0" w:rsidP="00CE6899">
      <w:pPr>
        <w:pStyle w:val="Outlinea"/>
        <w:numPr>
          <w:ilvl w:val="0"/>
          <w:numId w:val="9"/>
        </w:numPr>
        <w:ind w:left="1440"/>
      </w:pPr>
      <w:r w:rsidRPr="00AD2577">
        <w:t>General-</w:t>
      </w:r>
      <w:r w:rsidR="00086FD7" w:rsidRPr="00AD2577">
        <w:t xml:space="preserve">purpose financial statements: </w:t>
      </w:r>
      <w:r w:rsidR="00F451F5" w:rsidRPr="00AD2577">
        <w:t>Referred to as p</w:t>
      </w:r>
      <w:r w:rsidR="00086FD7" w:rsidRPr="00AD2577">
        <w:t>ublished financial statements</w:t>
      </w:r>
      <w:r w:rsidR="00F451F5" w:rsidRPr="00AD2577">
        <w:t xml:space="preserve"> that provide information to investors, creditors, financial analysts, customers, employees, competitors, unions, and government agencies.</w:t>
      </w:r>
    </w:p>
    <w:p w14:paraId="0EB20EF4" w14:textId="73E3668A" w:rsidR="008251FE" w:rsidRPr="00AD2577" w:rsidRDefault="00086FD7" w:rsidP="00DD6FDE">
      <w:pPr>
        <w:pStyle w:val="Outlinea"/>
      </w:pPr>
      <w:r w:rsidRPr="00AD2577">
        <w:t>Financial Accounting Standards Board (FASB): Body responsible for promulgating U.S. GAAP</w:t>
      </w:r>
      <w:r w:rsidR="00E30892" w:rsidRPr="00AD2577">
        <w:t>.</w:t>
      </w:r>
    </w:p>
    <w:p w14:paraId="5FF44D74" w14:textId="5FB092D2" w:rsidR="00086FD7" w:rsidRPr="00AD2577" w:rsidRDefault="00086FD7" w:rsidP="00DD6FDE">
      <w:pPr>
        <w:pStyle w:val="Outlinea"/>
      </w:pPr>
      <w:r w:rsidRPr="00AD2577">
        <w:t>Financial information</w:t>
      </w:r>
      <w:r w:rsidR="00A473DC" w:rsidRPr="00AD2577">
        <w:t xml:space="preserve"> is a b</w:t>
      </w:r>
      <w:r w:rsidRPr="00AD2577">
        <w:t>roader term</w:t>
      </w:r>
      <w:r w:rsidR="00FC3924" w:rsidRPr="00AD2577">
        <w:t xml:space="preserve"> than financial statements and</w:t>
      </w:r>
      <w:r w:rsidR="00A473DC" w:rsidRPr="00AD2577">
        <w:t xml:space="preserve"> includes:</w:t>
      </w:r>
    </w:p>
    <w:p w14:paraId="3A4C386D" w14:textId="77777777" w:rsidR="00086FD7" w:rsidRPr="00AD2577" w:rsidRDefault="00086FD7" w:rsidP="0024374B">
      <w:pPr>
        <w:pStyle w:val="Bulleta0"/>
      </w:pPr>
      <w:r w:rsidRPr="00AD2577">
        <w:t>Letters to the shareholders</w:t>
      </w:r>
    </w:p>
    <w:p w14:paraId="191D8CE9" w14:textId="77777777" w:rsidR="00086FD7" w:rsidRPr="00AD2577" w:rsidRDefault="00086FD7" w:rsidP="0024374B">
      <w:pPr>
        <w:pStyle w:val="Bulleta0"/>
      </w:pPr>
      <w:r w:rsidRPr="00AD2577">
        <w:t>Formal discussion and analysis</w:t>
      </w:r>
    </w:p>
    <w:p w14:paraId="1DB37BEC" w14:textId="77777777" w:rsidR="00086FD7" w:rsidRPr="00AD2577" w:rsidRDefault="00086FD7" w:rsidP="0024374B">
      <w:pPr>
        <w:pStyle w:val="Bulleta0"/>
      </w:pPr>
      <w:r w:rsidRPr="00AD2577">
        <w:t>Management report</w:t>
      </w:r>
    </w:p>
    <w:p w14:paraId="09A5C5D5" w14:textId="77777777" w:rsidR="00086FD7" w:rsidRPr="00AD2577" w:rsidRDefault="00086FD7" w:rsidP="0024374B">
      <w:pPr>
        <w:pStyle w:val="Bulleta0"/>
      </w:pPr>
      <w:r w:rsidRPr="00AD2577">
        <w:t>Auditors’ report</w:t>
      </w:r>
    </w:p>
    <w:p w14:paraId="37A33F97" w14:textId="77777777" w:rsidR="00086FD7" w:rsidRPr="00AD2577" w:rsidRDefault="007A7933" w:rsidP="0024374B">
      <w:pPr>
        <w:pStyle w:val="Bulleta0"/>
      </w:pPr>
      <w:r w:rsidRPr="00AD2577">
        <w:t>Financial summary</w:t>
      </w:r>
    </w:p>
    <w:p w14:paraId="44D5626A" w14:textId="154F1368" w:rsidR="00002715" w:rsidRPr="00AD2577" w:rsidRDefault="00BB14BC" w:rsidP="0024374B">
      <w:pPr>
        <w:pStyle w:val="OutlineA0"/>
      </w:pPr>
      <w:r w:rsidRPr="00AD2577">
        <w:t>Economic Entity</w:t>
      </w:r>
      <w:r w:rsidR="007A7933" w:rsidRPr="00AD2577">
        <w:t xml:space="preserve"> (</w:t>
      </w:r>
      <w:r w:rsidR="00D01AA8" w:rsidRPr="00AD2577">
        <w:t xml:space="preserve">second </w:t>
      </w:r>
      <w:r w:rsidR="007A7933" w:rsidRPr="00AD2577">
        <w:t xml:space="preserve">element of financial reporting): An organization or </w:t>
      </w:r>
      <w:r w:rsidR="000A0AEB" w:rsidRPr="00AD2577">
        <w:t xml:space="preserve">a </w:t>
      </w:r>
      <w:r w:rsidR="007A7933" w:rsidRPr="00AD2577">
        <w:t>unit with activities that are separate from those of its owners and other entities</w:t>
      </w:r>
      <w:r w:rsidR="0083493B" w:rsidRPr="00AD2577">
        <w:t>.</w:t>
      </w:r>
      <w:r w:rsidR="00002715" w:rsidRPr="00AD2577">
        <w:t xml:space="preserve"> </w:t>
      </w:r>
      <w:r w:rsidR="0083493B" w:rsidRPr="00AD2577">
        <w:t>Can be corporations, partnerships, sole proprietorships, or governmental organizations.</w:t>
      </w:r>
    </w:p>
    <w:p w14:paraId="6DF9FC42" w14:textId="6C1D8DCA" w:rsidR="00C560E9" w:rsidRPr="00AD2577" w:rsidRDefault="00BB14BC" w:rsidP="0024374B">
      <w:pPr>
        <w:pStyle w:val="OutlineA0"/>
      </w:pPr>
      <w:r w:rsidRPr="00AD2577">
        <w:t>Financial Statement User Groups</w:t>
      </w:r>
      <w:r w:rsidR="007A7933" w:rsidRPr="00AD2577">
        <w:t xml:space="preserve"> (</w:t>
      </w:r>
      <w:r w:rsidR="00D01AA8" w:rsidRPr="00AD2577">
        <w:t xml:space="preserve">third </w:t>
      </w:r>
      <w:r w:rsidR="007A7933" w:rsidRPr="00AD2577">
        <w:t>element of financial reporting)</w:t>
      </w:r>
      <w:r w:rsidR="00C560E9" w:rsidRPr="00AD2577">
        <w:t xml:space="preserve">: </w:t>
      </w:r>
      <w:r w:rsidR="00C560E9" w:rsidRPr="00AD2577">
        <w:rPr>
          <w:i/>
        </w:rPr>
        <w:t>See Exhibit 1.2</w:t>
      </w:r>
      <w:r w:rsidR="00EB245A" w:rsidRPr="00AD2577">
        <w:rPr>
          <w:i/>
        </w:rPr>
        <w:t>.</w:t>
      </w:r>
      <w:r w:rsidR="00FC3924" w:rsidRPr="00AD2577">
        <w:rPr>
          <w:i/>
        </w:rPr>
        <w:t xml:space="preserve"> </w:t>
      </w:r>
      <w:r w:rsidR="00FC3924" w:rsidRPr="00AD2577">
        <w:t>Includes e</w:t>
      </w:r>
      <w:r w:rsidR="00C560E9" w:rsidRPr="00AD2577">
        <w:t>quity investors</w:t>
      </w:r>
      <w:r w:rsidR="00FC3924" w:rsidRPr="00AD2577">
        <w:t>, c</w:t>
      </w:r>
      <w:r w:rsidR="00C560E9" w:rsidRPr="00AD2577">
        <w:t>reditors</w:t>
      </w:r>
      <w:r w:rsidR="00D01AA8" w:rsidRPr="00AD2577">
        <w:t>,</w:t>
      </w:r>
      <w:r w:rsidR="00C560E9" w:rsidRPr="00AD2577">
        <w:t xml:space="preserve"> and other debt investors</w:t>
      </w:r>
      <w:r w:rsidR="00FC3924" w:rsidRPr="00AD2577">
        <w:t>, c</w:t>
      </w:r>
      <w:r w:rsidR="00C560E9" w:rsidRPr="00AD2577">
        <w:t>ompetitors</w:t>
      </w:r>
      <w:r w:rsidR="00FC3924" w:rsidRPr="00AD2577">
        <w:t>, f</w:t>
      </w:r>
      <w:r w:rsidR="00C560E9" w:rsidRPr="00AD2577">
        <w:t>inancial analyst</w:t>
      </w:r>
      <w:r w:rsidR="00FC3924" w:rsidRPr="00AD2577">
        <w:t>s, e</w:t>
      </w:r>
      <w:r w:rsidR="00C560E9" w:rsidRPr="00AD2577">
        <w:t>mployees and labor union</w:t>
      </w:r>
      <w:r w:rsidR="00FC3924" w:rsidRPr="00AD2577">
        <w:t>s, s</w:t>
      </w:r>
      <w:r w:rsidR="00C560E9" w:rsidRPr="00AD2577">
        <w:t>uppliers and customer</w:t>
      </w:r>
      <w:r w:rsidR="00FC3924" w:rsidRPr="00AD2577">
        <w:t>s, and g</w:t>
      </w:r>
      <w:r w:rsidR="00C560E9" w:rsidRPr="00AD2577">
        <w:t>overnment agencies</w:t>
      </w:r>
    </w:p>
    <w:p w14:paraId="2A4F5043" w14:textId="037BDBCB" w:rsidR="00BB14BC" w:rsidRPr="00AD2577" w:rsidRDefault="00BB14BC" w:rsidP="0024374B">
      <w:pPr>
        <w:pStyle w:val="Outline1"/>
      </w:pPr>
      <w:r w:rsidRPr="00AD2577">
        <w:t>Equity Investors</w:t>
      </w:r>
      <w:r w:rsidR="00C173EC" w:rsidRPr="00AD2577">
        <w:t>: Shareholders of the company</w:t>
      </w:r>
    </w:p>
    <w:p w14:paraId="3FC6DD8D" w14:textId="0E6EAC23" w:rsidR="00C173EC" w:rsidRPr="00AD2577" w:rsidRDefault="00C173EC" w:rsidP="00CE6899">
      <w:pPr>
        <w:pStyle w:val="Outlinea"/>
        <w:numPr>
          <w:ilvl w:val="0"/>
          <w:numId w:val="10"/>
        </w:numPr>
        <w:ind w:left="1440"/>
      </w:pPr>
      <w:r w:rsidRPr="00AD2577">
        <w:t>Pur</w:t>
      </w:r>
      <w:r w:rsidR="007D0DA6" w:rsidRPr="00AD2577">
        <w:t>chase a percentage of ownership</w:t>
      </w:r>
      <w:r w:rsidR="00D01AA8" w:rsidRPr="00AD2577">
        <w:t>.</w:t>
      </w:r>
    </w:p>
    <w:p w14:paraId="4B2E4170" w14:textId="46CE74DC" w:rsidR="00C173EC" w:rsidRPr="00AD2577" w:rsidRDefault="00C173EC" w:rsidP="00DD6FDE">
      <w:pPr>
        <w:pStyle w:val="Outlinea"/>
      </w:pPr>
      <w:r w:rsidRPr="00AD2577">
        <w:t>Expect to see a return on their investment</w:t>
      </w:r>
      <w:r w:rsidR="00D01AA8" w:rsidRPr="00AD2577">
        <w:t>.</w:t>
      </w:r>
    </w:p>
    <w:p w14:paraId="48915003" w14:textId="7965F3F6" w:rsidR="00C173EC" w:rsidRPr="00AD2577" w:rsidRDefault="00C173EC" w:rsidP="00DD6FDE">
      <w:pPr>
        <w:pStyle w:val="Outlinea"/>
      </w:pPr>
      <w:r w:rsidRPr="00AD2577">
        <w:t>Use financial information to determine a company’s ability to ge</w:t>
      </w:r>
      <w:r w:rsidR="007D0DA6" w:rsidRPr="00AD2577">
        <w:t>nerate earnings and cash flow</w:t>
      </w:r>
      <w:r w:rsidR="00D01AA8" w:rsidRPr="00AD2577">
        <w:t>.</w:t>
      </w:r>
    </w:p>
    <w:p w14:paraId="09B75344" w14:textId="574D0E9D" w:rsidR="00C173EC" w:rsidRPr="00AD2577" w:rsidRDefault="00C173EC" w:rsidP="00DD6FDE">
      <w:pPr>
        <w:pStyle w:val="Outlinea"/>
      </w:pPr>
      <w:r w:rsidRPr="00AD2577">
        <w:t>Mak</w:t>
      </w:r>
      <w:r w:rsidR="007D0DA6" w:rsidRPr="00AD2577">
        <w:t>e assessments as to potential risk and returns</w:t>
      </w:r>
      <w:r w:rsidR="00D01AA8" w:rsidRPr="00AD2577">
        <w:t>.</w:t>
      </w:r>
    </w:p>
    <w:p w14:paraId="590218D1" w14:textId="42368C9B" w:rsidR="00C173EC" w:rsidRPr="00AD2577" w:rsidRDefault="00C173EC" w:rsidP="00DD6FDE">
      <w:pPr>
        <w:pStyle w:val="Outlinea"/>
      </w:pPr>
      <w:r w:rsidRPr="00AD2577">
        <w:t>Asses</w:t>
      </w:r>
      <w:r w:rsidR="00A473DC" w:rsidRPr="00AD2577">
        <w:t>s</w:t>
      </w:r>
      <w:r w:rsidRPr="00AD2577">
        <w:t xml:space="preserve"> </w:t>
      </w:r>
      <w:r w:rsidR="000657D7" w:rsidRPr="00AD2577">
        <w:t xml:space="preserve">an </w:t>
      </w:r>
      <w:r w:rsidR="007D0DA6" w:rsidRPr="00AD2577">
        <w:t>entity’s</w:t>
      </w:r>
      <w:r w:rsidR="000657D7" w:rsidRPr="00AD2577">
        <w:t xml:space="preserve"> ability to </w:t>
      </w:r>
      <w:r w:rsidR="007D0DA6" w:rsidRPr="00AD2577">
        <w:t>pay dividends and grow over</w:t>
      </w:r>
      <w:r w:rsidR="00A22F81" w:rsidRPr="00AD2577">
        <w:t xml:space="preserve"> </w:t>
      </w:r>
      <w:r w:rsidR="007D0DA6" w:rsidRPr="00AD2577">
        <w:t>time</w:t>
      </w:r>
      <w:r w:rsidR="00D01AA8" w:rsidRPr="00AD2577">
        <w:t>.</w:t>
      </w:r>
    </w:p>
    <w:p w14:paraId="407EDDD9" w14:textId="08032334" w:rsidR="00BB14BC" w:rsidRPr="00AD2577" w:rsidRDefault="00BB14BC" w:rsidP="0024374B">
      <w:pPr>
        <w:pStyle w:val="Outline1"/>
      </w:pPr>
      <w:r w:rsidRPr="00AD2577">
        <w:t>Creditors and Other Debt Investors</w:t>
      </w:r>
      <w:r w:rsidR="00683DE1" w:rsidRPr="00AD2577">
        <w:t xml:space="preserve">: </w:t>
      </w:r>
      <w:r w:rsidR="00D01AA8" w:rsidRPr="00AD2577">
        <w:t>E</w:t>
      </w:r>
      <w:r w:rsidR="00683DE1" w:rsidRPr="00AD2577">
        <w:t>ntities that lend money to the company</w:t>
      </w:r>
    </w:p>
    <w:p w14:paraId="686B07A0" w14:textId="26FD8B0F" w:rsidR="00002715" w:rsidRPr="00AD2577" w:rsidRDefault="00683DE1" w:rsidP="00CE6899">
      <w:pPr>
        <w:pStyle w:val="Outlinea"/>
        <w:numPr>
          <w:ilvl w:val="0"/>
          <w:numId w:val="11"/>
        </w:numPr>
        <w:ind w:left="1440"/>
      </w:pPr>
      <w:r w:rsidRPr="00AD2577">
        <w:t>Debt</w:t>
      </w:r>
      <w:r w:rsidR="00523847" w:rsidRPr="00AD2577">
        <w:t xml:space="preserve"> can be</w:t>
      </w:r>
      <w:r w:rsidRPr="00AD2577">
        <w:t xml:space="preserve"> public or privately held. </w:t>
      </w:r>
      <w:r w:rsidR="003354E2">
        <w:t xml:space="preserve">For </w:t>
      </w:r>
      <w:r w:rsidR="003354E2" w:rsidRPr="003354E2">
        <w:t>example,</w:t>
      </w:r>
      <w:r w:rsidRPr="00AD2577">
        <w:rPr>
          <w:b/>
        </w:rPr>
        <w:t xml:space="preserve"> </w:t>
      </w:r>
      <w:r w:rsidR="003354E2" w:rsidRPr="00AD2577">
        <w:t xml:space="preserve">public </w:t>
      </w:r>
      <w:r w:rsidRPr="00AD2577">
        <w:t>traded debt may include bonds</w:t>
      </w:r>
      <w:r w:rsidR="00D01AA8" w:rsidRPr="00AD2577">
        <w:t>,</w:t>
      </w:r>
      <w:r w:rsidRPr="00AD2577">
        <w:t xml:space="preserve"> and private debt may include lenders such as commercial banks.</w:t>
      </w:r>
    </w:p>
    <w:p w14:paraId="631E6866" w14:textId="492D42DE" w:rsidR="00683DE1" w:rsidRPr="00AD2577" w:rsidRDefault="00683DE1" w:rsidP="00DD6FDE">
      <w:pPr>
        <w:pStyle w:val="Outlinea"/>
      </w:pPr>
      <w:r w:rsidRPr="00AD2577">
        <w:t>Creditor</w:t>
      </w:r>
      <w:r w:rsidR="009A23E1" w:rsidRPr="00AD2577">
        <w:t>s receive a</w:t>
      </w:r>
      <w:r w:rsidRPr="00AD2577">
        <w:t xml:space="preserve"> return</w:t>
      </w:r>
      <w:r w:rsidR="009A23E1" w:rsidRPr="00AD2577">
        <w:t xml:space="preserve"> on</w:t>
      </w:r>
      <w:r w:rsidRPr="00AD2577">
        <w:t xml:space="preserve"> investment by way of interest income.</w:t>
      </w:r>
    </w:p>
    <w:p w14:paraId="2D5EFE9F" w14:textId="77777777" w:rsidR="00002715" w:rsidRPr="00AD2577" w:rsidRDefault="00683DE1" w:rsidP="00DD6FDE">
      <w:pPr>
        <w:pStyle w:val="Outlinea"/>
      </w:pPr>
      <w:r w:rsidRPr="00AD2577">
        <w:t>Public debt may also receive a return by way of the price of the bond.</w:t>
      </w:r>
    </w:p>
    <w:p w14:paraId="046DA791" w14:textId="67CC8B40" w:rsidR="009F0430" w:rsidRPr="00AD2577" w:rsidRDefault="00BB14BC" w:rsidP="0024374B">
      <w:pPr>
        <w:pStyle w:val="Outline1"/>
      </w:pPr>
      <w:r w:rsidRPr="00AD2577">
        <w:t>Competitors</w:t>
      </w:r>
      <w:r w:rsidR="009F0430" w:rsidRPr="00AD2577">
        <w:t xml:space="preserve">: Use financial information to determine their market position </w:t>
      </w:r>
      <w:r w:rsidR="001F06F0" w:rsidRPr="00AD2577">
        <w:t xml:space="preserve">related </w:t>
      </w:r>
      <w:r w:rsidR="009F0430" w:rsidRPr="00AD2577">
        <w:t xml:space="preserve">to </w:t>
      </w:r>
      <w:r w:rsidR="001F06F0" w:rsidRPr="00AD2577">
        <w:t xml:space="preserve">the </w:t>
      </w:r>
      <w:r w:rsidR="009F0430" w:rsidRPr="00AD2577">
        <w:t>reporting entity.</w:t>
      </w:r>
      <w:r w:rsidR="002F1033" w:rsidRPr="00AD2577">
        <w:t xml:space="preserve"> </w:t>
      </w:r>
      <w:r w:rsidR="009F0430" w:rsidRPr="00AD2577">
        <w:t>Analyze competitor strategy to assess ability to compete.</w:t>
      </w:r>
    </w:p>
    <w:p w14:paraId="29604DBA" w14:textId="77777777" w:rsidR="00002715" w:rsidRPr="00AD2577" w:rsidRDefault="00BB14BC" w:rsidP="0024374B">
      <w:pPr>
        <w:pStyle w:val="Outline1"/>
      </w:pPr>
      <w:r w:rsidRPr="00AD2577">
        <w:t>Financial Analysts</w:t>
      </w:r>
      <w:r w:rsidR="009F0430" w:rsidRPr="00AD2577">
        <w:t xml:space="preserve">: </w:t>
      </w:r>
      <w:r w:rsidR="00786016" w:rsidRPr="00AD2577">
        <w:t>Use information to provide guidance to individuals and other entities in making investment and credit decisions.</w:t>
      </w:r>
    </w:p>
    <w:p w14:paraId="09E219B4" w14:textId="77777777" w:rsidR="00002715" w:rsidRPr="00AD2577" w:rsidRDefault="00BB14BC" w:rsidP="0024374B">
      <w:pPr>
        <w:pStyle w:val="Outline1"/>
      </w:pPr>
      <w:r w:rsidRPr="00AD2577">
        <w:t>Employee</w:t>
      </w:r>
      <w:r w:rsidR="00D01AA8" w:rsidRPr="00AD2577">
        <w:t>s</w:t>
      </w:r>
      <w:r w:rsidRPr="00AD2577">
        <w:t xml:space="preserve"> and Labor Unions</w:t>
      </w:r>
      <w:r w:rsidR="00786016" w:rsidRPr="00AD2577">
        <w:t>: Assess the economic performance and liquidity of entities employing members of the union.</w:t>
      </w:r>
    </w:p>
    <w:p w14:paraId="32DDAA87" w14:textId="77777777" w:rsidR="00002715" w:rsidRPr="00AD2577" w:rsidRDefault="00BB14BC" w:rsidP="0024374B">
      <w:pPr>
        <w:pStyle w:val="Outline1"/>
      </w:pPr>
      <w:r w:rsidRPr="00AD2577">
        <w:t>Supplier</w:t>
      </w:r>
      <w:r w:rsidR="00E42A49" w:rsidRPr="00AD2577">
        <w:t>s</w:t>
      </w:r>
      <w:r w:rsidRPr="00AD2577">
        <w:t xml:space="preserve"> and Customers</w:t>
      </w:r>
      <w:r w:rsidR="00257A31" w:rsidRPr="00AD2577">
        <w:t>: Use financial information to determine a company’s financial position, assess ability to pay for goods and services, a</w:t>
      </w:r>
      <w:r w:rsidR="009A23E1" w:rsidRPr="00AD2577">
        <w:t>ssess the quality of the product</w:t>
      </w:r>
      <w:r w:rsidR="00257A31" w:rsidRPr="00AD2577">
        <w:t>, and determine an entit</w:t>
      </w:r>
      <w:r w:rsidR="00FC3924" w:rsidRPr="00AD2577">
        <w:t>y’s</w:t>
      </w:r>
      <w:r w:rsidR="00257A31" w:rsidRPr="00AD2577">
        <w:t xml:space="preserve"> ability to honor warranties.</w:t>
      </w:r>
    </w:p>
    <w:p w14:paraId="49E5C2B9" w14:textId="77777777" w:rsidR="00002715" w:rsidRPr="00AD2577" w:rsidRDefault="00BB14BC" w:rsidP="0024374B">
      <w:pPr>
        <w:pStyle w:val="Outline1"/>
      </w:pPr>
      <w:r w:rsidRPr="00AD2577">
        <w:t>Government Agencies</w:t>
      </w:r>
      <w:r w:rsidR="00257A31" w:rsidRPr="00AD2577">
        <w:t>: Variety of reasons</w:t>
      </w:r>
    </w:p>
    <w:p w14:paraId="0F74A59B" w14:textId="7CE3CABD" w:rsidR="00BB14BC" w:rsidRPr="00AD2577" w:rsidRDefault="00BB14BC" w:rsidP="0024374B">
      <w:pPr>
        <w:pStyle w:val="OutlineA0"/>
      </w:pPr>
      <w:r w:rsidRPr="00AD2577">
        <w:t>Other Parties Involved in the Preparation and Use of Financial Information</w:t>
      </w:r>
      <w:r w:rsidR="00E42A49" w:rsidRPr="00AD2577">
        <w:t>:</w:t>
      </w:r>
    </w:p>
    <w:p w14:paraId="0901EB3A" w14:textId="77777777" w:rsidR="00B02D06" w:rsidRPr="00AD2577" w:rsidRDefault="00B02D06" w:rsidP="00252EF7">
      <w:pPr>
        <w:pStyle w:val="Outline1"/>
        <w:numPr>
          <w:ilvl w:val="0"/>
          <w:numId w:val="0"/>
        </w:numPr>
        <w:ind w:left="720"/>
      </w:pPr>
      <w:r w:rsidRPr="00AD2577">
        <w:t>Financial Statement preparers: Companies that issue the financial statement.</w:t>
      </w:r>
      <w:r w:rsidR="002F1033" w:rsidRPr="00AD2577">
        <w:t xml:space="preserve"> </w:t>
      </w:r>
      <w:r w:rsidRPr="00AD2577">
        <w:rPr>
          <w:i/>
        </w:rPr>
        <w:t>See Exhibit 1.3.</w:t>
      </w:r>
    </w:p>
    <w:p w14:paraId="731A3C9B" w14:textId="734581C3" w:rsidR="00B02D06" w:rsidRPr="00BD4C3A" w:rsidRDefault="003E405D" w:rsidP="00BD4C3A">
      <w:pPr>
        <w:pStyle w:val="Bulleta0"/>
      </w:pPr>
      <w:r w:rsidRPr="00AD2577">
        <w:t xml:space="preserve">External </w:t>
      </w:r>
      <w:r w:rsidR="00112227" w:rsidRPr="00AD2577">
        <w:t>auditors</w:t>
      </w:r>
      <w:r w:rsidR="00FC3924" w:rsidRPr="00AD2577">
        <w:t xml:space="preserve">: </w:t>
      </w:r>
      <w:r w:rsidR="00D37A31" w:rsidRPr="00AD2577">
        <w:t>I</w:t>
      </w:r>
      <w:r w:rsidR="00B02D06" w:rsidRPr="00AD2577">
        <w:t>ndependent of the company</w:t>
      </w:r>
      <w:r w:rsidR="00E42A49" w:rsidRPr="00AD2577">
        <w:t>.</w:t>
      </w:r>
      <w:r w:rsidR="00002715" w:rsidRPr="00AD2577">
        <w:t xml:space="preserve"> </w:t>
      </w:r>
      <w:r w:rsidR="00D37A31" w:rsidRPr="00AD2577">
        <w:t xml:space="preserve">Ensure compliance with </w:t>
      </w:r>
      <w:r w:rsidR="00D37A31" w:rsidRPr="00BD4C3A">
        <w:t>accounting standards and ensure that the financial statements fairly represent the financial condition of the company.</w:t>
      </w:r>
    </w:p>
    <w:p w14:paraId="32BF7D77" w14:textId="4C90070E" w:rsidR="003E405D" w:rsidRPr="00BD4C3A" w:rsidRDefault="003E405D" w:rsidP="00BD4C3A">
      <w:pPr>
        <w:pStyle w:val="Bulleta0"/>
      </w:pPr>
      <w:r w:rsidRPr="00BD4C3A">
        <w:t xml:space="preserve">Internal </w:t>
      </w:r>
      <w:r w:rsidR="00112227" w:rsidRPr="00BD4C3A">
        <w:t>auditors</w:t>
      </w:r>
      <w:r w:rsidRPr="00BD4C3A">
        <w:t>:</w:t>
      </w:r>
      <w:r w:rsidR="00D37A31" w:rsidRPr="00BD4C3A">
        <w:t xml:space="preserve"> Employees of the company who serve an advisory role to management.</w:t>
      </w:r>
    </w:p>
    <w:p w14:paraId="509409E2" w14:textId="0C615CF1" w:rsidR="000726E9" w:rsidRPr="00BD4C3A" w:rsidRDefault="00A473DC" w:rsidP="00BD4C3A">
      <w:pPr>
        <w:pStyle w:val="Bulleta0"/>
      </w:pPr>
      <w:r w:rsidRPr="00BD4C3A">
        <w:t xml:space="preserve">Standard </w:t>
      </w:r>
      <w:r w:rsidR="00A6441C" w:rsidRPr="00BD4C3A">
        <w:t>s</w:t>
      </w:r>
      <w:r w:rsidR="000726E9" w:rsidRPr="00BD4C3A">
        <w:t>etters: Develop and promulgate accounting c</w:t>
      </w:r>
      <w:r w:rsidR="00D37A31" w:rsidRPr="00BD4C3A">
        <w:t>oncepts, rules, and guidelines necessary to the relevant and faithful representation of the economic performance of the reporting entity.</w:t>
      </w:r>
    </w:p>
    <w:p w14:paraId="647C3D2A" w14:textId="77777777" w:rsidR="00002715" w:rsidRPr="00BD4C3A" w:rsidRDefault="008B6447" w:rsidP="00BD4C3A">
      <w:pPr>
        <w:pStyle w:val="Bulleta0"/>
      </w:pPr>
      <w:r w:rsidRPr="00BD4C3A">
        <w:t>Regulatory bodies</w:t>
      </w:r>
      <w:r w:rsidR="00A473DC" w:rsidRPr="00BD4C3A">
        <w:t xml:space="preserve"> such as the SEC</w:t>
      </w:r>
      <w:r w:rsidRPr="00BD4C3A">
        <w:t>: P</w:t>
      </w:r>
      <w:r w:rsidR="00B02D06" w:rsidRPr="00BD4C3A">
        <w:t xml:space="preserve">rotect investors and </w:t>
      </w:r>
      <w:r w:rsidR="000726E9" w:rsidRPr="00BD4C3A">
        <w:t xml:space="preserve">oversee the accounting </w:t>
      </w:r>
      <w:r w:rsidR="00060F83" w:rsidRPr="00BD4C3A">
        <w:t>standard-</w:t>
      </w:r>
      <w:r w:rsidR="00B02D06" w:rsidRPr="00BD4C3A">
        <w:t>setting process.</w:t>
      </w:r>
    </w:p>
    <w:p w14:paraId="2FF9FDCF" w14:textId="0E6C1C09" w:rsidR="00B02D06" w:rsidRPr="00AD2577" w:rsidRDefault="00B02D06" w:rsidP="00BD4C3A">
      <w:pPr>
        <w:pStyle w:val="Bulleta0"/>
      </w:pPr>
      <w:r w:rsidRPr="00BD4C3A">
        <w:t>Professional organizations</w:t>
      </w:r>
      <w:r w:rsidR="00A473DC" w:rsidRPr="00BD4C3A">
        <w:t xml:space="preserve"> such as the AICPA</w:t>
      </w:r>
      <w:r w:rsidR="00E27A10" w:rsidRPr="00BD4C3A">
        <w:t>:</w:t>
      </w:r>
      <w:r w:rsidR="008B6447" w:rsidRPr="00BD4C3A">
        <w:t xml:space="preserve"> P</w:t>
      </w:r>
      <w:r w:rsidRPr="00BD4C3A">
        <w:t>rovide support to accounting professionals</w:t>
      </w:r>
      <w:r w:rsidR="00E42A49" w:rsidRPr="00AD2577">
        <w:t>.</w:t>
      </w:r>
    </w:p>
    <w:p w14:paraId="6CFD8563" w14:textId="6FEF0326" w:rsidR="00002715" w:rsidRPr="00AD2577" w:rsidRDefault="00BB14BC" w:rsidP="0024374B">
      <w:pPr>
        <w:pStyle w:val="OutlineA0"/>
      </w:pPr>
      <w:r w:rsidRPr="00AD2577">
        <w:t>Legal, Economic, Political, and Social Environment</w:t>
      </w:r>
      <w:r w:rsidR="006573D2" w:rsidRPr="00AD2577">
        <w:t xml:space="preserve"> (</w:t>
      </w:r>
      <w:r w:rsidR="00D01AA8" w:rsidRPr="00AD2577">
        <w:t xml:space="preserve">fourth </w:t>
      </w:r>
      <w:r w:rsidR="006573D2" w:rsidRPr="00AD2577">
        <w:t>element of financial reporting)</w:t>
      </w:r>
      <w:r w:rsidR="00E27A10" w:rsidRPr="00AD2577">
        <w:t>:</w:t>
      </w:r>
      <w:r w:rsidR="002F1033" w:rsidRPr="00AD2577">
        <w:t xml:space="preserve"> </w:t>
      </w:r>
      <w:r w:rsidR="006573D2" w:rsidRPr="00AD2577">
        <w:t>The ever-changing environment of financial reporting lends itself to legal considera</w:t>
      </w:r>
      <w:r w:rsidR="00E42A49" w:rsidRPr="00AD2577">
        <w:t>tion as the procedure interacts</w:t>
      </w:r>
      <w:r w:rsidR="006573D2" w:rsidRPr="00AD2577">
        <w:t xml:space="preserve"> both reactive</w:t>
      </w:r>
      <w:r w:rsidR="00112227" w:rsidRPr="00AD2577">
        <w:t>ly</w:t>
      </w:r>
      <w:r w:rsidR="006573D2" w:rsidRPr="00AD2577">
        <w:t xml:space="preserve"> and proactive</w:t>
      </w:r>
      <w:r w:rsidR="00112227" w:rsidRPr="00AD2577">
        <w:t>ly</w:t>
      </w:r>
      <w:r w:rsidR="006573D2" w:rsidRPr="00AD2577">
        <w:t>.</w:t>
      </w:r>
    </w:p>
    <w:p w14:paraId="7BF23040" w14:textId="4C270345" w:rsidR="00BB14BC" w:rsidRPr="00AD2577" w:rsidRDefault="00BB14BC" w:rsidP="0024374B">
      <w:pPr>
        <w:pStyle w:val="Outline1"/>
      </w:pPr>
      <w:r w:rsidRPr="00AD2577">
        <w:t>Reactive Factors</w:t>
      </w:r>
      <w:r w:rsidR="00A74760" w:rsidRPr="00AD2577">
        <w:t xml:space="preserve">: </w:t>
      </w:r>
      <w:r w:rsidR="005D7B69" w:rsidRPr="00AD2577">
        <w:rPr>
          <w:i/>
        </w:rPr>
        <w:t xml:space="preserve">See </w:t>
      </w:r>
      <w:r w:rsidR="00060F83" w:rsidRPr="00AD2577">
        <w:rPr>
          <w:i/>
        </w:rPr>
        <w:t xml:space="preserve">Exhibit </w:t>
      </w:r>
      <w:r w:rsidR="005D7B69" w:rsidRPr="00AD2577">
        <w:rPr>
          <w:i/>
        </w:rPr>
        <w:t>1.4.</w:t>
      </w:r>
      <w:r w:rsidR="005D7B69" w:rsidRPr="00AD2577">
        <w:t xml:space="preserve"> </w:t>
      </w:r>
      <w:r w:rsidR="00A74760" w:rsidRPr="00AD2577">
        <w:t xml:space="preserve">Pressures from various groups and changes in the environment require that accounting theory and procedures </w:t>
      </w:r>
      <w:r w:rsidR="00E35478" w:rsidRPr="00AD2577">
        <w:t>evolve</w:t>
      </w:r>
      <w:r w:rsidR="00A74760" w:rsidRPr="00AD2577">
        <w:t xml:space="preserve"> to meet the changes.</w:t>
      </w:r>
      <w:r w:rsidR="002F1033" w:rsidRPr="00AD2577">
        <w:t xml:space="preserve"> </w:t>
      </w:r>
      <w:r w:rsidR="00A74760" w:rsidRPr="00AD2577">
        <w:rPr>
          <w:b/>
        </w:rPr>
        <w:t xml:space="preserve">Example: </w:t>
      </w:r>
      <w:r w:rsidR="00A74760" w:rsidRPr="00AD2577">
        <w:t>FASB made changes to accounting for off-balance</w:t>
      </w:r>
      <w:r w:rsidR="0025416B" w:rsidRPr="00AD2577">
        <w:t>-</w:t>
      </w:r>
      <w:r w:rsidR="00A74760" w:rsidRPr="00AD2577">
        <w:t>sheet subsidiaries following the discover</w:t>
      </w:r>
      <w:r w:rsidR="002E5A2A" w:rsidRPr="00AD2577">
        <w:t>y</w:t>
      </w:r>
      <w:r w:rsidR="00A74760" w:rsidRPr="00AD2577">
        <w:t xml:space="preserve"> of the fraud scheme at Enron in the early 2000s.</w:t>
      </w:r>
    </w:p>
    <w:p w14:paraId="0B051E7B" w14:textId="77777777" w:rsidR="00002715" w:rsidRPr="00AD2577" w:rsidRDefault="00BB14BC" w:rsidP="00B85C64">
      <w:pPr>
        <w:pStyle w:val="Outline1"/>
      </w:pPr>
      <w:r w:rsidRPr="00AD2577">
        <w:t>Proactive Factors</w:t>
      </w:r>
      <w:r w:rsidR="005D7B69" w:rsidRPr="00AD2577">
        <w:t xml:space="preserve">: </w:t>
      </w:r>
      <w:r w:rsidR="002E5A2A" w:rsidRPr="00AD2577">
        <w:t>Changes in financial accounting can influence the environment by providing feedback information and can influence managerial behavior.</w:t>
      </w:r>
    </w:p>
    <w:p w14:paraId="57C7339A" w14:textId="37E508D8" w:rsidR="008518D1" w:rsidRPr="00AD2577" w:rsidRDefault="008518D1" w:rsidP="0024374B">
      <w:pPr>
        <w:pStyle w:val="2head"/>
      </w:pPr>
      <w:r w:rsidRPr="00AD2577">
        <w:t xml:space="preserve">Learning </w:t>
      </w:r>
      <w:r w:rsidR="00002715" w:rsidRPr="00AD2577">
        <w:t xml:space="preserve">Objective </w:t>
      </w:r>
      <w:r w:rsidRPr="00AD2577">
        <w:t>2</w:t>
      </w:r>
      <w:r w:rsidR="00297801" w:rsidRPr="00AD2577">
        <w:t>:</w:t>
      </w:r>
      <w:r w:rsidR="00A473DC" w:rsidRPr="00AD2577">
        <w:t xml:space="preserve"> Role of Standard Setters</w:t>
      </w:r>
    </w:p>
    <w:p w14:paraId="655975E6" w14:textId="77777777" w:rsidR="00002715" w:rsidRPr="00AD2577" w:rsidRDefault="00A473DC" w:rsidP="0007314C">
      <w:pPr>
        <w:pStyle w:val="OutlineI"/>
        <w:numPr>
          <w:ilvl w:val="0"/>
          <w:numId w:val="17"/>
        </w:numPr>
        <w:ind w:left="360" w:hanging="360"/>
      </w:pPr>
      <w:r w:rsidRPr="00AD2577">
        <w:t>Standard setters w</w:t>
      </w:r>
      <w:r w:rsidR="00101888" w:rsidRPr="00AD2577">
        <w:t>ork to develop concepts, rules, and guidelines for financial reporting that will satisfy the requirement to provide financial information that is accurate.</w:t>
      </w:r>
      <w:r w:rsidR="002F1033" w:rsidRPr="00AD2577">
        <w:t xml:space="preserve"> </w:t>
      </w:r>
      <w:r w:rsidRPr="00AD2577">
        <w:t>They e</w:t>
      </w:r>
      <w:r w:rsidR="00101888" w:rsidRPr="00AD2577">
        <w:t>ncourage transparency and truthful reporting.</w:t>
      </w:r>
    </w:p>
    <w:p w14:paraId="0FC49AFF" w14:textId="5E6F0D2E" w:rsidR="00BB14BC" w:rsidRPr="00AD2577" w:rsidRDefault="0007314C" w:rsidP="0007314C">
      <w:pPr>
        <w:pStyle w:val="OutlineA0"/>
      </w:pPr>
      <w:r w:rsidRPr="00AD2577">
        <w:t xml:space="preserve">The Importance of Understanding International Accounting Standards: </w:t>
      </w:r>
      <w:r w:rsidR="00096B1C" w:rsidRPr="00AD2577">
        <w:rPr>
          <w:i/>
        </w:rPr>
        <w:t xml:space="preserve">See </w:t>
      </w:r>
      <w:r w:rsidR="00060F83" w:rsidRPr="00AD2577">
        <w:rPr>
          <w:i/>
        </w:rPr>
        <w:t xml:space="preserve">Exhibit </w:t>
      </w:r>
      <w:r w:rsidR="00096B1C" w:rsidRPr="00AD2577">
        <w:rPr>
          <w:i/>
        </w:rPr>
        <w:t>1.5.</w:t>
      </w:r>
    </w:p>
    <w:p w14:paraId="047AD84C" w14:textId="33DC34D8" w:rsidR="00096B1C" w:rsidRPr="00AD2577" w:rsidRDefault="00096B1C" w:rsidP="00BD4C3A">
      <w:pPr>
        <w:pStyle w:val="BulletA"/>
      </w:pPr>
      <w:r w:rsidRPr="00AD2577">
        <w:t>U.S. companies operate subsidiaries outside of the United States.</w:t>
      </w:r>
      <w:r w:rsidR="00002715" w:rsidRPr="00AD2577">
        <w:t xml:space="preserve"> </w:t>
      </w:r>
      <w:r w:rsidR="0007314C" w:rsidRPr="00AD2577">
        <w:t>Many of these subsidiaries report under IFRS.</w:t>
      </w:r>
    </w:p>
    <w:p w14:paraId="77C87CCD" w14:textId="6A4EBAF3" w:rsidR="00096B1C" w:rsidRPr="00AD2577" w:rsidRDefault="00096B1C" w:rsidP="00BD4C3A">
      <w:pPr>
        <w:pStyle w:val="BulletA"/>
      </w:pPr>
      <w:r w:rsidRPr="00AD2577">
        <w:t>Non-U.S. compani</w:t>
      </w:r>
      <w:r w:rsidR="0007314C" w:rsidRPr="00AD2577">
        <w:t>es operate in the United States and prepare their financial statements using IFRS.</w:t>
      </w:r>
    </w:p>
    <w:p w14:paraId="6F7C69FC" w14:textId="77777777" w:rsidR="00002715" w:rsidRPr="00AD2577" w:rsidRDefault="00096B1C" w:rsidP="00BD4C3A">
      <w:pPr>
        <w:pStyle w:val="BulletA"/>
      </w:pPr>
      <w:r w:rsidRPr="00AD2577">
        <w:t xml:space="preserve">The SEC permits the use of IFRS-based </w:t>
      </w:r>
      <w:r w:rsidR="00607E98" w:rsidRPr="00AD2577">
        <w:t>financial</w:t>
      </w:r>
      <w:r w:rsidRPr="00AD2577">
        <w:t xml:space="preserve"> statements by international </w:t>
      </w:r>
      <w:r w:rsidR="00607E98" w:rsidRPr="00AD2577">
        <w:t>companies</w:t>
      </w:r>
      <w:r w:rsidRPr="00AD2577">
        <w:t xml:space="preserve"> with shares trading on the U.S. stock exchanges.</w:t>
      </w:r>
    </w:p>
    <w:p w14:paraId="3BC621D8" w14:textId="77777777" w:rsidR="00002715" w:rsidRPr="00AD2577" w:rsidRDefault="00096B1C" w:rsidP="00BD4C3A">
      <w:pPr>
        <w:pStyle w:val="BulletA"/>
      </w:pPr>
      <w:r w:rsidRPr="00AD2577">
        <w:t xml:space="preserve">The SEC </w:t>
      </w:r>
      <w:r w:rsidR="0007314C" w:rsidRPr="00AD2577">
        <w:t>promotes high-quality, globally accepted accounting standards</w:t>
      </w:r>
      <w:r w:rsidRPr="00AD2577">
        <w:t>.</w:t>
      </w:r>
    </w:p>
    <w:p w14:paraId="03B79567" w14:textId="77777777" w:rsidR="00002715" w:rsidRPr="00AD2577" w:rsidRDefault="00E42A49" w:rsidP="00BD4C3A">
      <w:pPr>
        <w:pStyle w:val="BulletA"/>
      </w:pPr>
      <w:r w:rsidRPr="00AD2577">
        <w:t>Many U.S. a</w:t>
      </w:r>
      <w:r w:rsidR="00096B1C" w:rsidRPr="00AD2577">
        <w:t xml:space="preserve">ccountants now spend time working </w:t>
      </w:r>
      <w:r w:rsidR="00607E98" w:rsidRPr="00AD2577">
        <w:t>outside</w:t>
      </w:r>
      <w:r w:rsidR="00096B1C" w:rsidRPr="00AD2577">
        <w:t xml:space="preserve"> the United States.</w:t>
      </w:r>
    </w:p>
    <w:p w14:paraId="4078DB49" w14:textId="77777777" w:rsidR="00002715" w:rsidRPr="00AD2577" w:rsidRDefault="00096B1C" w:rsidP="00BD4C3A">
      <w:pPr>
        <w:pStyle w:val="BulletA"/>
      </w:pPr>
      <w:r w:rsidRPr="00AD2577">
        <w:t>The accounting profession has determined that working knowledge of IFRS is important.</w:t>
      </w:r>
    </w:p>
    <w:p w14:paraId="6E936A71" w14:textId="1FEDC6C4" w:rsidR="008518D1" w:rsidRPr="00AD2577" w:rsidRDefault="008518D1" w:rsidP="0024374B">
      <w:pPr>
        <w:pStyle w:val="2head"/>
      </w:pPr>
      <w:r w:rsidRPr="00AD2577">
        <w:t xml:space="preserve">Learning </w:t>
      </w:r>
      <w:r w:rsidR="00002715" w:rsidRPr="00AD2577">
        <w:t xml:space="preserve">Objective </w:t>
      </w:r>
      <w:r w:rsidRPr="00AD2577">
        <w:t>3</w:t>
      </w:r>
      <w:r w:rsidR="00297801" w:rsidRPr="00AD2577">
        <w:t>:</w:t>
      </w:r>
      <w:r w:rsidR="008F3DD5" w:rsidRPr="00AD2577">
        <w:t xml:space="preserve"> The Standard-Setting Process</w:t>
      </w:r>
    </w:p>
    <w:p w14:paraId="394804D8" w14:textId="624FFEA9" w:rsidR="00002715" w:rsidRPr="00AD2577" w:rsidRDefault="0025416B" w:rsidP="00491276">
      <w:pPr>
        <w:pStyle w:val="OutlineI"/>
        <w:numPr>
          <w:ilvl w:val="0"/>
          <w:numId w:val="18"/>
        </w:numPr>
        <w:ind w:left="360" w:hanging="360"/>
      </w:pPr>
      <w:r w:rsidRPr="00AD2577">
        <w:t xml:space="preserve">The </w:t>
      </w:r>
      <w:r w:rsidR="00B7643B" w:rsidRPr="00AD2577">
        <w:t xml:space="preserve">FASB sets </w:t>
      </w:r>
      <w:r w:rsidR="00060F83" w:rsidRPr="00AD2577">
        <w:t xml:space="preserve">U.S. </w:t>
      </w:r>
      <w:r w:rsidR="00B7643B" w:rsidRPr="00AD2577">
        <w:t>accounting standards</w:t>
      </w:r>
      <w:r w:rsidRPr="00AD2577">
        <w:t>,</w:t>
      </w:r>
      <w:r w:rsidR="00B7643B" w:rsidRPr="00AD2577">
        <w:t xml:space="preserve"> and the IASB sets global accounting standards.</w:t>
      </w:r>
    </w:p>
    <w:p w14:paraId="154126E9" w14:textId="77815FE0" w:rsidR="00A81271" w:rsidRPr="00AD2577" w:rsidRDefault="00BB14BC" w:rsidP="0024374B">
      <w:pPr>
        <w:pStyle w:val="OutlineA0"/>
      </w:pPr>
      <w:r w:rsidRPr="00AD2577">
        <w:t>Standard Setting</w:t>
      </w:r>
      <w:r w:rsidR="00B2611B" w:rsidRPr="00AD2577">
        <w:t xml:space="preserve">: </w:t>
      </w:r>
      <w:r w:rsidR="00B2611B" w:rsidRPr="00AD2577">
        <w:rPr>
          <w:i/>
        </w:rPr>
        <w:t xml:space="preserve">See </w:t>
      </w:r>
      <w:r w:rsidR="00060F83" w:rsidRPr="00AD2577">
        <w:rPr>
          <w:i/>
        </w:rPr>
        <w:t xml:space="preserve">Exhibit </w:t>
      </w:r>
      <w:r w:rsidR="00B2611B" w:rsidRPr="00AD2577">
        <w:rPr>
          <w:i/>
        </w:rPr>
        <w:t>1.6</w:t>
      </w:r>
      <w:r w:rsidR="00D01AA8" w:rsidRPr="00AD2577">
        <w:rPr>
          <w:i/>
        </w:rPr>
        <w:t>.</w:t>
      </w:r>
    </w:p>
    <w:p w14:paraId="4F49FBE8" w14:textId="77777777" w:rsidR="00002715" w:rsidRPr="00AD2577" w:rsidRDefault="00BB14BC" w:rsidP="0024374B">
      <w:pPr>
        <w:pStyle w:val="Outline1"/>
      </w:pPr>
      <w:r w:rsidRPr="00AD2577">
        <w:t>History of Standard Setting</w:t>
      </w:r>
    </w:p>
    <w:p w14:paraId="34504C3E" w14:textId="77777777" w:rsidR="00002715" w:rsidRPr="00AD2577" w:rsidRDefault="003D43BB" w:rsidP="00CE6899">
      <w:pPr>
        <w:pStyle w:val="Outlinea"/>
        <w:numPr>
          <w:ilvl w:val="0"/>
          <w:numId w:val="13"/>
        </w:numPr>
        <w:ind w:left="1440"/>
      </w:pPr>
      <w:r w:rsidRPr="00AD2577">
        <w:t>Began with the</w:t>
      </w:r>
      <w:r w:rsidR="006D55E1" w:rsidRPr="00AD2577">
        <w:t xml:space="preserve"> Securities Exchange Act of 1934</w:t>
      </w:r>
      <w:r w:rsidR="0010526C" w:rsidRPr="00AD2577">
        <w:t>,</w:t>
      </w:r>
      <w:r w:rsidRPr="00AD2577">
        <w:t xml:space="preserve"> which gave the SEC the power </w:t>
      </w:r>
      <w:r w:rsidR="008E592B" w:rsidRPr="00AD2577">
        <w:t>to</w:t>
      </w:r>
      <w:r w:rsidRPr="00AD2577">
        <w:t xml:space="preserve"> promulgate accounting stand</w:t>
      </w:r>
      <w:r w:rsidR="008E592B" w:rsidRPr="00AD2577">
        <w:t>ards for all publicly traded fir</w:t>
      </w:r>
      <w:r w:rsidRPr="00AD2577">
        <w:t>ms.</w:t>
      </w:r>
    </w:p>
    <w:p w14:paraId="4F97B07D" w14:textId="7FEF0997" w:rsidR="003D43BB" w:rsidRPr="00AD2577" w:rsidRDefault="003D43BB" w:rsidP="00DD6FDE">
      <w:pPr>
        <w:pStyle w:val="Outlinea"/>
      </w:pPr>
      <w:r w:rsidRPr="00AD2577">
        <w:t>The Committee on Accounting Procedures (CAP) was form</w:t>
      </w:r>
      <w:r w:rsidR="008B6447" w:rsidRPr="00AD2577">
        <w:t>ed</w:t>
      </w:r>
      <w:r w:rsidRPr="00AD2577">
        <w:t xml:space="preserve"> in 1939 as a subcommittee of the AICPA to reduce </w:t>
      </w:r>
      <w:r w:rsidR="008E592B" w:rsidRPr="00AD2577">
        <w:t>inconsistencies</w:t>
      </w:r>
      <w:r w:rsidRPr="00AD2577">
        <w:t xml:space="preserve"> and the number of accounting methods. CAP produced 51 standards known as Accounting Research Bulletins (ARBs or </w:t>
      </w:r>
      <w:r w:rsidR="0025416B" w:rsidRPr="00AD2577">
        <w:t>Bulletins</w:t>
      </w:r>
      <w:r w:rsidRPr="00AD2577">
        <w:t>)</w:t>
      </w:r>
      <w:r w:rsidR="008E592B" w:rsidRPr="00AD2577">
        <w:t>.</w:t>
      </w:r>
    </w:p>
    <w:p w14:paraId="46D9ED2B" w14:textId="6689C48E" w:rsidR="00002715" w:rsidRPr="00AD2577" w:rsidRDefault="0096263F" w:rsidP="00DD6FDE">
      <w:pPr>
        <w:pStyle w:val="Outlinea"/>
      </w:pPr>
      <w:r w:rsidRPr="00AD2577">
        <w:t xml:space="preserve">The </w:t>
      </w:r>
      <w:r w:rsidR="003D43BB" w:rsidRPr="00AD2577">
        <w:t xml:space="preserve">Accounting Principles Board (APB) </w:t>
      </w:r>
      <w:r w:rsidR="008E592B" w:rsidRPr="00AD2577">
        <w:t xml:space="preserve">was also formed as a subcommittee of the AICPA and </w:t>
      </w:r>
      <w:r w:rsidR="003D43BB" w:rsidRPr="00AD2577">
        <w:t>replaced CAP in 1959</w:t>
      </w:r>
      <w:r w:rsidR="008E592B" w:rsidRPr="00AD2577">
        <w:t xml:space="preserve">. </w:t>
      </w:r>
      <w:r w:rsidR="007C7718" w:rsidRPr="00AD2577">
        <w:t>APB i</w:t>
      </w:r>
      <w:r w:rsidR="008E592B" w:rsidRPr="00AD2577">
        <w:t xml:space="preserve">ssued 31 APB Opinions and </w:t>
      </w:r>
      <w:r w:rsidR="00B861F2" w:rsidRPr="00AD2577">
        <w:t xml:space="preserve">4 </w:t>
      </w:r>
      <w:r w:rsidR="008E592B" w:rsidRPr="00AD2577">
        <w:t>APB Statements.</w:t>
      </w:r>
    </w:p>
    <w:p w14:paraId="280BC0E2" w14:textId="77777777" w:rsidR="00002715" w:rsidRPr="00AD2577" w:rsidRDefault="008E592B" w:rsidP="00DD6FDE">
      <w:pPr>
        <w:pStyle w:val="Outlinea"/>
      </w:pPr>
      <w:r w:rsidRPr="00AD2577">
        <w:t>The Financial Accounting Standards Board (FASB) replaced the APB in 1973. Not a subcommittee of the AICPA and not affiliated with any professional organization.</w:t>
      </w:r>
      <w:r w:rsidR="002F1033" w:rsidRPr="00AD2577">
        <w:t xml:space="preserve"> </w:t>
      </w:r>
      <w:r w:rsidRPr="00AD2577">
        <w:t>Issues Accounting Standards U</w:t>
      </w:r>
      <w:r w:rsidR="00BB6B07" w:rsidRPr="00AD2577">
        <w:t>p</w:t>
      </w:r>
      <w:r w:rsidRPr="00AD2577">
        <w:t>dates (ASUs) as part of the Accounting Standards Codifications (ASC).</w:t>
      </w:r>
    </w:p>
    <w:p w14:paraId="325EC0FF" w14:textId="316C6FDA" w:rsidR="00F55F47" w:rsidRPr="00AD2577" w:rsidRDefault="008B6447" w:rsidP="0024374B">
      <w:pPr>
        <w:pStyle w:val="Outline1"/>
      </w:pPr>
      <w:r w:rsidRPr="00AD2577">
        <w:t xml:space="preserve">The </w:t>
      </w:r>
      <w:r w:rsidR="00A81271" w:rsidRPr="00AD2577">
        <w:t>Standard-</w:t>
      </w:r>
      <w:r w:rsidR="00BB14BC" w:rsidRPr="00AD2577">
        <w:t>Setting Structure</w:t>
      </w:r>
      <w:r w:rsidR="008E592B" w:rsidRPr="00AD2577">
        <w:t>:</w:t>
      </w:r>
      <w:r w:rsidR="003E3154" w:rsidRPr="00AD2577">
        <w:t xml:space="preserve"> </w:t>
      </w:r>
      <w:r w:rsidR="003E3154" w:rsidRPr="00AD2577">
        <w:rPr>
          <w:i/>
        </w:rPr>
        <w:t xml:space="preserve">See </w:t>
      </w:r>
      <w:r w:rsidR="00060F83" w:rsidRPr="00AD2577">
        <w:rPr>
          <w:i/>
        </w:rPr>
        <w:t xml:space="preserve">Exhibit </w:t>
      </w:r>
      <w:r w:rsidR="003E3154" w:rsidRPr="00AD2577">
        <w:rPr>
          <w:i/>
        </w:rPr>
        <w:t>1.7</w:t>
      </w:r>
      <w:r w:rsidR="00F55F47" w:rsidRPr="00AD2577">
        <w:rPr>
          <w:i/>
        </w:rPr>
        <w:t>.</w:t>
      </w:r>
      <w:r w:rsidR="002F1033" w:rsidRPr="00AD2577">
        <w:rPr>
          <w:i/>
        </w:rPr>
        <w:t xml:space="preserve"> </w:t>
      </w:r>
      <w:r w:rsidR="00F55F47" w:rsidRPr="00AD2577">
        <w:t>The FASB is part of a larger organizational structure that also includes:</w:t>
      </w:r>
    </w:p>
    <w:p w14:paraId="465900BA" w14:textId="77777777" w:rsidR="00002715" w:rsidRPr="00AD2577" w:rsidRDefault="00F55F47" w:rsidP="00CE6899">
      <w:pPr>
        <w:pStyle w:val="Outlinea"/>
        <w:numPr>
          <w:ilvl w:val="0"/>
          <w:numId w:val="14"/>
        </w:numPr>
        <w:ind w:left="1440"/>
      </w:pPr>
      <w:r w:rsidRPr="00AD2577">
        <w:t>Financial Accounting Foundation (FAF): Responsible for the oversight, administration, and finances of the FASB.</w:t>
      </w:r>
    </w:p>
    <w:p w14:paraId="4F36C0C1" w14:textId="65F36AE7" w:rsidR="00F55F47" w:rsidRPr="00AD2577" w:rsidRDefault="00F55F47" w:rsidP="00DD6FDE">
      <w:pPr>
        <w:pStyle w:val="Outlinea"/>
      </w:pPr>
      <w:r w:rsidRPr="00AD2577">
        <w:t>Governmental Accounting Standards Board (GASB): Sets standards for state and local governmental units.</w:t>
      </w:r>
    </w:p>
    <w:p w14:paraId="028D820F" w14:textId="77777777" w:rsidR="00F55F47" w:rsidRPr="00AD2577" w:rsidRDefault="00F55F47" w:rsidP="00DD6FDE">
      <w:pPr>
        <w:pStyle w:val="Outlinea"/>
      </w:pPr>
      <w:r w:rsidRPr="00AD2577">
        <w:t>Financial Accounting Standards Advisory Council (FASAC): Advises the FASB on technical issues.</w:t>
      </w:r>
    </w:p>
    <w:p w14:paraId="73675806" w14:textId="77777777" w:rsidR="00002715" w:rsidRPr="00AD2577" w:rsidRDefault="00F55F47" w:rsidP="00DD6FDE">
      <w:pPr>
        <w:pStyle w:val="Outlinea"/>
      </w:pPr>
      <w:r w:rsidRPr="00AD2577">
        <w:t>Governmental Accounting Stand</w:t>
      </w:r>
      <w:r w:rsidR="00E42A49" w:rsidRPr="00AD2577">
        <w:t>ards Advisory Council (GASAC): A</w:t>
      </w:r>
      <w:r w:rsidRPr="00AD2577">
        <w:t>dvises the GASB on technical issues.</w:t>
      </w:r>
    </w:p>
    <w:p w14:paraId="0D23817A" w14:textId="77777777" w:rsidR="00002715" w:rsidRPr="00AD2577" w:rsidRDefault="00F55F47" w:rsidP="00DD6FDE">
      <w:pPr>
        <w:pStyle w:val="Outlinea"/>
      </w:pPr>
      <w:r w:rsidRPr="00AD2577">
        <w:t>Emerging Issues Task Force (EITF): Formed in 1984 to assist the FASB by addressing issues that are not as broad in scope as those found on the GASB’s agenda.</w:t>
      </w:r>
    </w:p>
    <w:p w14:paraId="540B4472" w14:textId="77777777" w:rsidR="00002715" w:rsidRPr="00AD2577" w:rsidRDefault="00F55F47" w:rsidP="00DD6FDE">
      <w:pPr>
        <w:pStyle w:val="Outlinea"/>
      </w:pPr>
      <w:r w:rsidRPr="00AD2577">
        <w:t xml:space="preserve">Private </w:t>
      </w:r>
      <w:r w:rsidR="00620F7C" w:rsidRPr="00AD2577">
        <w:t>Company</w:t>
      </w:r>
      <w:r w:rsidR="00E42A49" w:rsidRPr="00AD2577">
        <w:t xml:space="preserve"> Council (PCC):</w:t>
      </w:r>
      <w:r w:rsidR="002F1033" w:rsidRPr="00AD2577">
        <w:t xml:space="preserve"> </w:t>
      </w:r>
      <w:r w:rsidR="00E42A49" w:rsidRPr="00AD2577">
        <w:t>E</w:t>
      </w:r>
      <w:r w:rsidRPr="00AD2577">
        <w:t>stablished to set accounting standar</w:t>
      </w:r>
      <w:r w:rsidR="00620F7C" w:rsidRPr="00AD2577">
        <w:t>d</w:t>
      </w:r>
      <w:r w:rsidRPr="00AD2577">
        <w:t>s for U.S. private companies.</w:t>
      </w:r>
    </w:p>
    <w:p w14:paraId="6A0A3409" w14:textId="262AD3C7" w:rsidR="00164307" w:rsidRPr="00AD2577" w:rsidRDefault="008B6447" w:rsidP="0024374B">
      <w:pPr>
        <w:pStyle w:val="Outline1"/>
      </w:pPr>
      <w:r w:rsidRPr="00AD2577">
        <w:t xml:space="preserve">The </w:t>
      </w:r>
      <w:r w:rsidR="00060F83" w:rsidRPr="00AD2577">
        <w:t>Standard-</w:t>
      </w:r>
      <w:r w:rsidR="00BB14BC" w:rsidRPr="00AD2577">
        <w:t>Setting Process</w:t>
      </w:r>
      <w:r w:rsidR="00620F7C" w:rsidRPr="00AD2577">
        <w:t xml:space="preserve">: </w:t>
      </w:r>
      <w:r w:rsidR="00060F83" w:rsidRPr="00AD2577">
        <w:t>Seven-step process as follows:</w:t>
      </w:r>
    </w:p>
    <w:p w14:paraId="247B1BF2" w14:textId="3F24854D" w:rsidR="0027212E" w:rsidRPr="00AD2577" w:rsidRDefault="0027212E" w:rsidP="00CE6899">
      <w:pPr>
        <w:pStyle w:val="Outlinea"/>
        <w:numPr>
          <w:ilvl w:val="0"/>
          <w:numId w:val="15"/>
        </w:numPr>
        <w:ind w:left="1440"/>
      </w:pPr>
      <w:r w:rsidRPr="00AD2577">
        <w:t>Step 1: Identification of an issue</w:t>
      </w:r>
      <w:r w:rsidR="00924900" w:rsidRPr="00AD2577">
        <w:t>: Based on recommendations from analysts, government agencies, and other market participants.</w:t>
      </w:r>
    </w:p>
    <w:p w14:paraId="21EBC678" w14:textId="36E46318" w:rsidR="0027212E" w:rsidRPr="00AD2577" w:rsidRDefault="0027212E" w:rsidP="00DD6FDE">
      <w:pPr>
        <w:pStyle w:val="Outlinea"/>
      </w:pPr>
      <w:r w:rsidRPr="00AD2577">
        <w:t>Step 2: Decision to pursue</w:t>
      </w:r>
      <w:r w:rsidR="00924900" w:rsidRPr="00AD2577">
        <w:t>: Chairperson decides to add the issue to the technical agenda.</w:t>
      </w:r>
    </w:p>
    <w:p w14:paraId="6D299BDE" w14:textId="7B84658D" w:rsidR="0027212E" w:rsidRPr="00AD2577" w:rsidRDefault="0027212E" w:rsidP="00DD6FDE">
      <w:pPr>
        <w:pStyle w:val="Outlinea"/>
      </w:pPr>
      <w:r w:rsidRPr="00AD2577">
        <w:t>Step 3: Public meetings</w:t>
      </w:r>
      <w:r w:rsidR="00924900" w:rsidRPr="00AD2577">
        <w:t xml:space="preserve">: </w:t>
      </w:r>
      <w:r w:rsidR="007E07F0" w:rsidRPr="00AD2577">
        <w:t>To d</w:t>
      </w:r>
      <w:r w:rsidR="00924900" w:rsidRPr="00AD2577">
        <w:t>eliberate the various issues.</w:t>
      </w:r>
    </w:p>
    <w:p w14:paraId="704D8F47" w14:textId="1A63A324" w:rsidR="0027212E" w:rsidRPr="00AD2577" w:rsidRDefault="0027212E" w:rsidP="00DD6FDE">
      <w:pPr>
        <w:pStyle w:val="Outlinea"/>
      </w:pPr>
      <w:r w:rsidRPr="00AD2577">
        <w:t xml:space="preserve">Step 4: Exposure </w:t>
      </w:r>
      <w:r w:rsidR="00B11376" w:rsidRPr="00AD2577">
        <w:t xml:space="preserve">Draft </w:t>
      </w:r>
      <w:r w:rsidR="00924900" w:rsidRPr="00AD2577">
        <w:t>(ED): Issued by the board to solicit input from financial statement preparers, auditors, and user of financial statements.</w:t>
      </w:r>
    </w:p>
    <w:p w14:paraId="6A7E8BE7" w14:textId="2366540A" w:rsidR="0027212E" w:rsidRPr="00AD2577" w:rsidRDefault="0027212E" w:rsidP="00DD6FDE">
      <w:pPr>
        <w:pStyle w:val="Outlinea"/>
      </w:pPr>
      <w:r w:rsidRPr="00AD2577">
        <w:t>Step 5: Public roundtables</w:t>
      </w:r>
      <w:r w:rsidR="00924900" w:rsidRPr="00AD2577">
        <w:t>: To discuss the ED.</w:t>
      </w:r>
    </w:p>
    <w:p w14:paraId="13CA1987" w14:textId="204C7224" w:rsidR="0027212E" w:rsidRPr="00AD2577" w:rsidRDefault="0027212E" w:rsidP="00DD6FDE">
      <w:pPr>
        <w:pStyle w:val="Outlinea"/>
      </w:pPr>
      <w:r w:rsidRPr="00AD2577">
        <w:t>Step 6: Redeliberation</w:t>
      </w:r>
      <w:r w:rsidR="00924900" w:rsidRPr="00AD2577">
        <w:t>: Based on comment</w:t>
      </w:r>
      <w:r w:rsidR="00B607FC" w:rsidRPr="00AD2577">
        <w:t>s</w:t>
      </w:r>
      <w:r w:rsidR="00924900" w:rsidRPr="00AD2577">
        <w:t xml:space="preserve"> from financial statement preparers, auditors, and user of financial statements</w:t>
      </w:r>
      <w:r w:rsidR="00B607FC" w:rsidRPr="00AD2577">
        <w:t>, as well as the roundtable discussions and any other information.</w:t>
      </w:r>
    </w:p>
    <w:p w14:paraId="4B420624" w14:textId="7C7A2840" w:rsidR="0027212E" w:rsidRPr="00AD2577" w:rsidRDefault="0027212E" w:rsidP="00DD6FDE">
      <w:pPr>
        <w:pStyle w:val="Outlinea"/>
      </w:pPr>
      <w:r w:rsidRPr="00AD2577">
        <w:t>Step 7: Publication of the final standard</w:t>
      </w:r>
      <w:r w:rsidR="00B607FC" w:rsidRPr="00AD2577">
        <w:t>: Issues and ASU, which will be incorporated into the codification of U.S. GAAP.</w:t>
      </w:r>
    </w:p>
    <w:p w14:paraId="761DFB78" w14:textId="2CFD0E1D" w:rsidR="00160244" w:rsidRPr="00AD2577" w:rsidRDefault="00160244" w:rsidP="00DD6FDE">
      <w:pPr>
        <w:pStyle w:val="2head"/>
        <w:rPr>
          <w:color w:val="385623" w:themeColor="accent6" w:themeShade="80"/>
        </w:rPr>
      </w:pPr>
      <w:r w:rsidRPr="00AD2577">
        <w:rPr>
          <w:color w:val="385623" w:themeColor="accent6" w:themeShade="80"/>
        </w:rPr>
        <w:t>IFRS Breakaway</w:t>
      </w:r>
    </w:p>
    <w:p w14:paraId="33C12345" w14:textId="72690350" w:rsidR="00160244" w:rsidRPr="00AD2577" w:rsidRDefault="00C6019F" w:rsidP="00C6019F">
      <w:pPr>
        <w:pStyle w:val="OutlineI"/>
        <w:numPr>
          <w:ilvl w:val="0"/>
          <w:numId w:val="0"/>
        </w:numPr>
        <w:ind w:left="360" w:hanging="360"/>
        <w:rPr>
          <w:color w:val="385623" w:themeColor="accent6" w:themeShade="80"/>
        </w:rPr>
      </w:pPr>
      <w:r>
        <w:rPr>
          <w:color w:val="385623" w:themeColor="accent6" w:themeShade="80"/>
        </w:rPr>
        <w:t>II.</w:t>
      </w:r>
      <w:r>
        <w:rPr>
          <w:color w:val="385623" w:themeColor="accent6" w:themeShade="80"/>
        </w:rPr>
        <w:tab/>
      </w:r>
      <w:r w:rsidR="00160244" w:rsidRPr="00AD2577">
        <w:rPr>
          <w:color w:val="385623" w:themeColor="accent6" w:themeShade="80"/>
        </w:rPr>
        <w:t>IFRS Standard Setting</w:t>
      </w:r>
    </w:p>
    <w:p w14:paraId="718DD9FF" w14:textId="6BC19C0D" w:rsidR="00002715" w:rsidRPr="00AD2577" w:rsidRDefault="00C6019F" w:rsidP="00C6019F">
      <w:pPr>
        <w:pStyle w:val="OutlineA0"/>
        <w:numPr>
          <w:ilvl w:val="0"/>
          <w:numId w:val="0"/>
        </w:numPr>
        <w:ind w:left="720" w:hanging="360"/>
        <w:rPr>
          <w:color w:val="385623" w:themeColor="accent6" w:themeShade="80"/>
        </w:rPr>
      </w:pPr>
      <w:r>
        <w:rPr>
          <w:color w:val="385623" w:themeColor="accent6" w:themeShade="80"/>
        </w:rPr>
        <w:t>A.</w:t>
      </w:r>
      <w:r>
        <w:rPr>
          <w:color w:val="385623" w:themeColor="accent6" w:themeShade="80"/>
        </w:rPr>
        <w:tab/>
      </w:r>
      <w:r w:rsidR="00160244" w:rsidRPr="00AD2577">
        <w:rPr>
          <w:color w:val="385623" w:themeColor="accent6" w:themeShade="80"/>
        </w:rPr>
        <w:t>History of Global Standard Setting</w:t>
      </w:r>
      <w:r w:rsidR="002E7868" w:rsidRPr="00AD2577">
        <w:rPr>
          <w:color w:val="385623" w:themeColor="accent6" w:themeShade="80"/>
        </w:rPr>
        <w:t>:</w:t>
      </w:r>
      <w:r w:rsidR="00D5731D" w:rsidRPr="00AD2577">
        <w:rPr>
          <w:color w:val="385623" w:themeColor="accent6" w:themeShade="80"/>
        </w:rPr>
        <w:t xml:space="preserve"> </w:t>
      </w:r>
      <w:r w:rsidR="00D5731D" w:rsidRPr="00AD2577">
        <w:rPr>
          <w:i/>
          <w:color w:val="385623" w:themeColor="accent6" w:themeShade="80"/>
        </w:rPr>
        <w:t>See Exhibit 1.8.</w:t>
      </w:r>
      <w:r w:rsidR="002E7868" w:rsidRPr="00AD2577">
        <w:rPr>
          <w:color w:val="385623" w:themeColor="accent6" w:themeShade="80"/>
        </w:rPr>
        <w:t xml:space="preserve"> </w:t>
      </w:r>
      <w:r w:rsidR="00D5731D" w:rsidRPr="00AD2577">
        <w:rPr>
          <w:color w:val="385623" w:themeColor="accent6" w:themeShade="80"/>
        </w:rPr>
        <w:t>Most countries have historically had their own accounting standards.</w:t>
      </w:r>
      <w:r w:rsidR="002F1033" w:rsidRPr="00AD2577">
        <w:rPr>
          <w:color w:val="385623" w:themeColor="accent6" w:themeShade="80"/>
        </w:rPr>
        <w:t xml:space="preserve"> </w:t>
      </w:r>
      <w:r w:rsidR="00D5731D" w:rsidRPr="00AD2577">
        <w:rPr>
          <w:color w:val="385623" w:themeColor="accent6" w:themeShade="80"/>
        </w:rPr>
        <w:t>With almost 200 countries in the world</w:t>
      </w:r>
      <w:r w:rsidR="00A81C70" w:rsidRPr="00AD2577">
        <w:rPr>
          <w:color w:val="385623" w:themeColor="accent6" w:themeShade="80"/>
        </w:rPr>
        <w:t>,</w:t>
      </w:r>
      <w:r w:rsidR="00D5731D" w:rsidRPr="00AD2577">
        <w:rPr>
          <w:color w:val="385623" w:themeColor="accent6" w:themeShade="80"/>
        </w:rPr>
        <w:t xml:space="preserve"> investors and creditors struggled to compare accounting stand</w:t>
      </w:r>
      <w:r w:rsidR="00A81C70" w:rsidRPr="00AD2577">
        <w:rPr>
          <w:color w:val="385623" w:themeColor="accent6" w:themeShade="80"/>
        </w:rPr>
        <w:t>ard</w:t>
      </w:r>
      <w:r w:rsidR="00D5731D" w:rsidRPr="00AD2577">
        <w:rPr>
          <w:color w:val="385623" w:themeColor="accent6" w:themeShade="80"/>
        </w:rPr>
        <w:t>s when analyzing companies and making investment decision</w:t>
      </w:r>
      <w:r w:rsidR="008B6447" w:rsidRPr="00AD2577">
        <w:rPr>
          <w:color w:val="385623" w:themeColor="accent6" w:themeShade="80"/>
        </w:rPr>
        <w:t>s</w:t>
      </w:r>
      <w:r w:rsidR="00D5731D" w:rsidRPr="00AD2577">
        <w:rPr>
          <w:color w:val="385623" w:themeColor="accent6" w:themeShade="80"/>
        </w:rPr>
        <w:t>.</w:t>
      </w:r>
    </w:p>
    <w:p w14:paraId="5E20F722" w14:textId="235268DF" w:rsidR="00002715" w:rsidRPr="00AD2577" w:rsidRDefault="00C6019F" w:rsidP="00C6019F">
      <w:pPr>
        <w:pStyle w:val="Outline1"/>
        <w:numPr>
          <w:ilvl w:val="0"/>
          <w:numId w:val="0"/>
        </w:numPr>
        <w:ind w:left="1080" w:hanging="360"/>
        <w:rPr>
          <w:color w:val="385623" w:themeColor="accent6" w:themeShade="80"/>
        </w:rPr>
      </w:pPr>
      <w:r>
        <w:rPr>
          <w:color w:val="385623" w:themeColor="accent6" w:themeShade="80"/>
        </w:rPr>
        <w:t>1.</w:t>
      </w:r>
      <w:r>
        <w:rPr>
          <w:color w:val="385623" w:themeColor="accent6" w:themeShade="80"/>
        </w:rPr>
        <w:tab/>
      </w:r>
      <w:r w:rsidR="00D5731D" w:rsidRPr="00AD2577">
        <w:rPr>
          <w:color w:val="385623" w:themeColor="accent6" w:themeShade="80"/>
        </w:rPr>
        <w:t>The International Accounting Standards Committee (IASC)</w:t>
      </w:r>
      <w:r w:rsidR="00060F83" w:rsidRPr="00AD2577">
        <w:rPr>
          <w:color w:val="385623" w:themeColor="accent6" w:themeShade="80"/>
        </w:rPr>
        <w:t xml:space="preserve"> was</w:t>
      </w:r>
      <w:r w:rsidR="00D5731D" w:rsidRPr="00AD2577">
        <w:rPr>
          <w:color w:val="385623" w:themeColor="accent6" w:themeShade="80"/>
        </w:rPr>
        <w:t xml:space="preserve"> organized in 1973 </w:t>
      </w:r>
      <w:r w:rsidR="0032583E" w:rsidRPr="00AD2577">
        <w:rPr>
          <w:color w:val="385623" w:themeColor="accent6" w:themeShade="80"/>
        </w:rPr>
        <w:t>because of</w:t>
      </w:r>
      <w:r w:rsidR="00D5731D" w:rsidRPr="00AD2577">
        <w:rPr>
          <w:color w:val="385623" w:themeColor="accent6" w:themeShade="80"/>
        </w:rPr>
        <w:t xml:space="preserve"> a need for comparability.</w:t>
      </w:r>
    </w:p>
    <w:p w14:paraId="2140A84B" w14:textId="0A558886" w:rsidR="00002715" w:rsidRPr="00AD2577" w:rsidRDefault="00C6019F" w:rsidP="00C6019F">
      <w:pPr>
        <w:pStyle w:val="Outline1"/>
        <w:numPr>
          <w:ilvl w:val="0"/>
          <w:numId w:val="0"/>
        </w:numPr>
        <w:ind w:left="1080" w:hanging="360"/>
        <w:rPr>
          <w:color w:val="385623" w:themeColor="accent6" w:themeShade="80"/>
        </w:rPr>
      </w:pPr>
      <w:r>
        <w:rPr>
          <w:color w:val="385623" w:themeColor="accent6" w:themeShade="80"/>
        </w:rPr>
        <w:t>2.</w:t>
      </w:r>
      <w:r>
        <w:rPr>
          <w:color w:val="385623" w:themeColor="accent6" w:themeShade="80"/>
        </w:rPr>
        <w:tab/>
      </w:r>
      <w:r w:rsidR="00D5731D" w:rsidRPr="00AD2577">
        <w:rPr>
          <w:color w:val="385623" w:themeColor="accent6" w:themeShade="80"/>
        </w:rPr>
        <w:t>IASC initiated an improvement project in the 1990s to develop a cohesive set of standards.</w:t>
      </w:r>
    </w:p>
    <w:p w14:paraId="3500CC6F" w14:textId="776C5E11" w:rsidR="00002715" w:rsidRPr="00AD2577" w:rsidRDefault="00C6019F" w:rsidP="00C6019F">
      <w:pPr>
        <w:pStyle w:val="Outline1"/>
        <w:numPr>
          <w:ilvl w:val="0"/>
          <w:numId w:val="0"/>
        </w:numPr>
        <w:ind w:left="1080" w:hanging="360"/>
        <w:rPr>
          <w:color w:val="385623" w:themeColor="accent6" w:themeShade="80"/>
        </w:rPr>
      </w:pPr>
      <w:r>
        <w:rPr>
          <w:color w:val="385623" w:themeColor="accent6" w:themeShade="80"/>
        </w:rPr>
        <w:t>3.</w:t>
      </w:r>
      <w:r>
        <w:rPr>
          <w:color w:val="385623" w:themeColor="accent6" w:themeShade="80"/>
        </w:rPr>
        <w:tab/>
      </w:r>
      <w:r w:rsidR="00D5731D" w:rsidRPr="00AD2577">
        <w:rPr>
          <w:color w:val="385623" w:themeColor="accent6" w:themeShade="80"/>
        </w:rPr>
        <w:t>The IASC began to recognize the limitations in the existing structure</w:t>
      </w:r>
      <w:r w:rsidR="00B7124F" w:rsidRPr="00AD2577">
        <w:rPr>
          <w:color w:val="385623" w:themeColor="accent6" w:themeShade="80"/>
        </w:rPr>
        <w:t>,</w:t>
      </w:r>
      <w:r w:rsidR="00D5731D" w:rsidRPr="00AD2577">
        <w:rPr>
          <w:color w:val="385623" w:themeColor="accent6" w:themeShade="80"/>
        </w:rPr>
        <w:t xml:space="preserve"> and so the International Accounting Standards Board (IASB) replaced the IASC.</w:t>
      </w:r>
      <w:r w:rsidR="002F1033" w:rsidRPr="00AD2577">
        <w:rPr>
          <w:color w:val="385623" w:themeColor="accent6" w:themeShade="80"/>
        </w:rPr>
        <w:t xml:space="preserve"> </w:t>
      </w:r>
      <w:r w:rsidR="00D5731D" w:rsidRPr="00AD2577">
        <w:rPr>
          <w:color w:val="385623" w:themeColor="accent6" w:themeShade="80"/>
        </w:rPr>
        <w:t>The IA</w:t>
      </w:r>
      <w:r w:rsidR="008223F1" w:rsidRPr="00AD2577">
        <w:rPr>
          <w:color w:val="385623" w:themeColor="accent6" w:themeShade="80"/>
        </w:rPr>
        <w:t>SB</w:t>
      </w:r>
      <w:r w:rsidR="00D5731D" w:rsidRPr="00AD2577">
        <w:rPr>
          <w:color w:val="385623" w:themeColor="accent6" w:themeShade="80"/>
        </w:rPr>
        <w:t xml:space="preserve"> promulgates International Financial Reporting Standards (IFRS).</w:t>
      </w:r>
    </w:p>
    <w:p w14:paraId="3CFC1388" w14:textId="48851844" w:rsidR="00160244" w:rsidRPr="00AD2577" w:rsidRDefault="008F3DD5" w:rsidP="00DD6FDE">
      <w:pPr>
        <w:pStyle w:val="OutlineA0"/>
        <w:rPr>
          <w:color w:val="385623" w:themeColor="accent6" w:themeShade="80"/>
        </w:rPr>
      </w:pPr>
      <w:r w:rsidRPr="00AD2577">
        <w:rPr>
          <w:color w:val="385623" w:themeColor="accent6" w:themeShade="80"/>
        </w:rPr>
        <w:t xml:space="preserve">The </w:t>
      </w:r>
      <w:r w:rsidR="008B6447" w:rsidRPr="00AD2577">
        <w:rPr>
          <w:color w:val="385623" w:themeColor="accent6" w:themeShade="80"/>
        </w:rPr>
        <w:t>Global Standard</w:t>
      </w:r>
      <w:r w:rsidRPr="00AD2577">
        <w:rPr>
          <w:color w:val="385623" w:themeColor="accent6" w:themeShade="80"/>
        </w:rPr>
        <w:t>-</w:t>
      </w:r>
      <w:r w:rsidR="00160244" w:rsidRPr="00AD2577">
        <w:rPr>
          <w:color w:val="385623" w:themeColor="accent6" w:themeShade="80"/>
        </w:rPr>
        <w:t>Setting Structure</w:t>
      </w:r>
      <w:r w:rsidR="00966B91" w:rsidRPr="00AD2577">
        <w:rPr>
          <w:color w:val="385623" w:themeColor="accent6" w:themeShade="80"/>
        </w:rPr>
        <w:t xml:space="preserve">: </w:t>
      </w:r>
      <w:r w:rsidR="0032583E" w:rsidRPr="00AD2577">
        <w:rPr>
          <w:i/>
          <w:color w:val="385623" w:themeColor="accent6" w:themeShade="80"/>
        </w:rPr>
        <w:t>See Exhibit 1.9</w:t>
      </w:r>
      <w:r w:rsidR="0032583E" w:rsidRPr="00AD2577">
        <w:rPr>
          <w:color w:val="385623" w:themeColor="accent6" w:themeShade="80"/>
        </w:rPr>
        <w:t xml:space="preserve">. </w:t>
      </w:r>
      <w:r w:rsidR="00966B91" w:rsidRPr="00AD2577">
        <w:rPr>
          <w:color w:val="385623" w:themeColor="accent6" w:themeShade="80"/>
        </w:rPr>
        <w:t>The IASB is part of a larger organizational structure that includes</w:t>
      </w:r>
      <w:r w:rsidR="00A81C70" w:rsidRPr="00AD2577">
        <w:rPr>
          <w:color w:val="385623" w:themeColor="accent6" w:themeShade="80"/>
        </w:rPr>
        <w:t>:</w:t>
      </w:r>
    </w:p>
    <w:p w14:paraId="3C118494" w14:textId="77777777" w:rsidR="00002715" w:rsidRPr="00AD2577" w:rsidRDefault="00A81C70" w:rsidP="00DD6FDE">
      <w:pPr>
        <w:pStyle w:val="Outline1"/>
        <w:rPr>
          <w:color w:val="385623" w:themeColor="accent6" w:themeShade="80"/>
        </w:rPr>
      </w:pPr>
      <w:r w:rsidRPr="00AD2577">
        <w:rPr>
          <w:color w:val="385623" w:themeColor="accent6" w:themeShade="80"/>
        </w:rPr>
        <w:t>The I</w:t>
      </w:r>
      <w:r w:rsidR="00966B91" w:rsidRPr="00AD2577">
        <w:rPr>
          <w:color w:val="385623" w:themeColor="accent6" w:themeShade="80"/>
        </w:rPr>
        <w:t>FRS Foundation:</w:t>
      </w:r>
      <w:r w:rsidR="002F1033" w:rsidRPr="00AD2577">
        <w:rPr>
          <w:color w:val="385623" w:themeColor="accent6" w:themeShade="80"/>
        </w:rPr>
        <w:t xml:space="preserve"> </w:t>
      </w:r>
      <w:r w:rsidR="00966B91" w:rsidRPr="00AD2577">
        <w:rPr>
          <w:color w:val="385623" w:themeColor="accent6" w:themeShade="80"/>
        </w:rPr>
        <w:t xml:space="preserve">Oversees the IASB and is </w:t>
      </w:r>
      <w:r w:rsidR="00EF0843" w:rsidRPr="00AD2577">
        <w:rPr>
          <w:color w:val="385623" w:themeColor="accent6" w:themeShade="80"/>
        </w:rPr>
        <w:t>responsible</w:t>
      </w:r>
      <w:r w:rsidR="00966B91" w:rsidRPr="00AD2577">
        <w:rPr>
          <w:color w:val="385623" w:themeColor="accent6" w:themeShade="80"/>
        </w:rPr>
        <w:t xml:space="preserve"> for financing </w:t>
      </w:r>
      <w:r w:rsidR="00EF0843" w:rsidRPr="00AD2577">
        <w:rPr>
          <w:color w:val="385623" w:themeColor="accent6" w:themeShade="80"/>
        </w:rPr>
        <w:t>the I</w:t>
      </w:r>
      <w:r w:rsidR="00966B91" w:rsidRPr="00AD2577">
        <w:rPr>
          <w:color w:val="385623" w:themeColor="accent6" w:themeShade="80"/>
        </w:rPr>
        <w:t xml:space="preserve">ASB’s </w:t>
      </w:r>
      <w:r w:rsidR="00EF0843" w:rsidRPr="00AD2577">
        <w:rPr>
          <w:color w:val="385623" w:themeColor="accent6" w:themeShade="80"/>
        </w:rPr>
        <w:t>operations</w:t>
      </w:r>
      <w:r w:rsidR="00966B91" w:rsidRPr="00AD2577">
        <w:rPr>
          <w:color w:val="385623" w:themeColor="accent6" w:themeShade="80"/>
        </w:rPr>
        <w:t>.</w:t>
      </w:r>
    </w:p>
    <w:p w14:paraId="0EF92FC2" w14:textId="7B76522C" w:rsidR="00966B91" w:rsidRPr="00AD2577" w:rsidRDefault="00EF0843" w:rsidP="00DD6FDE">
      <w:pPr>
        <w:pStyle w:val="Outline1"/>
        <w:rPr>
          <w:color w:val="385623" w:themeColor="accent6" w:themeShade="80"/>
        </w:rPr>
      </w:pPr>
      <w:r w:rsidRPr="00AD2577">
        <w:rPr>
          <w:color w:val="385623" w:themeColor="accent6" w:themeShade="80"/>
        </w:rPr>
        <w:t>The Monitoring Board:</w:t>
      </w:r>
      <w:r w:rsidR="002F1033" w:rsidRPr="00AD2577">
        <w:rPr>
          <w:color w:val="385623" w:themeColor="accent6" w:themeShade="80"/>
        </w:rPr>
        <w:t xml:space="preserve"> </w:t>
      </w:r>
      <w:r w:rsidR="00A81C70" w:rsidRPr="00AD2577">
        <w:rPr>
          <w:color w:val="385623" w:themeColor="accent6" w:themeShade="80"/>
        </w:rPr>
        <w:t>Formed</w:t>
      </w:r>
      <w:r w:rsidR="00966B91" w:rsidRPr="00AD2577">
        <w:rPr>
          <w:color w:val="385623" w:themeColor="accent6" w:themeShade="80"/>
        </w:rPr>
        <w:t xml:space="preserve"> in 2009 to enhance the</w:t>
      </w:r>
      <w:r w:rsidRPr="00AD2577">
        <w:rPr>
          <w:color w:val="385623" w:themeColor="accent6" w:themeShade="80"/>
        </w:rPr>
        <w:t xml:space="preserve"> public accountability of the I</w:t>
      </w:r>
      <w:r w:rsidR="00966B91" w:rsidRPr="00AD2577">
        <w:rPr>
          <w:color w:val="385623" w:themeColor="accent6" w:themeShade="80"/>
        </w:rPr>
        <w:t>FRS Foundation, while still allowing for independence of the stand</w:t>
      </w:r>
      <w:r w:rsidR="008B6447" w:rsidRPr="00AD2577">
        <w:rPr>
          <w:color w:val="385623" w:themeColor="accent6" w:themeShade="80"/>
        </w:rPr>
        <w:t>ard</w:t>
      </w:r>
      <w:r w:rsidR="00F20BB0" w:rsidRPr="00AD2577">
        <w:rPr>
          <w:color w:val="385623" w:themeColor="accent6" w:themeShade="80"/>
        </w:rPr>
        <w:t>-</w:t>
      </w:r>
      <w:r w:rsidR="00966B91" w:rsidRPr="00AD2577">
        <w:rPr>
          <w:color w:val="385623" w:themeColor="accent6" w:themeShade="80"/>
        </w:rPr>
        <w:t>setting process.</w:t>
      </w:r>
    </w:p>
    <w:p w14:paraId="3E0AFBC2" w14:textId="664FB058" w:rsidR="00002715" w:rsidRPr="00AD2577" w:rsidRDefault="00B7124F" w:rsidP="00DD6FDE">
      <w:pPr>
        <w:pStyle w:val="Outline1"/>
        <w:rPr>
          <w:color w:val="385623" w:themeColor="accent6" w:themeShade="80"/>
        </w:rPr>
      </w:pPr>
      <w:r w:rsidRPr="00AD2577">
        <w:rPr>
          <w:color w:val="385623" w:themeColor="accent6" w:themeShade="80"/>
        </w:rPr>
        <w:t xml:space="preserve">The </w:t>
      </w:r>
      <w:r w:rsidR="00EF0843" w:rsidRPr="00AD2577">
        <w:rPr>
          <w:color w:val="385623" w:themeColor="accent6" w:themeShade="80"/>
        </w:rPr>
        <w:t>IFRS Advisory C</w:t>
      </w:r>
      <w:r w:rsidR="007C4D21" w:rsidRPr="00AD2577">
        <w:rPr>
          <w:color w:val="385623" w:themeColor="accent6" w:themeShade="80"/>
        </w:rPr>
        <w:t xml:space="preserve">ouncil: Advises the IASB </w:t>
      </w:r>
      <w:r w:rsidR="00966B91" w:rsidRPr="00AD2577">
        <w:rPr>
          <w:color w:val="385623" w:themeColor="accent6" w:themeShade="80"/>
        </w:rPr>
        <w:t xml:space="preserve">and the IFRS </w:t>
      </w:r>
      <w:r w:rsidR="00EF0843" w:rsidRPr="00AD2577">
        <w:rPr>
          <w:color w:val="385623" w:themeColor="accent6" w:themeShade="80"/>
        </w:rPr>
        <w:t>Foundation</w:t>
      </w:r>
      <w:r w:rsidR="00966B91" w:rsidRPr="00AD2577">
        <w:rPr>
          <w:color w:val="385623" w:themeColor="accent6" w:themeShade="80"/>
        </w:rPr>
        <w:t xml:space="preserve"> on many issues.</w:t>
      </w:r>
    </w:p>
    <w:p w14:paraId="472D5C69" w14:textId="77777777" w:rsidR="00002715" w:rsidRPr="00AD2577" w:rsidRDefault="00966B91" w:rsidP="00DD6FDE">
      <w:pPr>
        <w:pStyle w:val="Outline1"/>
        <w:rPr>
          <w:color w:val="385623" w:themeColor="accent6" w:themeShade="80"/>
        </w:rPr>
      </w:pPr>
      <w:r w:rsidRPr="00AD2577">
        <w:rPr>
          <w:color w:val="385623" w:themeColor="accent6" w:themeShade="80"/>
        </w:rPr>
        <w:t xml:space="preserve">The IFRS Interpretations Committee: </w:t>
      </w:r>
      <w:r w:rsidR="00EF0843" w:rsidRPr="00AD2577">
        <w:rPr>
          <w:color w:val="385623" w:themeColor="accent6" w:themeShade="80"/>
        </w:rPr>
        <w:t>Interpretative</w:t>
      </w:r>
      <w:r w:rsidRPr="00AD2577">
        <w:rPr>
          <w:color w:val="385623" w:themeColor="accent6" w:themeShade="80"/>
        </w:rPr>
        <w:t xml:space="preserve"> body of the IASB.</w:t>
      </w:r>
    </w:p>
    <w:p w14:paraId="374A2610" w14:textId="48607E6C" w:rsidR="00002715" w:rsidRPr="00AD2577" w:rsidRDefault="00C6019F" w:rsidP="00C6019F">
      <w:pPr>
        <w:pStyle w:val="OutlineA0"/>
        <w:numPr>
          <w:ilvl w:val="0"/>
          <w:numId w:val="0"/>
        </w:numPr>
        <w:ind w:left="720" w:hanging="360"/>
        <w:rPr>
          <w:color w:val="385623" w:themeColor="accent6" w:themeShade="80"/>
        </w:rPr>
      </w:pPr>
      <w:r>
        <w:rPr>
          <w:color w:val="385623" w:themeColor="accent6" w:themeShade="80"/>
        </w:rPr>
        <w:t>C.</w:t>
      </w:r>
      <w:r>
        <w:rPr>
          <w:color w:val="385623" w:themeColor="accent6" w:themeShade="80"/>
        </w:rPr>
        <w:tab/>
      </w:r>
      <w:r w:rsidR="008F3DD5" w:rsidRPr="00AD2577">
        <w:rPr>
          <w:color w:val="385623" w:themeColor="accent6" w:themeShade="80"/>
        </w:rPr>
        <w:t>Standard-</w:t>
      </w:r>
      <w:r w:rsidR="00160244" w:rsidRPr="00AD2577">
        <w:rPr>
          <w:color w:val="385623" w:themeColor="accent6" w:themeShade="80"/>
        </w:rPr>
        <w:t>Setting Process</w:t>
      </w:r>
      <w:r w:rsidR="00916029" w:rsidRPr="00AD2577">
        <w:rPr>
          <w:color w:val="385623" w:themeColor="accent6" w:themeShade="80"/>
        </w:rPr>
        <w:t>: Follows a similar process as FASB.</w:t>
      </w:r>
      <w:r w:rsidR="002F1033" w:rsidRPr="00AD2577">
        <w:rPr>
          <w:color w:val="385623" w:themeColor="accent6" w:themeShade="80"/>
        </w:rPr>
        <w:t xml:space="preserve"> </w:t>
      </w:r>
      <w:r w:rsidR="00916029" w:rsidRPr="00AD2577">
        <w:rPr>
          <w:color w:val="385623" w:themeColor="accent6" w:themeShade="80"/>
        </w:rPr>
        <w:t>However, the IASB is required to carry out a post-implementation review of each new standard</w:t>
      </w:r>
      <w:r w:rsidR="008223F1" w:rsidRPr="00AD2577">
        <w:rPr>
          <w:color w:val="385623" w:themeColor="accent6" w:themeShade="80"/>
        </w:rPr>
        <w:t xml:space="preserve"> or significant chang</w:t>
      </w:r>
      <w:r w:rsidR="00916029" w:rsidRPr="00AD2577">
        <w:rPr>
          <w:color w:val="385623" w:themeColor="accent6" w:themeShade="80"/>
        </w:rPr>
        <w:t>e.</w:t>
      </w:r>
    </w:p>
    <w:p w14:paraId="33AE9895" w14:textId="5B77FBD8" w:rsidR="00002715" w:rsidRPr="00AD2577" w:rsidRDefault="00C6019F" w:rsidP="00C6019F">
      <w:pPr>
        <w:pStyle w:val="OutlineI"/>
        <w:numPr>
          <w:ilvl w:val="0"/>
          <w:numId w:val="0"/>
        </w:numPr>
        <w:ind w:left="360" w:hanging="360"/>
      </w:pPr>
      <w:r>
        <w:t>III.</w:t>
      </w:r>
      <w:r>
        <w:tab/>
      </w:r>
      <w:r w:rsidR="00164307" w:rsidRPr="00AD2577">
        <w:t>Standard Setting as a Po</w:t>
      </w:r>
      <w:r w:rsidR="00BB14BC" w:rsidRPr="00AD2577">
        <w:t>litical Process</w:t>
      </w:r>
    </w:p>
    <w:p w14:paraId="11FA6C83" w14:textId="4802795B" w:rsidR="00002715" w:rsidRPr="00AD2577" w:rsidRDefault="00D67A58" w:rsidP="00D67A58">
      <w:pPr>
        <w:pStyle w:val="OutlineA0"/>
        <w:numPr>
          <w:ilvl w:val="0"/>
          <w:numId w:val="0"/>
        </w:numPr>
        <w:ind w:left="720" w:hanging="360"/>
      </w:pPr>
      <w:r>
        <w:t>A.</w:t>
      </w:r>
      <w:r>
        <w:tab/>
      </w:r>
      <w:r w:rsidR="00853323" w:rsidRPr="00AD2577">
        <w:t>Managers have incentives to oppose changes in standards or new standards.</w:t>
      </w:r>
    </w:p>
    <w:p w14:paraId="37B7F470" w14:textId="1F71F92A" w:rsidR="00853323" w:rsidRPr="00AD2577" w:rsidRDefault="00D67A58" w:rsidP="00D67A58">
      <w:pPr>
        <w:pStyle w:val="OutlineA0"/>
        <w:numPr>
          <w:ilvl w:val="0"/>
          <w:numId w:val="0"/>
        </w:numPr>
        <w:ind w:left="720" w:hanging="360"/>
      </w:pPr>
      <w:r>
        <w:t>B.</w:t>
      </w:r>
      <w:r>
        <w:tab/>
      </w:r>
      <w:r w:rsidR="00A81C70" w:rsidRPr="00AD2577">
        <w:t>Financial Statement User L</w:t>
      </w:r>
      <w:r w:rsidR="00A737A6" w:rsidRPr="00AD2577">
        <w:t>evel: C</w:t>
      </w:r>
      <w:r w:rsidR="00853323" w:rsidRPr="00AD2577">
        <w:t>hanges should provide a more transparent environment</w:t>
      </w:r>
      <w:r w:rsidR="00A81C70" w:rsidRPr="00AD2577">
        <w:t>.</w:t>
      </w:r>
    </w:p>
    <w:p w14:paraId="2729373E" w14:textId="45BDFD83" w:rsidR="00853323" w:rsidRPr="00AD2577" w:rsidRDefault="00D67A58" w:rsidP="00D67A58">
      <w:pPr>
        <w:pStyle w:val="OutlineA0"/>
        <w:numPr>
          <w:ilvl w:val="0"/>
          <w:numId w:val="0"/>
        </w:numPr>
        <w:ind w:left="720" w:hanging="360"/>
      </w:pPr>
      <w:r>
        <w:t>C.</w:t>
      </w:r>
      <w:r>
        <w:tab/>
      </w:r>
      <w:r w:rsidR="00A473DC" w:rsidRPr="00AD2577">
        <w:t xml:space="preserve">Standard </w:t>
      </w:r>
      <w:r w:rsidR="00853323" w:rsidRPr="00AD2577">
        <w:t>setters address the concerns of both managers and financial statement users by using the standard setting process.</w:t>
      </w:r>
    </w:p>
    <w:p w14:paraId="6FEB362C" w14:textId="5307539D" w:rsidR="008518D1" w:rsidRPr="00AD2577" w:rsidRDefault="008518D1" w:rsidP="00DD6FDE">
      <w:pPr>
        <w:pStyle w:val="2head"/>
      </w:pPr>
      <w:r w:rsidRPr="00AD2577">
        <w:t xml:space="preserve">Learning </w:t>
      </w:r>
      <w:r w:rsidR="00002715" w:rsidRPr="00AD2577">
        <w:t xml:space="preserve">Objective </w:t>
      </w:r>
      <w:r w:rsidRPr="00AD2577">
        <w:t>4</w:t>
      </w:r>
      <w:r w:rsidR="008251FE" w:rsidRPr="00AD2577">
        <w:t>:</w:t>
      </w:r>
      <w:r w:rsidR="008F3DD5" w:rsidRPr="00AD2577">
        <w:t xml:space="preserve"> Trends in Standard Setting</w:t>
      </w:r>
    </w:p>
    <w:p w14:paraId="289E7496" w14:textId="7A7DD3FE" w:rsidR="00BB14BC" w:rsidRPr="00AD2577" w:rsidRDefault="008F3DD5" w:rsidP="00491276">
      <w:pPr>
        <w:pStyle w:val="OutlineI"/>
        <w:numPr>
          <w:ilvl w:val="0"/>
          <w:numId w:val="19"/>
        </w:numPr>
        <w:ind w:left="360" w:hanging="360"/>
      </w:pPr>
      <w:r w:rsidRPr="00AD2577">
        <w:t>There are three current trends in standard setting that will be reviewed in later chapters:</w:t>
      </w:r>
    </w:p>
    <w:p w14:paraId="70DCC301" w14:textId="6080C37C" w:rsidR="008351A8" w:rsidRPr="00AD2577" w:rsidRDefault="00685D2A" w:rsidP="00DD6FDE">
      <w:pPr>
        <w:pStyle w:val="BulletsI"/>
      </w:pPr>
      <w:r w:rsidRPr="00AD2577">
        <w:t xml:space="preserve">A move toward a less </w:t>
      </w:r>
      <w:r w:rsidRPr="00AD2577">
        <w:rPr>
          <w:i/>
        </w:rPr>
        <w:t>rules-based</w:t>
      </w:r>
      <w:r w:rsidRPr="00AD2577">
        <w:t xml:space="preserve"> (more </w:t>
      </w:r>
      <w:r w:rsidRPr="00AD2577">
        <w:rPr>
          <w:i/>
        </w:rPr>
        <w:t>principles-based</w:t>
      </w:r>
      <w:r w:rsidRPr="00AD2577">
        <w:t>) system found in IFRS</w:t>
      </w:r>
      <w:r w:rsidR="00DA221D" w:rsidRPr="00AD2577">
        <w:t>.</w:t>
      </w:r>
    </w:p>
    <w:p w14:paraId="75E37B73" w14:textId="77777777" w:rsidR="00DA221D" w:rsidRPr="00AD2577" w:rsidRDefault="00DA221D" w:rsidP="00DD6FDE">
      <w:pPr>
        <w:pStyle w:val="BulletsI"/>
      </w:pPr>
      <w:r w:rsidRPr="00AD2577">
        <w:t xml:space="preserve">A move toward standards that are focused on the </w:t>
      </w:r>
      <w:r w:rsidRPr="00AD2577">
        <w:rPr>
          <w:i/>
        </w:rPr>
        <w:t>asset/liability approach</w:t>
      </w:r>
      <w:r w:rsidRPr="00AD2577">
        <w:t>.</w:t>
      </w:r>
    </w:p>
    <w:p w14:paraId="7DE5D9DA" w14:textId="5B1F9057" w:rsidR="00DA221D" w:rsidRPr="00AD2577" w:rsidRDefault="00DA221D" w:rsidP="00DD6FDE">
      <w:pPr>
        <w:pStyle w:val="BulletsI"/>
      </w:pPr>
      <w:r w:rsidRPr="00AD2577">
        <w:t xml:space="preserve">A move toward measuring balance sheet items at </w:t>
      </w:r>
      <w:r w:rsidRPr="00AD2577">
        <w:rPr>
          <w:i/>
        </w:rPr>
        <w:t>fair value</w:t>
      </w:r>
      <w:r w:rsidRPr="00AD2577">
        <w:t xml:space="preserve"> rather than historical cost.</w:t>
      </w:r>
    </w:p>
    <w:p w14:paraId="46D86342" w14:textId="7664B470" w:rsidR="00DA221D" w:rsidRPr="00AD2577" w:rsidRDefault="00DA221D" w:rsidP="00DD6FDE">
      <w:pPr>
        <w:pStyle w:val="OutlineA0"/>
      </w:pPr>
      <w:r w:rsidRPr="00AD2577">
        <w:t>Rules- versus Principles-Based Standards</w:t>
      </w:r>
    </w:p>
    <w:p w14:paraId="79765930" w14:textId="75BEECFA" w:rsidR="008351A8" w:rsidRPr="00AD2577" w:rsidRDefault="008351A8" w:rsidP="00DD6FDE">
      <w:pPr>
        <w:pStyle w:val="Outline1"/>
      </w:pPr>
      <w:r w:rsidRPr="00AD2577">
        <w:t>Principle</w:t>
      </w:r>
      <w:r w:rsidR="00C973C3" w:rsidRPr="00AD2577">
        <w:t>s</w:t>
      </w:r>
      <w:r w:rsidRPr="00AD2577">
        <w:t xml:space="preserve">-Based Standards: </w:t>
      </w:r>
      <w:r w:rsidR="00BD49BE" w:rsidRPr="00AD2577">
        <w:t>R</w:t>
      </w:r>
      <w:r w:rsidRPr="00AD2577">
        <w:t>ely on theories, concepts, and principles of accounting that are linked to a theoretical framework.</w:t>
      </w:r>
    </w:p>
    <w:p w14:paraId="4C488404" w14:textId="7055D4CD" w:rsidR="008351A8" w:rsidRPr="00AD2577" w:rsidRDefault="008351A8" w:rsidP="00BD49BE">
      <w:pPr>
        <w:pStyle w:val="Outlinea"/>
        <w:numPr>
          <w:ilvl w:val="0"/>
          <w:numId w:val="20"/>
        </w:numPr>
        <w:ind w:left="1440"/>
      </w:pPr>
      <w:r w:rsidRPr="00AD2577">
        <w:t>Provide a clear discussion of the accounting objective</w:t>
      </w:r>
      <w:r w:rsidR="00BD49BE" w:rsidRPr="00AD2577">
        <w:t>.</w:t>
      </w:r>
    </w:p>
    <w:p w14:paraId="14FD77C8" w14:textId="27D1B675" w:rsidR="008351A8" w:rsidRPr="00AD2577" w:rsidRDefault="008351A8" w:rsidP="00DD6FDE">
      <w:pPr>
        <w:pStyle w:val="Outlinea"/>
      </w:pPr>
      <w:r w:rsidRPr="00AD2577">
        <w:t>Involve few exceptions</w:t>
      </w:r>
      <w:r w:rsidR="00BD49BE" w:rsidRPr="00AD2577">
        <w:t>.</w:t>
      </w:r>
    </w:p>
    <w:p w14:paraId="5AE8DD77" w14:textId="33517541" w:rsidR="008351A8" w:rsidRPr="00AD2577" w:rsidRDefault="008351A8" w:rsidP="00DD6FDE">
      <w:pPr>
        <w:pStyle w:val="Outlinea"/>
      </w:pPr>
      <w:r w:rsidRPr="00AD2577">
        <w:t>Involve no tests that require meeting a threshold</w:t>
      </w:r>
      <w:r w:rsidR="00BD49BE" w:rsidRPr="00AD2577">
        <w:t>.</w:t>
      </w:r>
    </w:p>
    <w:p w14:paraId="328505B5" w14:textId="570C14C8" w:rsidR="008351A8" w:rsidRPr="00AD2577" w:rsidRDefault="008351A8" w:rsidP="00DD6FDE">
      <w:pPr>
        <w:pStyle w:val="Outlinea"/>
      </w:pPr>
      <w:r w:rsidRPr="00AD2577">
        <w:t>Provide insufficient guidance to implement the standard</w:t>
      </w:r>
      <w:r w:rsidR="00BD49BE" w:rsidRPr="00AD2577">
        <w:t>.</w:t>
      </w:r>
    </w:p>
    <w:p w14:paraId="3438C4AD" w14:textId="05861227" w:rsidR="008351A8" w:rsidRPr="00AD2577" w:rsidRDefault="008351A8" w:rsidP="00DD6FDE">
      <w:pPr>
        <w:pStyle w:val="Outlinea"/>
      </w:pPr>
      <w:r w:rsidRPr="00AD2577">
        <w:t>Involve a significant amount of interpretation</w:t>
      </w:r>
      <w:r w:rsidR="00BD49BE" w:rsidRPr="00AD2577">
        <w:t>.</w:t>
      </w:r>
    </w:p>
    <w:p w14:paraId="547999D9" w14:textId="64F13F6E" w:rsidR="00002715" w:rsidRPr="00AD2577" w:rsidRDefault="008351A8" w:rsidP="00DD6FDE">
      <w:pPr>
        <w:pStyle w:val="Outline1"/>
      </w:pPr>
      <w:r w:rsidRPr="00AD2577">
        <w:t>Rules-</w:t>
      </w:r>
      <w:r w:rsidR="00305ACD" w:rsidRPr="00AD2577">
        <w:t>B</w:t>
      </w:r>
      <w:r w:rsidRPr="00AD2577">
        <w:t xml:space="preserve">ased Standards: </w:t>
      </w:r>
      <w:r w:rsidR="00BD49BE" w:rsidRPr="00AD2577">
        <w:t>C</w:t>
      </w:r>
      <w:r w:rsidRPr="00AD2577">
        <w:t>ontain specific, prescriptive procedures.</w:t>
      </w:r>
    </w:p>
    <w:p w14:paraId="5BAB28DB" w14:textId="4F218860" w:rsidR="008351A8" w:rsidRPr="00AD2577" w:rsidRDefault="008351A8" w:rsidP="00BD49BE">
      <w:pPr>
        <w:pStyle w:val="Outlinea"/>
        <w:numPr>
          <w:ilvl w:val="0"/>
          <w:numId w:val="21"/>
        </w:numPr>
        <w:ind w:left="1440"/>
      </w:pPr>
      <w:r w:rsidRPr="00AD2577">
        <w:t>Contain numerous exceptions</w:t>
      </w:r>
      <w:r w:rsidR="00BD49BE" w:rsidRPr="00AD2577">
        <w:t>.</w:t>
      </w:r>
    </w:p>
    <w:p w14:paraId="504B308D" w14:textId="72C1B851" w:rsidR="008351A8" w:rsidRPr="00AD2577" w:rsidRDefault="008351A8" w:rsidP="00DD6FDE">
      <w:pPr>
        <w:pStyle w:val="Outlinea"/>
      </w:pPr>
      <w:r w:rsidRPr="00AD2577">
        <w:t>Contain numerous bright-line tests</w:t>
      </w:r>
      <w:r w:rsidR="00BD49BE" w:rsidRPr="00AD2577">
        <w:t>.</w:t>
      </w:r>
    </w:p>
    <w:p w14:paraId="6F92721A" w14:textId="0CC8F9FC" w:rsidR="008351A8" w:rsidRPr="00AD2577" w:rsidRDefault="008351A8" w:rsidP="00DD6FDE">
      <w:pPr>
        <w:pStyle w:val="Outlinea"/>
      </w:pPr>
      <w:r w:rsidRPr="00AD2577">
        <w:t>Result in inconsistencies</w:t>
      </w:r>
      <w:r w:rsidR="00BD49BE" w:rsidRPr="00AD2577">
        <w:t>.</w:t>
      </w:r>
    </w:p>
    <w:p w14:paraId="60304A53" w14:textId="152AE415" w:rsidR="008351A8" w:rsidRPr="00AD2577" w:rsidRDefault="008351A8" w:rsidP="00DD6FDE">
      <w:pPr>
        <w:pStyle w:val="Outlinea"/>
      </w:pPr>
      <w:r w:rsidRPr="00AD2577">
        <w:t>Contain detailed application guidance</w:t>
      </w:r>
      <w:r w:rsidR="00BD49BE" w:rsidRPr="00AD2577">
        <w:t>.</w:t>
      </w:r>
    </w:p>
    <w:p w14:paraId="37A04E29" w14:textId="297CC190" w:rsidR="008351A8" w:rsidRPr="00AD2577" w:rsidRDefault="008351A8" w:rsidP="00DD6FDE">
      <w:pPr>
        <w:pStyle w:val="Outlinea"/>
      </w:pPr>
      <w:r w:rsidRPr="00AD2577">
        <w:t>Do not rely on professional judgment</w:t>
      </w:r>
      <w:r w:rsidR="00BD49BE" w:rsidRPr="00AD2577">
        <w:t>.</w:t>
      </w:r>
    </w:p>
    <w:p w14:paraId="79990168" w14:textId="15166F82" w:rsidR="00002715" w:rsidRPr="00AD2577" w:rsidRDefault="008351A8" w:rsidP="00DD6FDE">
      <w:pPr>
        <w:pStyle w:val="Outline1"/>
      </w:pPr>
      <w:r w:rsidRPr="00AD2577">
        <w:t xml:space="preserve">Objectives-Oriented Standards: </w:t>
      </w:r>
      <w:r w:rsidR="00071191" w:rsidRPr="00AD2577">
        <w:t>Like</w:t>
      </w:r>
      <w:r w:rsidRPr="00AD2577">
        <w:t xml:space="preserve"> principle</w:t>
      </w:r>
      <w:r w:rsidR="000F3E81" w:rsidRPr="00AD2577">
        <w:t>s</w:t>
      </w:r>
      <w:r w:rsidRPr="00AD2577">
        <w:t>-based standards, objectives-oriented standards are derived from a high-quality theoretical framework and clearly stated accounting objectives. But</w:t>
      </w:r>
      <w:r w:rsidR="00060F83" w:rsidRPr="00AD2577">
        <w:t xml:space="preserve"> they</w:t>
      </w:r>
      <w:r w:rsidRPr="00AD2577">
        <w:t xml:space="preserve"> </w:t>
      </w:r>
      <w:r w:rsidRPr="00AD2577">
        <w:rPr>
          <w:i/>
        </w:rPr>
        <w:t>also</w:t>
      </w:r>
      <w:r w:rsidRPr="00AD2577">
        <w:t xml:space="preserve"> provide a sufficient level of rules to provide detail and structure.</w:t>
      </w:r>
    </w:p>
    <w:p w14:paraId="65D60556" w14:textId="324149E4" w:rsidR="008351A8" w:rsidRPr="00AD2577" w:rsidRDefault="008351A8" w:rsidP="00DD6FDE">
      <w:pPr>
        <w:pStyle w:val="Outline1"/>
      </w:pPr>
      <w:r w:rsidRPr="00AD2577">
        <w:t xml:space="preserve">U.S. GAAP and IFRS: </w:t>
      </w:r>
      <w:r w:rsidR="00CF6D46" w:rsidRPr="00AD2577">
        <w:t xml:space="preserve">Rules versus Principles: </w:t>
      </w:r>
      <w:r w:rsidRPr="00AD2577">
        <w:rPr>
          <w:i/>
        </w:rPr>
        <w:t xml:space="preserve">See Exhibit 1.10. </w:t>
      </w:r>
      <w:r w:rsidRPr="00AD2577">
        <w:t>Neither GAAP nor IFRS fit</w:t>
      </w:r>
      <w:r w:rsidR="00CF6D46" w:rsidRPr="00AD2577">
        <w:t>s</w:t>
      </w:r>
      <w:r w:rsidRPr="00AD2577">
        <w:t xml:space="preserve"> perfectly into rules</w:t>
      </w:r>
      <w:r w:rsidR="00CF6D46" w:rsidRPr="00AD2577">
        <w:t>-</w:t>
      </w:r>
      <w:r w:rsidRPr="00AD2577">
        <w:t xml:space="preserve"> or principles-based approaches. However, on the continuum, GAAP is more rules</w:t>
      </w:r>
      <w:r w:rsidR="00CF6D46" w:rsidRPr="00AD2577">
        <w:t xml:space="preserve"> </w:t>
      </w:r>
      <w:r w:rsidRPr="00AD2577">
        <w:t>based, whereas IFRS is more principles</w:t>
      </w:r>
      <w:r w:rsidR="00CF6D46" w:rsidRPr="00AD2577">
        <w:t xml:space="preserve"> </w:t>
      </w:r>
      <w:r w:rsidRPr="00AD2577">
        <w:t>based.</w:t>
      </w:r>
    </w:p>
    <w:p w14:paraId="622F6CAB" w14:textId="77777777" w:rsidR="00002715" w:rsidRPr="00AD2577" w:rsidRDefault="008351A8" w:rsidP="00DD6FDE">
      <w:pPr>
        <w:pStyle w:val="OutlineA0"/>
      </w:pPr>
      <w:r w:rsidRPr="00AD2577">
        <w:t xml:space="preserve">Asset/Liability Approach: A focus on asset/liability indicates a shift from a focus </w:t>
      </w:r>
      <w:r w:rsidR="00060F83" w:rsidRPr="00AD2577">
        <w:t xml:space="preserve">on </w:t>
      </w:r>
      <w:r w:rsidRPr="00AD2577">
        <w:t>the income statement to the focus on the balance sheet.</w:t>
      </w:r>
    </w:p>
    <w:p w14:paraId="6B0E51AA" w14:textId="7DD7FDC5" w:rsidR="008351A8" w:rsidRPr="00AD2577" w:rsidRDefault="008351A8" w:rsidP="00DD6FDE">
      <w:pPr>
        <w:pStyle w:val="OutlineA0"/>
      </w:pPr>
      <w:r w:rsidRPr="00AD2577">
        <w:t>Fair Value Measurements: A move toward measuring balance sheet items at fair value rather than historical cost.</w:t>
      </w:r>
    </w:p>
    <w:p w14:paraId="3461E6F3" w14:textId="77777777" w:rsidR="00CC2097" w:rsidRPr="00AD2577" w:rsidRDefault="00CC2097">
      <w:pPr>
        <w:rPr>
          <w:rFonts w:ascii="Arial" w:hAnsi="Arial" w:cs="Arial"/>
          <w:b/>
          <w:spacing w:val="30"/>
          <w:sz w:val="28"/>
          <w:szCs w:val="24"/>
        </w:rPr>
      </w:pPr>
      <w:r w:rsidRPr="00AD2577">
        <w:br w:type="page"/>
      </w:r>
    </w:p>
    <w:p w14:paraId="0CAD79B0" w14:textId="677CA8BA" w:rsidR="00A7583B" w:rsidRPr="00AD2577" w:rsidRDefault="00A7583B" w:rsidP="00DD6FDE">
      <w:pPr>
        <w:pStyle w:val="1head"/>
      </w:pPr>
      <w:r w:rsidRPr="00AD2577">
        <w:t>Student Supplement to Teaching Outline</w:t>
      </w:r>
    </w:p>
    <w:p w14:paraId="59E48E63" w14:textId="0DBC6D46" w:rsidR="0040522D" w:rsidRPr="00AD2577" w:rsidRDefault="0040522D" w:rsidP="00DD6FDE">
      <w:pPr>
        <w:pStyle w:val="2head"/>
      </w:pPr>
      <w:r w:rsidRPr="00AD2577">
        <w:t xml:space="preserve">Learning </w:t>
      </w:r>
      <w:r w:rsidR="00002715" w:rsidRPr="00AD2577">
        <w:t xml:space="preserve">Objective </w:t>
      </w:r>
      <w:r w:rsidRPr="00AD2577">
        <w:t>1: Overview of Financial Reporting</w:t>
      </w:r>
    </w:p>
    <w:p w14:paraId="14924632" w14:textId="77777777" w:rsidR="00A7583B" w:rsidRPr="00AD2577" w:rsidRDefault="00A7583B" w:rsidP="00CE6899">
      <w:pPr>
        <w:pStyle w:val="OutlineI"/>
        <w:numPr>
          <w:ilvl w:val="0"/>
          <w:numId w:val="16"/>
        </w:numPr>
        <w:ind w:left="360" w:hanging="360"/>
      </w:pPr>
      <w:r w:rsidRPr="00AD2577">
        <w:t>Overview of Financial Reporting</w:t>
      </w:r>
    </w:p>
    <w:p w14:paraId="4A9BBB83" w14:textId="77777777" w:rsidR="00A7583B" w:rsidRPr="00AD2577" w:rsidRDefault="00A7583B" w:rsidP="00DD6FDE">
      <w:pPr>
        <w:pStyle w:val="OutlineA0"/>
      </w:pPr>
      <w:r w:rsidRPr="00AD2577">
        <w:t>Financial Information</w:t>
      </w:r>
    </w:p>
    <w:p w14:paraId="53757824" w14:textId="77777777" w:rsidR="00A7583B" w:rsidRPr="00AD2577" w:rsidRDefault="00A7583B" w:rsidP="00DD6FDE">
      <w:pPr>
        <w:pStyle w:val="Outline1"/>
      </w:pPr>
      <w:r w:rsidRPr="00AD2577">
        <w:t>Demand for Financial Information</w:t>
      </w:r>
    </w:p>
    <w:p w14:paraId="5C8ED7F7" w14:textId="77777777" w:rsidR="00A7583B" w:rsidRPr="00AD2577" w:rsidRDefault="00A7583B" w:rsidP="00DD6FDE">
      <w:pPr>
        <w:pStyle w:val="Outline1"/>
        <w:rPr>
          <w:b/>
        </w:rPr>
      </w:pPr>
      <w:r w:rsidRPr="00AD2577">
        <w:t>Sources of Financial Information</w:t>
      </w:r>
    </w:p>
    <w:p w14:paraId="6F00053B" w14:textId="77777777" w:rsidR="00A7583B" w:rsidRPr="00AD2577" w:rsidRDefault="00A7583B" w:rsidP="00DD6FDE">
      <w:pPr>
        <w:pStyle w:val="OutlineA0"/>
      </w:pPr>
      <w:r w:rsidRPr="00AD2577">
        <w:t>Economic Entity</w:t>
      </w:r>
    </w:p>
    <w:p w14:paraId="6ED594DA" w14:textId="77777777" w:rsidR="00A7583B" w:rsidRPr="00AD2577" w:rsidRDefault="00A7583B" w:rsidP="00DD6FDE">
      <w:pPr>
        <w:pStyle w:val="OutlineA0"/>
      </w:pPr>
      <w:r w:rsidRPr="00AD2577">
        <w:t>Financial Statement User Groups</w:t>
      </w:r>
    </w:p>
    <w:p w14:paraId="12BC691B" w14:textId="77777777" w:rsidR="00A7583B" w:rsidRPr="00AD2577" w:rsidRDefault="00A7583B" w:rsidP="00DD6FDE">
      <w:pPr>
        <w:pStyle w:val="Outline1"/>
      </w:pPr>
      <w:r w:rsidRPr="00AD2577">
        <w:t>Equity Investors</w:t>
      </w:r>
    </w:p>
    <w:p w14:paraId="6118F8AA" w14:textId="77777777" w:rsidR="00A7583B" w:rsidRPr="00AD2577" w:rsidRDefault="00A7583B" w:rsidP="00DD6FDE">
      <w:pPr>
        <w:pStyle w:val="Outline1"/>
      </w:pPr>
      <w:r w:rsidRPr="00AD2577">
        <w:t>Creditors and Other Debt Investors</w:t>
      </w:r>
    </w:p>
    <w:p w14:paraId="16087305" w14:textId="77777777" w:rsidR="00A7583B" w:rsidRPr="00AD2577" w:rsidRDefault="00A7583B" w:rsidP="00DD6FDE">
      <w:pPr>
        <w:pStyle w:val="Outline1"/>
      </w:pPr>
      <w:r w:rsidRPr="00AD2577">
        <w:t>Competitors</w:t>
      </w:r>
    </w:p>
    <w:p w14:paraId="5D313173" w14:textId="77777777" w:rsidR="00A7583B" w:rsidRPr="00AD2577" w:rsidRDefault="00A7583B" w:rsidP="00DD6FDE">
      <w:pPr>
        <w:pStyle w:val="Outline1"/>
      </w:pPr>
      <w:r w:rsidRPr="00AD2577">
        <w:t>Financial Analysts</w:t>
      </w:r>
    </w:p>
    <w:p w14:paraId="4342F02E" w14:textId="77777777" w:rsidR="00A7583B" w:rsidRPr="00AD2577" w:rsidRDefault="00A7583B" w:rsidP="00DD6FDE">
      <w:pPr>
        <w:pStyle w:val="Outline1"/>
      </w:pPr>
      <w:r w:rsidRPr="00AD2577">
        <w:t>Employee and Labor Unions</w:t>
      </w:r>
    </w:p>
    <w:p w14:paraId="7A04E1A9" w14:textId="77777777" w:rsidR="00A7583B" w:rsidRPr="00AD2577" w:rsidRDefault="00A7583B" w:rsidP="00DD6FDE">
      <w:pPr>
        <w:pStyle w:val="Outline1"/>
      </w:pPr>
      <w:r w:rsidRPr="00AD2577">
        <w:t>Supplier</w:t>
      </w:r>
      <w:r w:rsidR="006360C7" w:rsidRPr="00AD2577">
        <w:t>s</w:t>
      </w:r>
      <w:r w:rsidRPr="00AD2577">
        <w:t xml:space="preserve"> and Customers</w:t>
      </w:r>
    </w:p>
    <w:p w14:paraId="2851FF24" w14:textId="77777777" w:rsidR="00A7583B" w:rsidRPr="00AD2577" w:rsidRDefault="00A7583B" w:rsidP="00DD6FDE">
      <w:pPr>
        <w:pStyle w:val="Outline1"/>
      </w:pPr>
      <w:r w:rsidRPr="00AD2577">
        <w:t>Government Agencies</w:t>
      </w:r>
    </w:p>
    <w:p w14:paraId="6CB5CD89" w14:textId="77777777" w:rsidR="00A7583B" w:rsidRPr="00AD2577" w:rsidRDefault="00A7583B" w:rsidP="00DD6FDE">
      <w:pPr>
        <w:pStyle w:val="OutlineA0"/>
      </w:pPr>
      <w:r w:rsidRPr="00AD2577">
        <w:t>Other Parties Involved in the Preparation and Use of Financial Information</w:t>
      </w:r>
    </w:p>
    <w:p w14:paraId="54B6D554" w14:textId="005FC719" w:rsidR="00FC6523" w:rsidRPr="00AD2577" w:rsidRDefault="00FC6523" w:rsidP="00252EF7">
      <w:pPr>
        <w:pStyle w:val="Outline1"/>
        <w:numPr>
          <w:ilvl w:val="0"/>
          <w:numId w:val="0"/>
        </w:numPr>
        <w:ind w:left="1080"/>
      </w:pPr>
    </w:p>
    <w:p w14:paraId="159AE939" w14:textId="77777777" w:rsidR="00A7583B" w:rsidRPr="00AD2577" w:rsidRDefault="00A7583B" w:rsidP="00DD6FDE">
      <w:pPr>
        <w:pStyle w:val="OutlineA0"/>
      </w:pPr>
      <w:r w:rsidRPr="00AD2577">
        <w:t>Legal, Economic, Political, and Social Environment</w:t>
      </w:r>
    </w:p>
    <w:p w14:paraId="72F1EB46" w14:textId="77777777" w:rsidR="00A7583B" w:rsidRPr="00AD2577" w:rsidRDefault="00A7583B" w:rsidP="00DD6FDE">
      <w:pPr>
        <w:pStyle w:val="Outline1"/>
      </w:pPr>
      <w:r w:rsidRPr="00AD2577">
        <w:t>Reactive Factors</w:t>
      </w:r>
    </w:p>
    <w:p w14:paraId="45DBC5C7" w14:textId="77777777" w:rsidR="00A7583B" w:rsidRPr="00AD2577" w:rsidRDefault="00A7583B" w:rsidP="00DD6FDE">
      <w:pPr>
        <w:pStyle w:val="Outline1"/>
      </w:pPr>
      <w:r w:rsidRPr="00AD2577">
        <w:t>Proactive Factors</w:t>
      </w:r>
    </w:p>
    <w:p w14:paraId="419E91D5" w14:textId="7565A773" w:rsidR="0040522D" w:rsidRPr="00AD2577" w:rsidRDefault="0040522D" w:rsidP="00DD6FDE">
      <w:pPr>
        <w:pStyle w:val="2head"/>
      </w:pPr>
      <w:r w:rsidRPr="00AD2577">
        <w:t xml:space="preserve">Learning </w:t>
      </w:r>
      <w:r w:rsidR="00002715" w:rsidRPr="00AD2577">
        <w:t xml:space="preserve">Objective </w:t>
      </w:r>
      <w:r w:rsidRPr="00AD2577">
        <w:t>2: Role of Standard Setters</w:t>
      </w:r>
    </w:p>
    <w:p w14:paraId="6657F928" w14:textId="44550633" w:rsidR="00A7583B" w:rsidRPr="00AD2577" w:rsidRDefault="00CE3946" w:rsidP="00BD49BE">
      <w:pPr>
        <w:pStyle w:val="OutlineI"/>
        <w:numPr>
          <w:ilvl w:val="0"/>
          <w:numId w:val="22"/>
        </w:numPr>
        <w:ind w:left="360" w:hanging="360"/>
      </w:pPr>
      <w:r w:rsidRPr="00AD2577">
        <w:t xml:space="preserve">Role of </w:t>
      </w:r>
      <w:r w:rsidR="00A473DC" w:rsidRPr="00AD2577">
        <w:t xml:space="preserve">Standard </w:t>
      </w:r>
      <w:r w:rsidR="00A7583B" w:rsidRPr="00AD2577">
        <w:t>Setters</w:t>
      </w:r>
    </w:p>
    <w:p w14:paraId="6024417B" w14:textId="57D5EEC6" w:rsidR="00002715" w:rsidRPr="00AD2577" w:rsidRDefault="00071191" w:rsidP="00DD6FDE">
      <w:pPr>
        <w:pStyle w:val="OutlineA0"/>
      </w:pPr>
      <w:r w:rsidRPr="00AD2577">
        <w:t>Importance of Understanding International Accounting Standards</w:t>
      </w:r>
    </w:p>
    <w:p w14:paraId="30373F5C" w14:textId="4535FDDE" w:rsidR="0040522D" w:rsidRPr="00AD2577" w:rsidRDefault="0040522D" w:rsidP="00DD6FDE">
      <w:pPr>
        <w:pStyle w:val="2head"/>
      </w:pPr>
      <w:r w:rsidRPr="00AD2577">
        <w:t xml:space="preserve">Learning </w:t>
      </w:r>
      <w:r w:rsidR="00002715" w:rsidRPr="00AD2577">
        <w:t xml:space="preserve">Objective </w:t>
      </w:r>
      <w:r w:rsidRPr="00AD2577">
        <w:t>3: The Standard-Setting Process</w:t>
      </w:r>
    </w:p>
    <w:p w14:paraId="46CCCAC5" w14:textId="2BEEF125" w:rsidR="00A7583B" w:rsidRPr="00AD2577" w:rsidRDefault="00CE3946" w:rsidP="00BD49BE">
      <w:pPr>
        <w:pStyle w:val="OutlineI"/>
        <w:numPr>
          <w:ilvl w:val="0"/>
          <w:numId w:val="23"/>
        </w:numPr>
        <w:ind w:left="360" w:hanging="360"/>
      </w:pPr>
      <w:r w:rsidRPr="00AD2577">
        <w:t xml:space="preserve">The </w:t>
      </w:r>
      <w:r w:rsidR="00226DE0" w:rsidRPr="00AD2577">
        <w:t>Standard-</w:t>
      </w:r>
      <w:r w:rsidR="00A7583B" w:rsidRPr="00AD2577">
        <w:t>Setting Process</w:t>
      </w:r>
    </w:p>
    <w:p w14:paraId="398BBF75" w14:textId="77777777" w:rsidR="00A7583B" w:rsidRPr="00AD2577" w:rsidRDefault="00A7583B" w:rsidP="00DD6FDE">
      <w:pPr>
        <w:pStyle w:val="OutlineA0"/>
      </w:pPr>
      <w:r w:rsidRPr="00AD2577">
        <w:t>Standard Setting</w:t>
      </w:r>
    </w:p>
    <w:p w14:paraId="413CC7D1" w14:textId="77777777" w:rsidR="00A7583B" w:rsidRPr="00AD2577" w:rsidRDefault="00A7583B" w:rsidP="00DD6FDE">
      <w:pPr>
        <w:pStyle w:val="Outline1"/>
      </w:pPr>
      <w:r w:rsidRPr="00AD2577">
        <w:t>History of Standard Setting</w:t>
      </w:r>
    </w:p>
    <w:p w14:paraId="53CA6E5F" w14:textId="189C8361" w:rsidR="00A7583B" w:rsidRPr="00AD2577" w:rsidRDefault="00CE3946" w:rsidP="00DD6FDE">
      <w:pPr>
        <w:pStyle w:val="Outline1"/>
      </w:pPr>
      <w:r w:rsidRPr="00AD2577">
        <w:t xml:space="preserve">The </w:t>
      </w:r>
      <w:r w:rsidR="00060F83" w:rsidRPr="00AD2577">
        <w:t>Standard-</w:t>
      </w:r>
      <w:r w:rsidR="00A7583B" w:rsidRPr="00AD2577">
        <w:t>Setting Structure</w:t>
      </w:r>
    </w:p>
    <w:p w14:paraId="17F91D5D" w14:textId="4359029E" w:rsidR="00A7583B" w:rsidRPr="00AD2577" w:rsidRDefault="00060F83" w:rsidP="00DD6FDE">
      <w:pPr>
        <w:pStyle w:val="Outline1"/>
      </w:pPr>
      <w:r w:rsidRPr="00AD2577">
        <w:t>Standard-</w:t>
      </w:r>
      <w:r w:rsidR="00A7583B" w:rsidRPr="00AD2577">
        <w:t>Setting Process</w:t>
      </w:r>
    </w:p>
    <w:p w14:paraId="4E6B4BE9" w14:textId="77777777" w:rsidR="0077685D" w:rsidRPr="00AD2577" w:rsidRDefault="0077685D">
      <w:pPr>
        <w:rPr>
          <w:rFonts w:ascii="Arial Narrow" w:hAnsi="Arial Narrow" w:cs="Times New Roman"/>
          <w:b/>
          <w:color w:val="385623" w:themeColor="accent6" w:themeShade="80"/>
          <w:sz w:val="24"/>
          <w:szCs w:val="24"/>
        </w:rPr>
      </w:pPr>
      <w:r w:rsidRPr="00AD2577">
        <w:rPr>
          <w:color w:val="385623" w:themeColor="accent6" w:themeShade="80"/>
        </w:rPr>
        <w:br w:type="page"/>
      </w:r>
    </w:p>
    <w:p w14:paraId="481396B8" w14:textId="428A4AFB" w:rsidR="00A7583B" w:rsidRPr="00AD2577" w:rsidRDefault="00A7583B" w:rsidP="00FD35C6">
      <w:pPr>
        <w:pStyle w:val="2head"/>
        <w:keepNext/>
        <w:rPr>
          <w:color w:val="385623" w:themeColor="accent6" w:themeShade="80"/>
        </w:rPr>
      </w:pPr>
      <w:r w:rsidRPr="00AD2577">
        <w:rPr>
          <w:color w:val="385623" w:themeColor="accent6" w:themeShade="80"/>
        </w:rPr>
        <w:t>IFRS Breakaway</w:t>
      </w:r>
    </w:p>
    <w:p w14:paraId="3289E763" w14:textId="15DE7D0B" w:rsidR="00A7583B" w:rsidRPr="00AD2577" w:rsidRDefault="00C6019F" w:rsidP="00C6019F">
      <w:pPr>
        <w:pStyle w:val="OutlineI"/>
        <w:numPr>
          <w:ilvl w:val="0"/>
          <w:numId w:val="0"/>
        </w:numPr>
        <w:ind w:left="360" w:hanging="360"/>
        <w:rPr>
          <w:color w:val="385623" w:themeColor="accent6" w:themeShade="80"/>
        </w:rPr>
      </w:pPr>
      <w:r>
        <w:rPr>
          <w:color w:val="385623" w:themeColor="accent6" w:themeShade="80"/>
        </w:rPr>
        <w:t>II.</w:t>
      </w:r>
      <w:r>
        <w:rPr>
          <w:color w:val="385623" w:themeColor="accent6" w:themeShade="80"/>
        </w:rPr>
        <w:tab/>
      </w:r>
      <w:r w:rsidR="00A7583B" w:rsidRPr="00AD2577">
        <w:rPr>
          <w:color w:val="385623" w:themeColor="accent6" w:themeShade="80"/>
        </w:rPr>
        <w:t>IFRS Standard Setting</w:t>
      </w:r>
    </w:p>
    <w:p w14:paraId="6F7E92EF" w14:textId="3A6E386D" w:rsidR="00A7583B" w:rsidRPr="00AD2577" w:rsidRDefault="006012BA" w:rsidP="006012BA">
      <w:pPr>
        <w:pStyle w:val="OutlineA0"/>
        <w:numPr>
          <w:ilvl w:val="0"/>
          <w:numId w:val="0"/>
        </w:numPr>
        <w:ind w:left="720" w:hanging="360"/>
        <w:rPr>
          <w:color w:val="385623" w:themeColor="accent6" w:themeShade="80"/>
        </w:rPr>
      </w:pPr>
      <w:r>
        <w:rPr>
          <w:color w:val="385623" w:themeColor="accent6" w:themeShade="80"/>
        </w:rPr>
        <w:t>A.</w:t>
      </w:r>
      <w:r>
        <w:rPr>
          <w:color w:val="385623" w:themeColor="accent6" w:themeShade="80"/>
        </w:rPr>
        <w:tab/>
      </w:r>
      <w:r w:rsidR="00A7583B" w:rsidRPr="00AD2577">
        <w:rPr>
          <w:color w:val="385623" w:themeColor="accent6" w:themeShade="80"/>
        </w:rPr>
        <w:t>History of Global Standard Setting</w:t>
      </w:r>
    </w:p>
    <w:p w14:paraId="65D7D016" w14:textId="0F1BEE73" w:rsidR="00A7583B" w:rsidRPr="00AD2577" w:rsidRDefault="00472D36" w:rsidP="00DD6FDE">
      <w:pPr>
        <w:pStyle w:val="OutlineA0"/>
        <w:rPr>
          <w:color w:val="385623" w:themeColor="accent6" w:themeShade="80"/>
        </w:rPr>
      </w:pPr>
      <w:r w:rsidRPr="00AD2577">
        <w:rPr>
          <w:color w:val="385623" w:themeColor="accent6" w:themeShade="80"/>
        </w:rPr>
        <w:t xml:space="preserve">The </w:t>
      </w:r>
      <w:r w:rsidR="00CE3946" w:rsidRPr="00AD2577">
        <w:rPr>
          <w:color w:val="385623" w:themeColor="accent6" w:themeShade="80"/>
        </w:rPr>
        <w:t xml:space="preserve">Global </w:t>
      </w:r>
      <w:r w:rsidR="00060F83" w:rsidRPr="00AD2577">
        <w:rPr>
          <w:color w:val="385623" w:themeColor="accent6" w:themeShade="80"/>
        </w:rPr>
        <w:t>Standard-</w:t>
      </w:r>
      <w:r w:rsidR="00A7583B" w:rsidRPr="00AD2577">
        <w:rPr>
          <w:color w:val="385623" w:themeColor="accent6" w:themeShade="80"/>
        </w:rPr>
        <w:t>Setting Structure</w:t>
      </w:r>
    </w:p>
    <w:p w14:paraId="2356C02C" w14:textId="5DF8CB4E" w:rsidR="00A7583B" w:rsidRPr="00AD2577" w:rsidRDefault="00060F83" w:rsidP="00DD6FDE">
      <w:pPr>
        <w:pStyle w:val="OutlineA0"/>
        <w:rPr>
          <w:color w:val="385623" w:themeColor="accent6" w:themeShade="80"/>
        </w:rPr>
      </w:pPr>
      <w:r w:rsidRPr="00AD2577">
        <w:rPr>
          <w:color w:val="385623" w:themeColor="accent6" w:themeShade="80"/>
        </w:rPr>
        <w:t>Standard-</w:t>
      </w:r>
      <w:r w:rsidR="00A7583B" w:rsidRPr="00AD2577">
        <w:rPr>
          <w:color w:val="385623" w:themeColor="accent6" w:themeShade="80"/>
        </w:rPr>
        <w:t>Setting Process</w:t>
      </w:r>
    </w:p>
    <w:p w14:paraId="669F6CBD" w14:textId="58120106" w:rsidR="00A7583B" w:rsidRPr="00AD2577" w:rsidRDefault="00C6019F" w:rsidP="00C6019F">
      <w:pPr>
        <w:pStyle w:val="OutlineI"/>
        <w:numPr>
          <w:ilvl w:val="0"/>
          <w:numId w:val="0"/>
        </w:numPr>
        <w:ind w:left="360" w:hanging="360"/>
      </w:pPr>
      <w:r>
        <w:t>III.</w:t>
      </w:r>
      <w:r>
        <w:tab/>
      </w:r>
      <w:r w:rsidR="00A7583B" w:rsidRPr="00AD2577">
        <w:t>Standard Setting as a Political Process</w:t>
      </w:r>
    </w:p>
    <w:p w14:paraId="056D6FF0" w14:textId="48C6407D" w:rsidR="0040522D" w:rsidRPr="00AD2577" w:rsidRDefault="0040522D" w:rsidP="00DD6FDE">
      <w:pPr>
        <w:pStyle w:val="2head"/>
      </w:pPr>
      <w:r w:rsidRPr="00AD2577">
        <w:t xml:space="preserve">Learning </w:t>
      </w:r>
      <w:r w:rsidR="00002715" w:rsidRPr="00AD2577">
        <w:t xml:space="preserve">Objective </w:t>
      </w:r>
      <w:r w:rsidRPr="00AD2577">
        <w:t>4: Trends in Standard Setting</w:t>
      </w:r>
    </w:p>
    <w:p w14:paraId="0D1B8D84" w14:textId="3B6D1789" w:rsidR="00A7583B" w:rsidRPr="00AD2577" w:rsidRDefault="00A7583B" w:rsidP="00BD49BE">
      <w:pPr>
        <w:pStyle w:val="OutlineI"/>
        <w:numPr>
          <w:ilvl w:val="0"/>
          <w:numId w:val="26"/>
        </w:numPr>
        <w:ind w:left="360" w:hanging="360"/>
      </w:pPr>
      <w:r w:rsidRPr="00AD2577">
        <w:t>Trends in Standard Setting</w:t>
      </w:r>
    </w:p>
    <w:p w14:paraId="7510C848" w14:textId="6FF7BEAF" w:rsidR="00A7583B" w:rsidRPr="00AD2577" w:rsidRDefault="00AD32B8" w:rsidP="00DD6FDE">
      <w:pPr>
        <w:pStyle w:val="OutlineA0"/>
      </w:pPr>
      <w:r w:rsidRPr="00AD2577">
        <w:t>Rules- versus Principle</w:t>
      </w:r>
      <w:r w:rsidR="00AD762E" w:rsidRPr="00AD2577">
        <w:t>s</w:t>
      </w:r>
      <w:r w:rsidRPr="00AD2577">
        <w:t>-Based Standards</w:t>
      </w:r>
    </w:p>
    <w:p w14:paraId="0C381F32" w14:textId="43277D13" w:rsidR="00AD762E" w:rsidRPr="00AD2577" w:rsidRDefault="00AD762E" w:rsidP="00AD762E">
      <w:pPr>
        <w:pStyle w:val="Outline1"/>
      </w:pPr>
      <w:r w:rsidRPr="00AD2577">
        <w:t>Principles-Based Standards</w:t>
      </w:r>
    </w:p>
    <w:p w14:paraId="60118A38" w14:textId="4F7F8A71" w:rsidR="00AD762E" w:rsidRPr="00AD2577" w:rsidRDefault="00AD762E" w:rsidP="00AD762E">
      <w:pPr>
        <w:pStyle w:val="Outline1"/>
      </w:pPr>
      <w:r w:rsidRPr="00AD2577">
        <w:t>Rules-Based Standards</w:t>
      </w:r>
    </w:p>
    <w:p w14:paraId="1BF06402" w14:textId="3BE798AD" w:rsidR="00AD762E" w:rsidRPr="00AD2577" w:rsidRDefault="00AD762E" w:rsidP="00AD762E">
      <w:pPr>
        <w:pStyle w:val="Outline1"/>
      </w:pPr>
      <w:r w:rsidRPr="00AD2577">
        <w:t>Objectives-Oriented Standards</w:t>
      </w:r>
    </w:p>
    <w:p w14:paraId="3ED8FD43" w14:textId="1CEF252B" w:rsidR="001501D0" w:rsidRPr="00AD2577" w:rsidRDefault="001501D0" w:rsidP="00AD762E">
      <w:pPr>
        <w:pStyle w:val="Outline1"/>
      </w:pPr>
      <w:r w:rsidRPr="00AD2577">
        <w:t>U.S. GAAP and IFRS: Rules versus Principles</w:t>
      </w:r>
    </w:p>
    <w:p w14:paraId="1FE06F5D" w14:textId="1DCE7DEE" w:rsidR="00A7583B" w:rsidRPr="00AD2577" w:rsidRDefault="00A7583B" w:rsidP="00DD6FDE">
      <w:pPr>
        <w:pStyle w:val="OutlineA0"/>
      </w:pPr>
      <w:r w:rsidRPr="00AD2577">
        <w:t>Asset/Liability Approach</w:t>
      </w:r>
    </w:p>
    <w:p w14:paraId="001D0A59" w14:textId="77777777" w:rsidR="00A7583B" w:rsidRPr="00AD2577" w:rsidRDefault="00A7583B" w:rsidP="00DD6FDE">
      <w:pPr>
        <w:pStyle w:val="OutlineA0"/>
      </w:pPr>
      <w:r w:rsidRPr="00AD2577">
        <w:t>Fair Value Measurements</w:t>
      </w:r>
    </w:p>
    <w:p w14:paraId="1ACF65DA" w14:textId="77777777" w:rsidR="00FD35C6" w:rsidRPr="00AD2577" w:rsidRDefault="00FD35C6">
      <w:pPr>
        <w:rPr>
          <w:rFonts w:ascii="Arial" w:hAnsi="Arial" w:cs="Arial"/>
          <w:b/>
          <w:spacing w:val="30"/>
          <w:sz w:val="28"/>
          <w:szCs w:val="24"/>
        </w:rPr>
      </w:pPr>
      <w:r w:rsidRPr="00AD2577">
        <w:br w:type="page"/>
      </w:r>
    </w:p>
    <w:p w14:paraId="401D06FD" w14:textId="387456A1" w:rsidR="00FD35C6" w:rsidRPr="00AD2577" w:rsidRDefault="00FD35C6" w:rsidP="00FD35C6">
      <w:pPr>
        <w:pStyle w:val="1head"/>
        <w:spacing w:after="120"/>
      </w:pPr>
      <w:r w:rsidRPr="00AD2577">
        <w:t>Assignment Grid</w:t>
      </w:r>
    </w:p>
    <w:tbl>
      <w:tblPr>
        <w:tblStyle w:val="TableGrid"/>
        <w:tblW w:w="0" w:type="auto"/>
        <w:shd w:val="clear" w:color="auto" w:fill="BFBFBF" w:themeFill="background1" w:themeFillShade="BF"/>
        <w:tblLook w:val="04A0" w:firstRow="1" w:lastRow="0" w:firstColumn="1" w:lastColumn="0" w:noHBand="0" w:noVBand="1"/>
      </w:tblPr>
      <w:tblGrid>
        <w:gridCol w:w="1386"/>
        <w:gridCol w:w="3988"/>
        <w:gridCol w:w="1353"/>
        <w:gridCol w:w="1740"/>
        <w:gridCol w:w="1109"/>
      </w:tblGrid>
      <w:tr w:rsidR="00FD35C6" w:rsidRPr="00AD2577" w14:paraId="72FCD58A" w14:textId="77777777" w:rsidTr="00FD35C6">
        <w:tc>
          <w:tcPr>
            <w:tcW w:w="1392" w:type="dxa"/>
            <w:tcBorders>
              <w:bottom w:val="single" w:sz="4" w:space="0" w:color="auto"/>
            </w:tcBorders>
            <w:shd w:val="clear" w:color="auto" w:fill="BFBFBF" w:themeFill="background1" w:themeFillShade="BF"/>
            <w:vAlign w:val="bottom"/>
          </w:tcPr>
          <w:p w14:paraId="34A1E84F" w14:textId="77777777" w:rsidR="00FD35C6" w:rsidRPr="00AD2577" w:rsidRDefault="00FD35C6" w:rsidP="00FD35C6">
            <w:pPr>
              <w:jc w:val="center"/>
              <w:rPr>
                <w:rFonts w:ascii="Times New Roman" w:hAnsi="Times New Roman" w:cs="Times New Roman"/>
                <w:b/>
                <w:szCs w:val="24"/>
              </w:rPr>
            </w:pPr>
            <w:r w:rsidRPr="00AD2577">
              <w:rPr>
                <w:rFonts w:ascii="Times New Roman" w:hAnsi="Times New Roman" w:cs="Times New Roman"/>
                <w:b/>
                <w:szCs w:val="24"/>
              </w:rPr>
              <w:t>Assignment</w:t>
            </w:r>
          </w:p>
        </w:tc>
        <w:tc>
          <w:tcPr>
            <w:tcW w:w="4202" w:type="dxa"/>
            <w:tcBorders>
              <w:bottom w:val="single" w:sz="4" w:space="0" w:color="auto"/>
            </w:tcBorders>
            <w:shd w:val="clear" w:color="auto" w:fill="BFBFBF" w:themeFill="background1" w:themeFillShade="BF"/>
            <w:vAlign w:val="bottom"/>
          </w:tcPr>
          <w:p w14:paraId="4259F4B8" w14:textId="77777777" w:rsidR="00FD35C6" w:rsidRPr="00AD2577" w:rsidRDefault="00FD35C6" w:rsidP="00FD35C6">
            <w:pPr>
              <w:pStyle w:val="TCH"/>
            </w:pPr>
            <w:r w:rsidRPr="00AD2577">
              <w:t>Topic(s)</w:t>
            </w:r>
          </w:p>
        </w:tc>
        <w:tc>
          <w:tcPr>
            <w:tcW w:w="1084" w:type="dxa"/>
            <w:tcBorders>
              <w:bottom w:val="single" w:sz="4" w:space="0" w:color="auto"/>
            </w:tcBorders>
            <w:shd w:val="clear" w:color="auto" w:fill="BFBFBF" w:themeFill="background1" w:themeFillShade="BF"/>
            <w:vAlign w:val="bottom"/>
          </w:tcPr>
          <w:p w14:paraId="100DFE67" w14:textId="78A4D41F" w:rsidR="00FD35C6" w:rsidRPr="00AD2577" w:rsidRDefault="00FD35C6" w:rsidP="00FD35C6">
            <w:pPr>
              <w:jc w:val="center"/>
              <w:rPr>
                <w:rFonts w:ascii="Times New Roman" w:hAnsi="Times New Roman" w:cs="Times New Roman"/>
                <w:b/>
                <w:szCs w:val="24"/>
              </w:rPr>
            </w:pPr>
            <w:r w:rsidRPr="00AD2577">
              <w:rPr>
                <w:rFonts w:ascii="Times New Roman" w:hAnsi="Times New Roman" w:cs="Times New Roman"/>
                <w:b/>
                <w:szCs w:val="24"/>
              </w:rPr>
              <w:t xml:space="preserve">Learning </w:t>
            </w:r>
            <w:r w:rsidR="00002715" w:rsidRPr="00AD2577">
              <w:rPr>
                <w:rFonts w:ascii="Times New Roman" w:hAnsi="Times New Roman" w:cs="Times New Roman"/>
                <w:b/>
                <w:szCs w:val="24"/>
              </w:rPr>
              <w:t>Objective</w:t>
            </w:r>
            <w:r w:rsidRPr="00AD2577">
              <w:rPr>
                <w:rFonts w:ascii="Times New Roman" w:hAnsi="Times New Roman" w:cs="Times New Roman"/>
                <w:b/>
                <w:szCs w:val="24"/>
              </w:rPr>
              <w:t>(s)</w:t>
            </w:r>
          </w:p>
        </w:tc>
        <w:tc>
          <w:tcPr>
            <w:tcW w:w="1789" w:type="dxa"/>
            <w:tcBorders>
              <w:bottom w:val="single" w:sz="4" w:space="0" w:color="auto"/>
            </w:tcBorders>
            <w:shd w:val="clear" w:color="auto" w:fill="BFBFBF" w:themeFill="background1" w:themeFillShade="BF"/>
            <w:vAlign w:val="bottom"/>
          </w:tcPr>
          <w:p w14:paraId="03E57ACE" w14:textId="77777777" w:rsidR="00FD35C6" w:rsidRPr="00AD2577" w:rsidRDefault="00FD35C6" w:rsidP="00FD35C6">
            <w:pPr>
              <w:jc w:val="center"/>
              <w:rPr>
                <w:rFonts w:ascii="Times New Roman" w:hAnsi="Times New Roman" w:cs="Times New Roman"/>
                <w:b/>
                <w:szCs w:val="24"/>
              </w:rPr>
            </w:pPr>
            <w:r w:rsidRPr="00AD2577">
              <w:rPr>
                <w:rFonts w:ascii="Times New Roman" w:hAnsi="Times New Roman" w:cs="Times New Roman"/>
                <w:b/>
                <w:szCs w:val="24"/>
              </w:rPr>
              <w:t>Estimated Time in Minutes</w:t>
            </w:r>
          </w:p>
        </w:tc>
        <w:tc>
          <w:tcPr>
            <w:tcW w:w="1109" w:type="dxa"/>
            <w:tcBorders>
              <w:bottom w:val="single" w:sz="4" w:space="0" w:color="auto"/>
            </w:tcBorders>
            <w:shd w:val="clear" w:color="auto" w:fill="BFBFBF" w:themeFill="background1" w:themeFillShade="BF"/>
            <w:vAlign w:val="bottom"/>
          </w:tcPr>
          <w:p w14:paraId="15A4EBF5" w14:textId="77777777" w:rsidR="00FD35C6" w:rsidRPr="00AD2577" w:rsidRDefault="00FD35C6" w:rsidP="00FD35C6">
            <w:pPr>
              <w:jc w:val="center"/>
              <w:rPr>
                <w:rFonts w:ascii="Times New Roman" w:hAnsi="Times New Roman" w:cs="Times New Roman"/>
                <w:b/>
                <w:szCs w:val="24"/>
              </w:rPr>
            </w:pPr>
            <w:r w:rsidRPr="00AD2577">
              <w:rPr>
                <w:rFonts w:ascii="Times New Roman" w:hAnsi="Times New Roman" w:cs="Times New Roman"/>
                <w:b/>
                <w:szCs w:val="24"/>
              </w:rPr>
              <w:t>Level of Difficulty</w:t>
            </w:r>
          </w:p>
        </w:tc>
      </w:tr>
      <w:tr w:rsidR="00FD35C6" w:rsidRPr="00AD2577" w14:paraId="4A95D896" w14:textId="77777777" w:rsidTr="00FD35C6">
        <w:trPr>
          <w:trHeight w:val="179"/>
        </w:trPr>
        <w:tc>
          <w:tcPr>
            <w:tcW w:w="9576" w:type="dxa"/>
            <w:gridSpan w:val="5"/>
            <w:shd w:val="clear" w:color="auto" w:fill="D9D9D9"/>
          </w:tcPr>
          <w:p w14:paraId="26E216EA" w14:textId="77777777" w:rsidR="00FD35C6" w:rsidRPr="00AD2577" w:rsidRDefault="00FD35C6" w:rsidP="00FD35C6">
            <w:pPr>
              <w:pStyle w:val="TSH"/>
            </w:pPr>
            <w:r w:rsidRPr="00AD2577">
              <w:t>Questions</w:t>
            </w:r>
          </w:p>
        </w:tc>
      </w:tr>
      <w:tr w:rsidR="00FD35C6" w:rsidRPr="00AD2577" w14:paraId="51CD33EB" w14:textId="77777777" w:rsidTr="00FD35C6">
        <w:trPr>
          <w:trHeight w:val="179"/>
        </w:trPr>
        <w:tc>
          <w:tcPr>
            <w:tcW w:w="1392" w:type="dxa"/>
            <w:shd w:val="clear" w:color="auto" w:fill="auto"/>
          </w:tcPr>
          <w:p w14:paraId="71A2DA91" w14:textId="77777777" w:rsidR="00FD35C6" w:rsidRPr="00AD2577" w:rsidRDefault="00FD35C6" w:rsidP="00FD35C6">
            <w:pPr>
              <w:pStyle w:val="TBCentered"/>
            </w:pPr>
            <w:r w:rsidRPr="00AD2577">
              <w:t>Q1-1</w:t>
            </w:r>
          </w:p>
        </w:tc>
        <w:tc>
          <w:tcPr>
            <w:tcW w:w="4202" w:type="dxa"/>
            <w:shd w:val="clear" w:color="auto" w:fill="auto"/>
          </w:tcPr>
          <w:p w14:paraId="0FA7D1FB" w14:textId="6F182E97" w:rsidR="00FD35C6" w:rsidRPr="00AD2577" w:rsidRDefault="00FD35C6" w:rsidP="00FD35C6">
            <w:pPr>
              <w:pStyle w:val="TBLeft"/>
            </w:pPr>
            <w:r w:rsidRPr="00AD2577">
              <w:t xml:space="preserve">Definition </w:t>
            </w:r>
            <w:r w:rsidR="00BD49BE" w:rsidRPr="00AD2577">
              <w:t>of Financial Accounting</w:t>
            </w:r>
          </w:p>
        </w:tc>
        <w:tc>
          <w:tcPr>
            <w:tcW w:w="1084" w:type="dxa"/>
            <w:shd w:val="clear" w:color="auto" w:fill="auto"/>
          </w:tcPr>
          <w:p w14:paraId="342F53D7" w14:textId="77777777" w:rsidR="00FD35C6" w:rsidRPr="00AD2577" w:rsidRDefault="00FD35C6" w:rsidP="00FD35C6">
            <w:pPr>
              <w:pStyle w:val="TBCentered"/>
            </w:pPr>
            <w:r w:rsidRPr="00AD2577">
              <w:t>1</w:t>
            </w:r>
          </w:p>
        </w:tc>
        <w:tc>
          <w:tcPr>
            <w:tcW w:w="1789" w:type="dxa"/>
            <w:shd w:val="clear" w:color="auto" w:fill="auto"/>
          </w:tcPr>
          <w:p w14:paraId="16B027CA" w14:textId="77777777" w:rsidR="00FD35C6" w:rsidRPr="00AD2577" w:rsidRDefault="00FD35C6" w:rsidP="00FD35C6">
            <w:pPr>
              <w:pStyle w:val="TBCentered"/>
            </w:pPr>
            <w:r w:rsidRPr="00AD2577">
              <w:t>10</w:t>
            </w:r>
          </w:p>
        </w:tc>
        <w:tc>
          <w:tcPr>
            <w:tcW w:w="1109" w:type="dxa"/>
            <w:shd w:val="clear" w:color="auto" w:fill="auto"/>
          </w:tcPr>
          <w:p w14:paraId="7EF32B33" w14:textId="77777777" w:rsidR="00FD35C6" w:rsidRPr="00AD2577" w:rsidRDefault="00FD35C6" w:rsidP="00FD35C6">
            <w:pPr>
              <w:pStyle w:val="TBCentered"/>
            </w:pPr>
            <w:r w:rsidRPr="00AD2577">
              <w:t>Easy</w:t>
            </w:r>
          </w:p>
        </w:tc>
      </w:tr>
      <w:tr w:rsidR="00FD35C6" w:rsidRPr="00AD2577" w14:paraId="31F334EB" w14:textId="77777777" w:rsidTr="00FD35C6">
        <w:trPr>
          <w:trHeight w:val="179"/>
        </w:trPr>
        <w:tc>
          <w:tcPr>
            <w:tcW w:w="1392" w:type="dxa"/>
            <w:shd w:val="clear" w:color="auto" w:fill="auto"/>
          </w:tcPr>
          <w:p w14:paraId="484DA9E5" w14:textId="77777777" w:rsidR="00FD35C6" w:rsidRPr="00AD2577" w:rsidRDefault="00FD35C6" w:rsidP="00FD35C6">
            <w:pPr>
              <w:pStyle w:val="TBCentered"/>
            </w:pPr>
            <w:r w:rsidRPr="00AD2577">
              <w:t>Q1-2</w:t>
            </w:r>
          </w:p>
        </w:tc>
        <w:tc>
          <w:tcPr>
            <w:tcW w:w="4202" w:type="dxa"/>
            <w:shd w:val="clear" w:color="auto" w:fill="auto"/>
          </w:tcPr>
          <w:p w14:paraId="667B82C4" w14:textId="22D39A7F" w:rsidR="00FD35C6" w:rsidRPr="00AD2577" w:rsidRDefault="00FD35C6" w:rsidP="00FD35C6">
            <w:pPr>
              <w:pStyle w:val="TBLeft"/>
            </w:pPr>
            <w:r w:rsidRPr="00AD2577">
              <w:t xml:space="preserve">Purpose </w:t>
            </w:r>
            <w:r w:rsidR="00BD49BE" w:rsidRPr="00AD2577">
              <w:t>of Generating Financial Statements</w:t>
            </w:r>
          </w:p>
        </w:tc>
        <w:tc>
          <w:tcPr>
            <w:tcW w:w="1084" w:type="dxa"/>
            <w:shd w:val="clear" w:color="auto" w:fill="auto"/>
          </w:tcPr>
          <w:p w14:paraId="2B548B78" w14:textId="77777777" w:rsidR="00FD35C6" w:rsidRPr="00AD2577" w:rsidRDefault="00FD35C6" w:rsidP="00FD35C6">
            <w:pPr>
              <w:pStyle w:val="TBCentered"/>
            </w:pPr>
            <w:r w:rsidRPr="00AD2577">
              <w:t>1</w:t>
            </w:r>
          </w:p>
        </w:tc>
        <w:tc>
          <w:tcPr>
            <w:tcW w:w="1789" w:type="dxa"/>
            <w:shd w:val="clear" w:color="auto" w:fill="auto"/>
          </w:tcPr>
          <w:p w14:paraId="65775481" w14:textId="77777777" w:rsidR="00FD35C6" w:rsidRPr="00AD2577" w:rsidRDefault="00FD35C6" w:rsidP="00FD35C6">
            <w:pPr>
              <w:pStyle w:val="TBCentered"/>
            </w:pPr>
            <w:r w:rsidRPr="00AD2577">
              <w:t>10</w:t>
            </w:r>
          </w:p>
        </w:tc>
        <w:tc>
          <w:tcPr>
            <w:tcW w:w="1109" w:type="dxa"/>
            <w:shd w:val="clear" w:color="auto" w:fill="auto"/>
          </w:tcPr>
          <w:p w14:paraId="2DF1D7DE" w14:textId="77777777" w:rsidR="00FD35C6" w:rsidRPr="00AD2577" w:rsidRDefault="00FD35C6" w:rsidP="00FD35C6">
            <w:pPr>
              <w:pStyle w:val="TBCentered"/>
            </w:pPr>
            <w:r w:rsidRPr="00AD2577">
              <w:t>Easy</w:t>
            </w:r>
          </w:p>
        </w:tc>
      </w:tr>
      <w:tr w:rsidR="00FD35C6" w:rsidRPr="00AD2577" w14:paraId="51486C08" w14:textId="77777777" w:rsidTr="00FD35C6">
        <w:trPr>
          <w:trHeight w:val="179"/>
        </w:trPr>
        <w:tc>
          <w:tcPr>
            <w:tcW w:w="1392" w:type="dxa"/>
            <w:shd w:val="clear" w:color="auto" w:fill="auto"/>
          </w:tcPr>
          <w:p w14:paraId="5A41E9F8" w14:textId="77777777" w:rsidR="00FD35C6" w:rsidRPr="00AD2577" w:rsidRDefault="00FD35C6" w:rsidP="00FD35C6">
            <w:pPr>
              <w:pStyle w:val="TBCentered"/>
            </w:pPr>
            <w:r w:rsidRPr="00AD2577">
              <w:t>Q1-3</w:t>
            </w:r>
          </w:p>
        </w:tc>
        <w:tc>
          <w:tcPr>
            <w:tcW w:w="4202" w:type="dxa"/>
            <w:shd w:val="clear" w:color="auto" w:fill="auto"/>
          </w:tcPr>
          <w:p w14:paraId="2DB9BDB0" w14:textId="473DE052" w:rsidR="00FD35C6" w:rsidRPr="00AD2577" w:rsidRDefault="00FD35C6" w:rsidP="00FD35C6">
            <w:pPr>
              <w:pStyle w:val="TBLeft"/>
            </w:pPr>
            <w:r w:rsidRPr="00AD2577">
              <w:t xml:space="preserve">Allocation </w:t>
            </w:r>
            <w:r w:rsidR="00BD49BE" w:rsidRPr="00AD2577">
              <w:t>of Capital Linked to the Demand for Financial Reporting</w:t>
            </w:r>
          </w:p>
        </w:tc>
        <w:tc>
          <w:tcPr>
            <w:tcW w:w="1084" w:type="dxa"/>
            <w:shd w:val="clear" w:color="auto" w:fill="auto"/>
          </w:tcPr>
          <w:p w14:paraId="49AEE6AC" w14:textId="77777777" w:rsidR="00FD35C6" w:rsidRPr="00AD2577" w:rsidRDefault="00FD35C6" w:rsidP="00FD35C6">
            <w:pPr>
              <w:pStyle w:val="TBCentered"/>
            </w:pPr>
            <w:r w:rsidRPr="00AD2577">
              <w:t>1</w:t>
            </w:r>
          </w:p>
        </w:tc>
        <w:tc>
          <w:tcPr>
            <w:tcW w:w="1789" w:type="dxa"/>
            <w:shd w:val="clear" w:color="auto" w:fill="auto"/>
          </w:tcPr>
          <w:p w14:paraId="55D4373D" w14:textId="77777777" w:rsidR="00FD35C6" w:rsidRPr="00AD2577" w:rsidRDefault="00FD35C6" w:rsidP="00FD35C6">
            <w:pPr>
              <w:pStyle w:val="TBCentered"/>
            </w:pPr>
            <w:r w:rsidRPr="00AD2577">
              <w:t>10</w:t>
            </w:r>
          </w:p>
        </w:tc>
        <w:tc>
          <w:tcPr>
            <w:tcW w:w="1109" w:type="dxa"/>
            <w:shd w:val="clear" w:color="auto" w:fill="auto"/>
          </w:tcPr>
          <w:p w14:paraId="4958086F" w14:textId="77777777" w:rsidR="00FD35C6" w:rsidRPr="00AD2577" w:rsidRDefault="00FD35C6" w:rsidP="00FD35C6">
            <w:pPr>
              <w:pStyle w:val="TBCentered"/>
            </w:pPr>
            <w:r w:rsidRPr="00AD2577">
              <w:t>Easy</w:t>
            </w:r>
          </w:p>
        </w:tc>
      </w:tr>
      <w:tr w:rsidR="00FD35C6" w:rsidRPr="00AD2577" w14:paraId="6A9BC090" w14:textId="77777777" w:rsidTr="00FD35C6">
        <w:trPr>
          <w:trHeight w:val="179"/>
        </w:trPr>
        <w:tc>
          <w:tcPr>
            <w:tcW w:w="1392" w:type="dxa"/>
            <w:shd w:val="clear" w:color="auto" w:fill="auto"/>
          </w:tcPr>
          <w:p w14:paraId="62654359" w14:textId="77777777" w:rsidR="00FD35C6" w:rsidRPr="00AD2577" w:rsidRDefault="00FD35C6" w:rsidP="00FD35C6">
            <w:pPr>
              <w:pStyle w:val="TBCentered"/>
            </w:pPr>
            <w:r w:rsidRPr="00AD2577">
              <w:t>Q1-4</w:t>
            </w:r>
          </w:p>
        </w:tc>
        <w:tc>
          <w:tcPr>
            <w:tcW w:w="4202" w:type="dxa"/>
            <w:shd w:val="clear" w:color="auto" w:fill="auto"/>
          </w:tcPr>
          <w:p w14:paraId="61D5A25E" w14:textId="6B9BB299" w:rsidR="00FD35C6" w:rsidRPr="00AD2577" w:rsidRDefault="00FD35C6" w:rsidP="00FD35C6">
            <w:pPr>
              <w:pStyle w:val="TBLeft"/>
            </w:pPr>
            <w:r w:rsidRPr="00AD2577">
              <w:t xml:space="preserve">Roles </w:t>
            </w:r>
            <w:r w:rsidR="00BD49BE" w:rsidRPr="00AD2577">
              <w:t>of an Auditor</w:t>
            </w:r>
          </w:p>
        </w:tc>
        <w:tc>
          <w:tcPr>
            <w:tcW w:w="1084" w:type="dxa"/>
            <w:shd w:val="clear" w:color="auto" w:fill="auto"/>
          </w:tcPr>
          <w:p w14:paraId="5BC2E5B6" w14:textId="77777777" w:rsidR="00FD35C6" w:rsidRPr="00AD2577" w:rsidRDefault="00FD35C6" w:rsidP="00FD35C6">
            <w:pPr>
              <w:pStyle w:val="TBCentered"/>
            </w:pPr>
            <w:r w:rsidRPr="00AD2577">
              <w:t>1</w:t>
            </w:r>
          </w:p>
        </w:tc>
        <w:tc>
          <w:tcPr>
            <w:tcW w:w="1789" w:type="dxa"/>
            <w:shd w:val="clear" w:color="auto" w:fill="auto"/>
          </w:tcPr>
          <w:p w14:paraId="5EF350BB" w14:textId="77777777" w:rsidR="00FD35C6" w:rsidRPr="00AD2577" w:rsidRDefault="00FD35C6" w:rsidP="00FD35C6">
            <w:pPr>
              <w:pStyle w:val="TBCentered"/>
            </w:pPr>
            <w:r w:rsidRPr="00AD2577">
              <w:t>10</w:t>
            </w:r>
          </w:p>
        </w:tc>
        <w:tc>
          <w:tcPr>
            <w:tcW w:w="1109" w:type="dxa"/>
            <w:shd w:val="clear" w:color="auto" w:fill="auto"/>
          </w:tcPr>
          <w:p w14:paraId="376CF911" w14:textId="77777777" w:rsidR="00FD35C6" w:rsidRPr="00AD2577" w:rsidRDefault="00FD35C6" w:rsidP="00FD35C6">
            <w:pPr>
              <w:pStyle w:val="TBCentered"/>
            </w:pPr>
            <w:r w:rsidRPr="00AD2577">
              <w:t>Easy</w:t>
            </w:r>
          </w:p>
        </w:tc>
      </w:tr>
      <w:tr w:rsidR="00FD35C6" w:rsidRPr="00AD2577" w14:paraId="7875B52F" w14:textId="77777777" w:rsidTr="00FD35C6">
        <w:trPr>
          <w:trHeight w:val="179"/>
        </w:trPr>
        <w:tc>
          <w:tcPr>
            <w:tcW w:w="1392" w:type="dxa"/>
            <w:shd w:val="clear" w:color="auto" w:fill="auto"/>
          </w:tcPr>
          <w:p w14:paraId="743747C6" w14:textId="77777777" w:rsidR="00FD35C6" w:rsidRPr="00AD2577" w:rsidRDefault="00FD35C6" w:rsidP="00FD35C6">
            <w:pPr>
              <w:pStyle w:val="TBCentered"/>
            </w:pPr>
            <w:r w:rsidRPr="00AD2577">
              <w:t>Q1-5</w:t>
            </w:r>
          </w:p>
        </w:tc>
        <w:tc>
          <w:tcPr>
            <w:tcW w:w="4202" w:type="dxa"/>
            <w:shd w:val="clear" w:color="auto" w:fill="auto"/>
          </w:tcPr>
          <w:p w14:paraId="07C9739D" w14:textId="4F6855BF" w:rsidR="00FD35C6" w:rsidRPr="00AD2577" w:rsidRDefault="00FD35C6" w:rsidP="00FD35C6">
            <w:pPr>
              <w:pStyle w:val="TBLeft"/>
            </w:pPr>
            <w:r w:rsidRPr="00AD2577">
              <w:t xml:space="preserve">Accounting </w:t>
            </w:r>
            <w:r w:rsidR="00BD49BE" w:rsidRPr="00AD2577">
              <w:t>Standard Setters</w:t>
            </w:r>
          </w:p>
        </w:tc>
        <w:tc>
          <w:tcPr>
            <w:tcW w:w="1084" w:type="dxa"/>
            <w:shd w:val="clear" w:color="auto" w:fill="auto"/>
          </w:tcPr>
          <w:p w14:paraId="56650B1A" w14:textId="77777777" w:rsidR="00FD35C6" w:rsidRPr="00AD2577" w:rsidRDefault="00FD35C6" w:rsidP="00FD35C6">
            <w:pPr>
              <w:pStyle w:val="TBCentered"/>
            </w:pPr>
            <w:r w:rsidRPr="00AD2577">
              <w:t>2</w:t>
            </w:r>
          </w:p>
        </w:tc>
        <w:tc>
          <w:tcPr>
            <w:tcW w:w="1789" w:type="dxa"/>
            <w:shd w:val="clear" w:color="auto" w:fill="auto"/>
          </w:tcPr>
          <w:p w14:paraId="7D67BFB4" w14:textId="77777777" w:rsidR="00FD35C6" w:rsidRPr="00AD2577" w:rsidRDefault="00FD35C6" w:rsidP="00FD35C6">
            <w:pPr>
              <w:pStyle w:val="TBCentered"/>
            </w:pPr>
            <w:r w:rsidRPr="00AD2577">
              <w:t>10</w:t>
            </w:r>
          </w:p>
        </w:tc>
        <w:tc>
          <w:tcPr>
            <w:tcW w:w="1109" w:type="dxa"/>
            <w:shd w:val="clear" w:color="auto" w:fill="auto"/>
          </w:tcPr>
          <w:p w14:paraId="103265BD" w14:textId="77777777" w:rsidR="00FD35C6" w:rsidRPr="00AD2577" w:rsidRDefault="00FD35C6" w:rsidP="00FD35C6">
            <w:pPr>
              <w:pStyle w:val="TBCentered"/>
            </w:pPr>
            <w:r w:rsidRPr="00AD2577">
              <w:t>Medium</w:t>
            </w:r>
          </w:p>
        </w:tc>
      </w:tr>
      <w:tr w:rsidR="00FD35C6" w:rsidRPr="00AD2577" w14:paraId="79BEAA6D" w14:textId="77777777" w:rsidTr="00FD35C6">
        <w:trPr>
          <w:trHeight w:val="179"/>
        </w:trPr>
        <w:tc>
          <w:tcPr>
            <w:tcW w:w="1392" w:type="dxa"/>
            <w:shd w:val="clear" w:color="auto" w:fill="auto"/>
          </w:tcPr>
          <w:p w14:paraId="56B4CEC0" w14:textId="77777777" w:rsidR="00FD35C6" w:rsidRPr="00252EF7" w:rsidRDefault="00FD35C6" w:rsidP="00FD35C6">
            <w:pPr>
              <w:pStyle w:val="TBCentered"/>
              <w:rPr>
                <w:color w:val="385623" w:themeColor="accent6" w:themeShade="80"/>
              </w:rPr>
            </w:pPr>
            <w:r w:rsidRPr="00252EF7">
              <w:rPr>
                <w:color w:val="385623" w:themeColor="accent6" w:themeShade="80"/>
              </w:rPr>
              <w:t>Q1-6</w:t>
            </w:r>
          </w:p>
        </w:tc>
        <w:tc>
          <w:tcPr>
            <w:tcW w:w="4202" w:type="dxa"/>
            <w:shd w:val="clear" w:color="auto" w:fill="auto"/>
          </w:tcPr>
          <w:p w14:paraId="716C6D32" w14:textId="77777777" w:rsidR="00FD35C6" w:rsidRPr="00252EF7" w:rsidRDefault="00FD35C6" w:rsidP="00FD35C6">
            <w:pPr>
              <w:pStyle w:val="TBLeft"/>
              <w:rPr>
                <w:color w:val="385623" w:themeColor="accent6" w:themeShade="80"/>
              </w:rPr>
            </w:pPr>
            <w:r w:rsidRPr="00252EF7">
              <w:rPr>
                <w:color w:val="385623" w:themeColor="accent6" w:themeShade="80"/>
              </w:rPr>
              <w:t>IFRS</w:t>
            </w:r>
          </w:p>
        </w:tc>
        <w:tc>
          <w:tcPr>
            <w:tcW w:w="1084" w:type="dxa"/>
            <w:shd w:val="clear" w:color="auto" w:fill="auto"/>
          </w:tcPr>
          <w:p w14:paraId="67A60202" w14:textId="77777777" w:rsidR="00FD35C6" w:rsidRPr="00252EF7" w:rsidRDefault="00FD35C6" w:rsidP="00FD35C6">
            <w:pPr>
              <w:pStyle w:val="TBCentered"/>
              <w:rPr>
                <w:color w:val="385623" w:themeColor="accent6" w:themeShade="80"/>
              </w:rPr>
            </w:pPr>
            <w:r w:rsidRPr="00252EF7">
              <w:rPr>
                <w:color w:val="385623" w:themeColor="accent6" w:themeShade="80"/>
              </w:rPr>
              <w:t>2</w:t>
            </w:r>
          </w:p>
        </w:tc>
        <w:tc>
          <w:tcPr>
            <w:tcW w:w="1789" w:type="dxa"/>
            <w:shd w:val="clear" w:color="auto" w:fill="auto"/>
          </w:tcPr>
          <w:p w14:paraId="66A807D3" w14:textId="77777777" w:rsidR="00FD35C6" w:rsidRPr="00252EF7" w:rsidRDefault="00FD35C6" w:rsidP="00FD35C6">
            <w:pPr>
              <w:pStyle w:val="TBCentered"/>
              <w:rPr>
                <w:color w:val="385623" w:themeColor="accent6" w:themeShade="80"/>
              </w:rPr>
            </w:pPr>
            <w:r w:rsidRPr="00252EF7">
              <w:rPr>
                <w:color w:val="385623" w:themeColor="accent6" w:themeShade="80"/>
              </w:rPr>
              <w:t>5</w:t>
            </w:r>
          </w:p>
        </w:tc>
        <w:tc>
          <w:tcPr>
            <w:tcW w:w="1109" w:type="dxa"/>
            <w:shd w:val="clear" w:color="auto" w:fill="auto"/>
          </w:tcPr>
          <w:p w14:paraId="57412894" w14:textId="77777777" w:rsidR="00FD35C6" w:rsidRPr="00252EF7" w:rsidRDefault="00FD35C6" w:rsidP="00FD35C6">
            <w:pPr>
              <w:pStyle w:val="TBCentered"/>
              <w:rPr>
                <w:color w:val="385623" w:themeColor="accent6" w:themeShade="80"/>
              </w:rPr>
            </w:pPr>
            <w:r w:rsidRPr="00252EF7">
              <w:rPr>
                <w:color w:val="385623" w:themeColor="accent6" w:themeShade="80"/>
              </w:rPr>
              <w:t>Easy</w:t>
            </w:r>
          </w:p>
        </w:tc>
      </w:tr>
      <w:tr w:rsidR="00FD35C6" w:rsidRPr="00AD2577" w14:paraId="7F358975" w14:textId="77777777" w:rsidTr="00FD35C6">
        <w:trPr>
          <w:trHeight w:val="179"/>
        </w:trPr>
        <w:tc>
          <w:tcPr>
            <w:tcW w:w="1392" w:type="dxa"/>
            <w:shd w:val="clear" w:color="auto" w:fill="auto"/>
          </w:tcPr>
          <w:p w14:paraId="229D10AF" w14:textId="77777777" w:rsidR="00FD35C6" w:rsidRPr="00AD2577" w:rsidRDefault="00FD35C6" w:rsidP="00FD35C6">
            <w:pPr>
              <w:pStyle w:val="TBCentered"/>
            </w:pPr>
            <w:r w:rsidRPr="00AD2577">
              <w:t>Q1-7</w:t>
            </w:r>
          </w:p>
        </w:tc>
        <w:tc>
          <w:tcPr>
            <w:tcW w:w="4202" w:type="dxa"/>
            <w:shd w:val="clear" w:color="auto" w:fill="auto"/>
          </w:tcPr>
          <w:p w14:paraId="7E95D16D" w14:textId="77777777" w:rsidR="00FD35C6" w:rsidRPr="00AD2577" w:rsidRDefault="00FD35C6" w:rsidP="00FD35C6">
            <w:pPr>
              <w:pStyle w:val="TBLeft"/>
            </w:pPr>
            <w:r w:rsidRPr="00AD2577">
              <w:t>FASB</w:t>
            </w:r>
          </w:p>
        </w:tc>
        <w:tc>
          <w:tcPr>
            <w:tcW w:w="1084" w:type="dxa"/>
            <w:shd w:val="clear" w:color="auto" w:fill="auto"/>
          </w:tcPr>
          <w:p w14:paraId="54904A38" w14:textId="77777777" w:rsidR="00FD35C6" w:rsidRPr="00AD2577" w:rsidRDefault="00FD35C6" w:rsidP="00FD35C6">
            <w:pPr>
              <w:pStyle w:val="TBCentered"/>
            </w:pPr>
            <w:r w:rsidRPr="00AD2577">
              <w:t>3</w:t>
            </w:r>
          </w:p>
        </w:tc>
        <w:tc>
          <w:tcPr>
            <w:tcW w:w="1789" w:type="dxa"/>
            <w:shd w:val="clear" w:color="auto" w:fill="auto"/>
          </w:tcPr>
          <w:p w14:paraId="3E7C177E" w14:textId="77777777" w:rsidR="00FD35C6" w:rsidRPr="00AD2577" w:rsidRDefault="00FD35C6" w:rsidP="00FD35C6">
            <w:pPr>
              <w:pStyle w:val="TBCentered"/>
            </w:pPr>
            <w:r w:rsidRPr="00AD2577">
              <w:t>5</w:t>
            </w:r>
          </w:p>
        </w:tc>
        <w:tc>
          <w:tcPr>
            <w:tcW w:w="1109" w:type="dxa"/>
            <w:shd w:val="clear" w:color="auto" w:fill="auto"/>
          </w:tcPr>
          <w:p w14:paraId="399E0BC0" w14:textId="77777777" w:rsidR="00FD35C6" w:rsidRPr="00AD2577" w:rsidRDefault="00FD35C6" w:rsidP="00FD35C6">
            <w:pPr>
              <w:pStyle w:val="TBCentered"/>
            </w:pPr>
            <w:r w:rsidRPr="00AD2577">
              <w:t>Easy</w:t>
            </w:r>
          </w:p>
        </w:tc>
      </w:tr>
      <w:tr w:rsidR="00FD35C6" w:rsidRPr="00AD2577" w14:paraId="4C81896F" w14:textId="77777777" w:rsidTr="00FD35C6">
        <w:trPr>
          <w:trHeight w:val="179"/>
        </w:trPr>
        <w:tc>
          <w:tcPr>
            <w:tcW w:w="1392" w:type="dxa"/>
            <w:shd w:val="clear" w:color="auto" w:fill="auto"/>
          </w:tcPr>
          <w:p w14:paraId="43E73CFF" w14:textId="77777777" w:rsidR="00FD35C6" w:rsidRPr="00AD2577" w:rsidRDefault="00FD35C6" w:rsidP="00FD35C6">
            <w:pPr>
              <w:pStyle w:val="TBCentered"/>
            </w:pPr>
            <w:r w:rsidRPr="00AD2577">
              <w:t>Q1-8</w:t>
            </w:r>
          </w:p>
        </w:tc>
        <w:tc>
          <w:tcPr>
            <w:tcW w:w="4202" w:type="dxa"/>
            <w:shd w:val="clear" w:color="auto" w:fill="auto"/>
          </w:tcPr>
          <w:p w14:paraId="191BE745" w14:textId="0914B6F2" w:rsidR="00FD35C6" w:rsidRPr="00AD2577" w:rsidRDefault="00FD35C6" w:rsidP="00FD35C6">
            <w:pPr>
              <w:pStyle w:val="TBLeft"/>
            </w:pPr>
            <w:r w:rsidRPr="00AD2577">
              <w:t xml:space="preserve">Politics and </w:t>
            </w:r>
            <w:r w:rsidR="00BD49BE" w:rsidRPr="00AD2577">
              <w:t>Financial Accounting</w:t>
            </w:r>
          </w:p>
        </w:tc>
        <w:tc>
          <w:tcPr>
            <w:tcW w:w="1084" w:type="dxa"/>
            <w:shd w:val="clear" w:color="auto" w:fill="auto"/>
          </w:tcPr>
          <w:p w14:paraId="5E83F35E" w14:textId="3410097B" w:rsidR="00FD35C6" w:rsidRPr="00AD2577" w:rsidRDefault="00DF79C7" w:rsidP="00FD35C6">
            <w:pPr>
              <w:pStyle w:val="TBCentered"/>
            </w:pPr>
            <w:r w:rsidRPr="00AD2577">
              <w:t xml:space="preserve">1, </w:t>
            </w:r>
            <w:r w:rsidR="00FD35C6" w:rsidRPr="00AD2577">
              <w:t>3</w:t>
            </w:r>
          </w:p>
        </w:tc>
        <w:tc>
          <w:tcPr>
            <w:tcW w:w="1789" w:type="dxa"/>
            <w:shd w:val="clear" w:color="auto" w:fill="auto"/>
          </w:tcPr>
          <w:p w14:paraId="071C4AEC" w14:textId="77777777" w:rsidR="00FD35C6" w:rsidRPr="00AD2577" w:rsidRDefault="00FD35C6" w:rsidP="00FD35C6">
            <w:pPr>
              <w:pStyle w:val="TBCentered"/>
            </w:pPr>
            <w:r w:rsidRPr="00AD2577">
              <w:t>15</w:t>
            </w:r>
          </w:p>
        </w:tc>
        <w:tc>
          <w:tcPr>
            <w:tcW w:w="1109" w:type="dxa"/>
            <w:shd w:val="clear" w:color="auto" w:fill="auto"/>
          </w:tcPr>
          <w:p w14:paraId="6372F72E" w14:textId="77777777" w:rsidR="00FD35C6" w:rsidRPr="00AD2577" w:rsidRDefault="00FD35C6" w:rsidP="00FD35C6">
            <w:pPr>
              <w:pStyle w:val="TBCentered"/>
            </w:pPr>
            <w:r w:rsidRPr="00AD2577">
              <w:t>Medium</w:t>
            </w:r>
          </w:p>
        </w:tc>
      </w:tr>
      <w:tr w:rsidR="00FD35C6" w:rsidRPr="00AD2577" w14:paraId="46AAAEC3" w14:textId="77777777" w:rsidTr="00FD35C6">
        <w:trPr>
          <w:trHeight w:val="179"/>
        </w:trPr>
        <w:tc>
          <w:tcPr>
            <w:tcW w:w="1392" w:type="dxa"/>
            <w:shd w:val="clear" w:color="auto" w:fill="auto"/>
          </w:tcPr>
          <w:p w14:paraId="20824C7B" w14:textId="77777777" w:rsidR="00FD35C6" w:rsidRPr="00AD2577" w:rsidRDefault="00FD35C6" w:rsidP="00FD35C6">
            <w:pPr>
              <w:pStyle w:val="TBCentered"/>
            </w:pPr>
            <w:r w:rsidRPr="00AD2577">
              <w:t>Q1-9</w:t>
            </w:r>
          </w:p>
        </w:tc>
        <w:tc>
          <w:tcPr>
            <w:tcW w:w="4202" w:type="dxa"/>
            <w:shd w:val="clear" w:color="auto" w:fill="auto"/>
          </w:tcPr>
          <w:p w14:paraId="41BCC667" w14:textId="0A4992AF" w:rsidR="00FD35C6" w:rsidRPr="00AD2577" w:rsidRDefault="00FD35C6" w:rsidP="00FD35C6">
            <w:pPr>
              <w:pStyle w:val="TBLeft"/>
            </w:pPr>
            <w:r w:rsidRPr="00AD2577">
              <w:t>Principles-</w:t>
            </w:r>
            <w:r w:rsidR="00BD49BE" w:rsidRPr="00AD2577">
              <w:t>Based Standards</w:t>
            </w:r>
            <w:r w:rsidR="00573283" w:rsidRPr="00AD2577">
              <w:t xml:space="preserve"> </w:t>
            </w:r>
            <w:r w:rsidR="00B91337" w:rsidRPr="00AD2577">
              <w:t>versus</w:t>
            </w:r>
            <w:r w:rsidR="00573283" w:rsidRPr="00AD2577">
              <w:t xml:space="preserve"> Rule</w:t>
            </w:r>
            <w:r w:rsidR="00B91337" w:rsidRPr="00AD2577">
              <w:t>s</w:t>
            </w:r>
            <w:r w:rsidR="00573283" w:rsidRPr="00AD2577">
              <w:t>-Based Standards</w:t>
            </w:r>
          </w:p>
        </w:tc>
        <w:tc>
          <w:tcPr>
            <w:tcW w:w="1084" w:type="dxa"/>
            <w:shd w:val="clear" w:color="auto" w:fill="auto"/>
          </w:tcPr>
          <w:p w14:paraId="02142E58" w14:textId="77777777" w:rsidR="00FD35C6" w:rsidRPr="00AD2577" w:rsidRDefault="00FD35C6" w:rsidP="00FD35C6">
            <w:pPr>
              <w:pStyle w:val="TBCentered"/>
            </w:pPr>
            <w:r w:rsidRPr="00AD2577">
              <w:t>4</w:t>
            </w:r>
          </w:p>
        </w:tc>
        <w:tc>
          <w:tcPr>
            <w:tcW w:w="1789" w:type="dxa"/>
            <w:shd w:val="clear" w:color="auto" w:fill="auto"/>
          </w:tcPr>
          <w:p w14:paraId="5B42A009" w14:textId="77777777" w:rsidR="00FD35C6" w:rsidRPr="00AD2577" w:rsidRDefault="00FD35C6" w:rsidP="00FD35C6">
            <w:pPr>
              <w:pStyle w:val="TBCentered"/>
            </w:pPr>
            <w:r w:rsidRPr="00AD2577">
              <w:t>15</w:t>
            </w:r>
          </w:p>
        </w:tc>
        <w:tc>
          <w:tcPr>
            <w:tcW w:w="1109" w:type="dxa"/>
            <w:shd w:val="clear" w:color="auto" w:fill="auto"/>
          </w:tcPr>
          <w:p w14:paraId="260270B6" w14:textId="77777777" w:rsidR="00FD35C6" w:rsidRPr="00AD2577" w:rsidRDefault="00FD35C6" w:rsidP="00FD35C6">
            <w:pPr>
              <w:pStyle w:val="TBCentered"/>
            </w:pPr>
            <w:r w:rsidRPr="00AD2577">
              <w:t>Medium</w:t>
            </w:r>
          </w:p>
        </w:tc>
      </w:tr>
      <w:tr w:rsidR="00FD35C6" w:rsidRPr="00AD2577" w14:paraId="24D8E2C0" w14:textId="77777777" w:rsidTr="00FD35C6">
        <w:trPr>
          <w:trHeight w:val="179"/>
        </w:trPr>
        <w:tc>
          <w:tcPr>
            <w:tcW w:w="1392" w:type="dxa"/>
            <w:tcBorders>
              <w:bottom w:val="single" w:sz="4" w:space="0" w:color="auto"/>
            </w:tcBorders>
            <w:shd w:val="clear" w:color="auto" w:fill="auto"/>
          </w:tcPr>
          <w:p w14:paraId="1CFF54F8" w14:textId="77777777" w:rsidR="00FD35C6" w:rsidRPr="00AD2577" w:rsidRDefault="00FD35C6" w:rsidP="00FD35C6">
            <w:pPr>
              <w:pStyle w:val="TBCentered"/>
            </w:pPr>
            <w:r w:rsidRPr="00AD2577">
              <w:t>Q1-10</w:t>
            </w:r>
          </w:p>
        </w:tc>
        <w:tc>
          <w:tcPr>
            <w:tcW w:w="4202" w:type="dxa"/>
            <w:tcBorders>
              <w:bottom w:val="single" w:sz="4" w:space="0" w:color="auto"/>
            </w:tcBorders>
            <w:shd w:val="clear" w:color="auto" w:fill="auto"/>
          </w:tcPr>
          <w:p w14:paraId="0A6B77AD" w14:textId="69F3392B" w:rsidR="00FD35C6" w:rsidRPr="00AD2577" w:rsidRDefault="00FD35C6" w:rsidP="00FD35C6">
            <w:pPr>
              <w:pStyle w:val="TBLeft"/>
            </w:pPr>
            <w:r w:rsidRPr="00AD2577">
              <w:t xml:space="preserve">FASB and </w:t>
            </w:r>
            <w:r w:rsidR="00BD49BE" w:rsidRPr="00AD2577">
              <w:t>Standard Setting</w:t>
            </w:r>
          </w:p>
        </w:tc>
        <w:tc>
          <w:tcPr>
            <w:tcW w:w="1084" w:type="dxa"/>
            <w:tcBorders>
              <w:bottom w:val="single" w:sz="4" w:space="0" w:color="auto"/>
            </w:tcBorders>
            <w:shd w:val="clear" w:color="auto" w:fill="auto"/>
          </w:tcPr>
          <w:p w14:paraId="57DAE98F" w14:textId="77777777" w:rsidR="00FD35C6" w:rsidRPr="00AD2577" w:rsidRDefault="00FD35C6" w:rsidP="00FD35C6">
            <w:pPr>
              <w:pStyle w:val="TBCentered"/>
            </w:pPr>
            <w:r w:rsidRPr="00AD2577">
              <w:t>4</w:t>
            </w:r>
          </w:p>
        </w:tc>
        <w:tc>
          <w:tcPr>
            <w:tcW w:w="1789" w:type="dxa"/>
            <w:tcBorders>
              <w:bottom w:val="single" w:sz="4" w:space="0" w:color="auto"/>
            </w:tcBorders>
            <w:shd w:val="clear" w:color="auto" w:fill="auto"/>
          </w:tcPr>
          <w:p w14:paraId="043EF842" w14:textId="77777777" w:rsidR="00FD35C6" w:rsidRPr="00AD2577" w:rsidRDefault="00FD35C6" w:rsidP="00FD35C6">
            <w:pPr>
              <w:pStyle w:val="TBCentered"/>
            </w:pPr>
            <w:r w:rsidRPr="00AD2577">
              <w:t>15</w:t>
            </w:r>
          </w:p>
        </w:tc>
        <w:tc>
          <w:tcPr>
            <w:tcW w:w="1109" w:type="dxa"/>
            <w:tcBorders>
              <w:bottom w:val="single" w:sz="4" w:space="0" w:color="auto"/>
            </w:tcBorders>
            <w:shd w:val="clear" w:color="auto" w:fill="auto"/>
          </w:tcPr>
          <w:p w14:paraId="7EC69F44" w14:textId="77777777" w:rsidR="00FD35C6" w:rsidRPr="00AD2577" w:rsidRDefault="00FD35C6" w:rsidP="00FD35C6">
            <w:pPr>
              <w:pStyle w:val="TBCentered"/>
            </w:pPr>
            <w:r w:rsidRPr="00AD2577">
              <w:t>Medium</w:t>
            </w:r>
          </w:p>
        </w:tc>
      </w:tr>
      <w:tr w:rsidR="00FD35C6" w:rsidRPr="00AD2577" w14:paraId="4D5F5CCF" w14:textId="77777777" w:rsidTr="00FD35C6">
        <w:trPr>
          <w:trHeight w:val="179"/>
        </w:trPr>
        <w:tc>
          <w:tcPr>
            <w:tcW w:w="9576" w:type="dxa"/>
            <w:gridSpan w:val="5"/>
            <w:shd w:val="clear" w:color="auto" w:fill="D9D9D9"/>
          </w:tcPr>
          <w:p w14:paraId="2F7F9AB8" w14:textId="77777777" w:rsidR="00FD35C6" w:rsidRPr="00AD2577" w:rsidRDefault="00FD35C6" w:rsidP="00FD35C6">
            <w:pPr>
              <w:pStyle w:val="TSH"/>
            </w:pPr>
            <w:r w:rsidRPr="00AD2577">
              <w:t>Brief Exercises</w:t>
            </w:r>
          </w:p>
        </w:tc>
      </w:tr>
      <w:tr w:rsidR="00FD35C6" w:rsidRPr="00AD2577" w14:paraId="56F5B379" w14:textId="77777777" w:rsidTr="00FD35C6">
        <w:trPr>
          <w:trHeight w:val="179"/>
        </w:trPr>
        <w:tc>
          <w:tcPr>
            <w:tcW w:w="1392" w:type="dxa"/>
            <w:shd w:val="clear" w:color="auto" w:fill="auto"/>
          </w:tcPr>
          <w:p w14:paraId="5E78547A" w14:textId="0B459A16" w:rsidR="00FD35C6" w:rsidRPr="00AD2577" w:rsidRDefault="005E78CB" w:rsidP="00FD35C6">
            <w:pPr>
              <w:pStyle w:val="TBCentered"/>
            </w:pPr>
            <w:r w:rsidRPr="00AD2577">
              <w:t>BE1-1</w:t>
            </w:r>
          </w:p>
        </w:tc>
        <w:tc>
          <w:tcPr>
            <w:tcW w:w="4202" w:type="dxa"/>
            <w:shd w:val="clear" w:color="auto" w:fill="auto"/>
          </w:tcPr>
          <w:p w14:paraId="494DC002" w14:textId="77777777" w:rsidR="00FD35C6" w:rsidRPr="00AD2577" w:rsidRDefault="00FD35C6" w:rsidP="00FD35C6">
            <w:pPr>
              <w:pStyle w:val="TBLeft"/>
            </w:pPr>
            <w:r w:rsidRPr="00AD2577">
              <w:t>General Purpose Financial Statements</w:t>
            </w:r>
          </w:p>
        </w:tc>
        <w:tc>
          <w:tcPr>
            <w:tcW w:w="1084" w:type="dxa"/>
            <w:shd w:val="clear" w:color="auto" w:fill="auto"/>
          </w:tcPr>
          <w:p w14:paraId="46CBF7F3" w14:textId="77777777" w:rsidR="00FD35C6" w:rsidRPr="00AD2577" w:rsidRDefault="00FD35C6" w:rsidP="00FD35C6">
            <w:pPr>
              <w:pStyle w:val="TBCentered"/>
            </w:pPr>
            <w:r w:rsidRPr="00AD2577">
              <w:t>1</w:t>
            </w:r>
          </w:p>
        </w:tc>
        <w:tc>
          <w:tcPr>
            <w:tcW w:w="1789" w:type="dxa"/>
            <w:shd w:val="clear" w:color="auto" w:fill="auto"/>
          </w:tcPr>
          <w:p w14:paraId="19F3FC59" w14:textId="2A62BDF0" w:rsidR="00FD35C6" w:rsidRPr="00AD2577" w:rsidRDefault="00FD35C6" w:rsidP="00FD35C6">
            <w:pPr>
              <w:pStyle w:val="TBCentered"/>
            </w:pPr>
            <w:r w:rsidRPr="00AD2577">
              <w:t>15</w:t>
            </w:r>
            <w:r w:rsidR="00BD49BE" w:rsidRPr="00AD2577">
              <w:t>–</w:t>
            </w:r>
            <w:r w:rsidRPr="00AD2577">
              <w:t>20</w:t>
            </w:r>
          </w:p>
        </w:tc>
        <w:tc>
          <w:tcPr>
            <w:tcW w:w="1109" w:type="dxa"/>
            <w:shd w:val="clear" w:color="auto" w:fill="auto"/>
          </w:tcPr>
          <w:p w14:paraId="4024985B" w14:textId="77777777" w:rsidR="00FD35C6" w:rsidRPr="00AD2577" w:rsidRDefault="00FD35C6" w:rsidP="00FD35C6">
            <w:pPr>
              <w:pStyle w:val="TBCentered"/>
            </w:pPr>
            <w:r w:rsidRPr="00AD2577">
              <w:t>Easy</w:t>
            </w:r>
          </w:p>
        </w:tc>
      </w:tr>
      <w:tr w:rsidR="000F6737" w:rsidRPr="00AD2577" w14:paraId="6C97FB16" w14:textId="77777777" w:rsidTr="00FD35C6">
        <w:trPr>
          <w:trHeight w:val="179"/>
        </w:trPr>
        <w:tc>
          <w:tcPr>
            <w:tcW w:w="1392" w:type="dxa"/>
            <w:shd w:val="clear" w:color="auto" w:fill="auto"/>
          </w:tcPr>
          <w:p w14:paraId="6DB20A6A" w14:textId="115EC5DD" w:rsidR="000F6737" w:rsidRPr="00AD2577" w:rsidRDefault="000F6737" w:rsidP="00FD35C6">
            <w:pPr>
              <w:pStyle w:val="TBCentered"/>
            </w:pPr>
            <w:r w:rsidRPr="00AD2577">
              <w:t>BE1-</w:t>
            </w:r>
            <w:r w:rsidR="00AD2577">
              <w:t>2</w:t>
            </w:r>
          </w:p>
        </w:tc>
        <w:tc>
          <w:tcPr>
            <w:tcW w:w="4202" w:type="dxa"/>
            <w:shd w:val="clear" w:color="auto" w:fill="auto"/>
          </w:tcPr>
          <w:p w14:paraId="62467B0B" w14:textId="547BB844" w:rsidR="000F6737" w:rsidRPr="00AD2577" w:rsidRDefault="000F6737" w:rsidP="00FD35C6">
            <w:pPr>
              <w:pStyle w:val="TBLeft"/>
            </w:pPr>
            <w:r w:rsidRPr="00AD2577">
              <w:t>Financial Reporting Definition</w:t>
            </w:r>
          </w:p>
        </w:tc>
        <w:tc>
          <w:tcPr>
            <w:tcW w:w="1084" w:type="dxa"/>
            <w:shd w:val="clear" w:color="auto" w:fill="auto"/>
          </w:tcPr>
          <w:p w14:paraId="44EB3C9F" w14:textId="7D581681" w:rsidR="000F6737" w:rsidRPr="00AD2577" w:rsidRDefault="000F6737" w:rsidP="00FD35C6">
            <w:pPr>
              <w:pStyle w:val="TBCentered"/>
            </w:pPr>
            <w:r w:rsidRPr="00AD2577">
              <w:t>1</w:t>
            </w:r>
          </w:p>
        </w:tc>
        <w:tc>
          <w:tcPr>
            <w:tcW w:w="1789" w:type="dxa"/>
            <w:shd w:val="clear" w:color="auto" w:fill="auto"/>
          </w:tcPr>
          <w:p w14:paraId="0F81819F" w14:textId="66A678C8" w:rsidR="000F6737" w:rsidRPr="00AD2577" w:rsidRDefault="000F6737" w:rsidP="00FD35C6">
            <w:pPr>
              <w:pStyle w:val="TBCentered"/>
            </w:pPr>
            <w:r w:rsidRPr="00AD2577">
              <w:t>5-10</w:t>
            </w:r>
          </w:p>
        </w:tc>
        <w:tc>
          <w:tcPr>
            <w:tcW w:w="1109" w:type="dxa"/>
            <w:shd w:val="clear" w:color="auto" w:fill="auto"/>
          </w:tcPr>
          <w:p w14:paraId="76566CC7" w14:textId="439A92F3" w:rsidR="000F6737" w:rsidRPr="00AD2577" w:rsidRDefault="000F6737" w:rsidP="00FD35C6">
            <w:pPr>
              <w:pStyle w:val="TBCentered"/>
            </w:pPr>
            <w:r w:rsidRPr="00AD2577">
              <w:t>Easy</w:t>
            </w:r>
          </w:p>
        </w:tc>
      </w:tr>
      <w:tr w:rsidR="00FD35C6" w:rsidRPr="00AD2577" w14:paraId="6DC04FC5" w14:textId="77777777" w:rsidTr="00FD35C6">
        <w:trPr>
          <w:trHeight w:val="179"/>
        </w:trPr>
        <w:tc>
          <w:tcPr>
            <w:tcW w:w="1392" w:type="dxa"/>
            <w:shd w:val="clear" w:color="auto" w:fill="auto"/>
          </w:tcPr>
          <w:p w14:paraId="2AF30FAF" w14:textId="0700B332" w:rsidR="00FD35C6" w:rsidRPr="00AD2577" w:rsidRDefault="000F6737" w:rsidP="00FD35C6">
            <w:pPr>
              <w:pStyle w:val="TBCentered"/>
            </w:pPr>
            <w:r w:rsidRPr="00AD2577">
              <w:t>BE1-3</w:t>
            </w:r>
          </w:p>
        </w:tc>
        <w:tc>
          <w:tcPr>
            <w:tcW w:w="4202" w:type="dxa"/>
            <w:shd w:val="clear" w:color="auto" w:fill="auto"/>
          </w:tcPr>
          <w:p w14:paraId="49AD8789" w14:textId="7BD9708B" w:rsidR="00FD35C6" w:rsidRPr="00AD2577" w:rsidRDefault="00FD35C6" w:rsidP="00FD35C6">
            <w:pPr>
              <w:pStyle w:val="TBLeft"/>
            </w:pPr>
            <w:r w:rsidRPr="00AD2577">
              <w:t xml:space="preserve">Financial Statement Users and Other Parties Involved </w:t>
            </w:r>
            <w:r w:rsidR="00AD2577">
              <w:t>i</w:t>
            </w:r>
            <w:r w:rsidRPr="00AD2577">
              <w:t>n Financial Reporting</w:t>
            </w:r>
          </w:p>
        </w:tc>
        <w:tc>
          <w:tcPr>
            <w:tcW w:w="1084" w:type="dxa"/>
            <w:shd w:val="clear" w:color="auto" w:fill="auto"/>
          </w:tcPr>
          <w:p w14:paraId="2135803E" w14:textId="77777777" w:rsidR="00FD35C6" w:rsidRPr="00AD2577" w:rsidRDefault="00FD35C6" w:rsidP="00FD35C6">
            <w:pPr>
              <w:pStyle w:val="TBCentered"/>
            </w:pPr>
            <w:r w:rsidRPr="00AD2577">
              <w:t>1</w:t>
            </w:r>
          </w:p>
        </w:tc>
        <w:tc>
          <w:tcPr>
            <w:tcW w:w="1789" w:type="dxa"/>
            <w:shd w:val="clear" w:color="auto" w:fill="auto"/>
          </w:tcPr>
          <w:p w14:paraId="1C858C76" w14:textId="291D6413"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4A6A5EB6" w14:textId="77777777" w:rsidR="00FD35C6" w:rsidRPr="00AD2577" w:rsidRDefault="00FD35C6" w:rsidP="00FD35C6">
            <w:pPr>
              <w:pStyle w:val="TBCentered"/>
            </w:pPr>
            <w:r w:rsidRPr="00AD2577">
              <w:t>Easy</w:t>
            </w:r>
          </w:p>
        </w:tc>
      </w:tr>
      <w:tr w:rsidR="00FD35C6" w:rsidRPr="00AD2577" w14:paraId="32F918C6" w14:textId="77777777" w:rsidTr="00FD35C6">
        <w:trPr>
          <w:trHeight w:val="179"/>
        </w:trPr>
        <w:tc>
          <w:tcPr>
            <w:tcW w:w="1392" w:type="dxa"/>
            <w:shd w:val="clear" w:color="auto" w:fill="auto"/>
          </w:tcPr>
          <w:p w14:paraId="05C128BD" w14:textId="22151873" w:rsidR="00FD35C6" w:rsidRPr="00AD2577" w:rsidRDefault="000F6737" w:rsidP="00FD35C6">
            <w:pPr>
              <w:pStyle w:val="TBCentered"/>
            </w:pPr>
            <w:r w:rsidRPr="00AD2577">
              <w:t>BE1-4</w:t>
            </w:r>
          </w:p>
        </w:tc>
        <w:tc>
          <w:tcPr>
            <w:tcW w:w="4202" w:type="dxa"/>
            <w:shd w:val="clear" w:color="auto" w:fill="auto"/>
          </w:tcPr>
          <w:p w14:paraId="5E448AFD" w14:textId="77777777" w:rsidR="00FD35C6" w:rsidRPr="00AD2577" w:rsidRDefault="00FD35C6" w:rsidP="00FD35C6">
            <w:pPr>
              <w:pStyle w:val="TBLeft"/>
            </w:pPr>
            <w:r w:rsidRPr="00AD2577">
              <w:t>Financial Statement Users</w:t>
            </w:r>
          </w:p>
        </w:tc>
        <w:tc>
          <w:tcPr>
            <w:tcW w:w="1084" w:type="dxa"/>
            <w:shd w:val="clear" w:color="auto" w:fill="auto"/>
          </w:tcPr>
          <w:p w14:paraId="0694EBD2" w14:textId="77777777" w:rsidR="00FD35C6" w:rsidRPr="00AD2577" w:rsidRDefault="00FD35C6" w:rsidP="00FD35C6">
            <w:pPr>
              <w:pStyle w:val="TBCentered"/>
            </w:pPr>
            <w:r w:rsidRPr="00AD2577">
              <w:t>1</w:t>
            </w:r>
          </w:p>
        </w:tc>
        <w:tc>
          <w:tcPr>
            <w:tcW w:w="1789" w:type="dxa"/>
            <w:shd w:val="clear" w:color="auto" w:fill="auto"/>
          </w:tcPr>
          <w:p w14:paraId="1A279DF3" w14:textId="6794F61B"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7CE331C4" w14:textId="77777777" w:rsidR="00FD35C6" w:rsidRPr="00AD2577" w:rsidRDefault="00FD35C6" w:rsidP="00FD35C6">
            <w:pPr>
              <w:pStyle w:val="TBCentered"/>
            </w:pPr>
            <w:r w:rsidRPr="00AD2577">
              <w:t>Easy</w:t>
            </w:r>
          </w:p>
        </w:tc>
      </w:tr>
      <w:tr w:rsidR="00FD35C6" w:rsidRPr="00AD2577" w14:paraId="5D6E78D7" w14:textId="77777777" w:rsidTr="00FD35C6">
        <w:trPr>
          <w:trHeight w:val="179"/>
        </w:trPr>
        <w:tc>
          <w:tcPr>
            <w:tcW w:w="1392" w:type="dxa"/>
            <w:shd w:val="clear" w:color="auto" w:fill="auto"/>
          </w:tcPr>
          <w:p w14:paraId="1938456A" w14:textId="67C89641" w:rsidR="00FD35C6" w:rsidRPr="00AD2577" w:rsidRDefault="000F6737" w:rsidP="00FD35C6">
            <w:pPr>
              <w:pStyle w:val="TBCentered"/>
            </w:pPr>
            <w:r w:rsidRPr="00AD2577">
              <w:t>BE1-5</w:t>
            </w:r>
          </w:p>
        </w:tc>
        <w:tc>
          <w:tcPr>
            <w:tcW w:w="4202" w:type="dxa"/>
            <w:shd w:val="clear" w:color="auto" w:fill="auto"/>
          </w:tcPr>
          <w:p w14:paraId="1ECBB30D" w14:textId="77777777" w:rsidR="00FD35C6" w:rsidRPr="00AD2577" w:rsidRDefault="00FD35C6" w:rsidP="00FD35C6">
            <w:pPr>
              <w:pStyle w:val="TBLeft"/>
            </w:pPr>
            <w:r w:rsidRPr="00AD2577">
              <w:t>Parties in the Financial Reporting Process</w:t>
            </w:r>
          </w:p>
        </w:tc>
        <w:tc>
          <w:tcPr>
            <w:tcW w:w="1084" w:type="dxa"/>
            <w:shd w:val="clear" w:color="auto" w:fill="auto"/>
          </w:tcPr>
          <w:p w14:paraId="07A0AE67" w14:textId="5FBF8CB7" w:rsidR="00FD35C6" w:rsidRPr="00AD2577" w:rsidRDefault="00FD35C6" w:rsidP="00BD49BE">
            <w:pPr>
              <w:pStyle w:val="TBCentered"/>
            </w:pPr>
            <w:r w:rsidRPr="00AD2577">
              <w:t>1</w:t>
            </w:r>
          </w:p>
        </w:tc>
        <w:tc>
          <w:tcPr>
            <w:tcW w:w="1789" w:type="dxa"/>
            <w:shd w:val="clear" w:color="auto" w:fill="auto"/>
          </w:tcPr>
          <w:p w14:paraId="3A4F4D21" w14:textId="4C834A53"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0F4ECF2C" w14:textId="77777777" w:rsidR="00FD35C6" w:rsidRPr="00AD2577" w:rsidRDefault="00FD35C6" w:rsidP="00FD35C6">
            <w:pPr>
              <w:pStyle w:val="TBCentered"/>
            </w:pPr>
            <w:r w:rsidRPr="00AD2577">
              <w:t>Easy</w:t>
            </w:r>
          </w:p>
        </w:tc>
      </w:tr>
      <w:tr w:rsidR="00FD35C6" w:rsidRPr="00AD2577" w14:paraId="452F9697" w14:textId="77777777" w:rsidTr="00FD35C6">
        <w:trPr>
          <w:trHeight w:val="179"/>
        </w:trPr>
        <w:tc>
          <w:tcPr>
            <w:tcW w:w="1392" w:type="dxa"/>
            <w:shd w:val="clear" w:color="auto" w:fill="auto"/>
          </w:tcPr>
          <w:p w14:paraId="721EB03C" w14:textId="7A0D8CF1" w:rsidR="00FD35C6" w:rsidRPr="00AD2577" w:rsidRDefault="000F6737" w:rsidP="00FD35C6">
            <w:pPr>
              <w:pStyle w:val="TBCentered"/>
            </w:pPr>
            <w:r w:rsidRPr="00AD2577">
              <w:t>BE1-6</w:t>
            </w:r>
          </w:p>
        </w:tc>
        <w:tc>
          <w:tcPr>
            <w:tcW w:w="4202" w:type="dxa"/>
            <w:shd w:val="clear" w:color="auto" w:fill="auto"/>
          </w:tcPr>
          <w:p w14:paraId="1E5BEFBA" w14:textId="1159BD04" w:rsidR="00FD35C6" w:rsidRPr="00AD2577" w:rsidRDefault="000F6737" w:rsidP="00FD35C6">
            <w:pPr>
              <w:pStyle w:val="TBLeft"/>
            </w:pPr>
            <w:r w:rsidRPr="00AD2577">
              <w:t>Economic Entity</w:t>
            </w:r>
          </w:p>
        </w:tc>
        <w:tc>
          <w:tcPr>
            <w:tcW w:w="1084" w:type="dxa"/>
            <w:shd w:val="clear" w:color="auto" w:fill="auto"/>
          </w:tcPr>
          <w:p w14:paraId="480864D9" w14:textId="5ABA2841" w:rsidR="00FD35C6" w:rsidRPr="00AD2577" w:rsidRDefault="000F6737" w:rsidP="00FD35C6">
            <w:pPr>
              <w:pStyle w:val="TBCentered"/>
            </w:pPr>
            <w:r w:rsidRPr="00AD2577">
              <w:t>1</w:t>
            </w:r>
          </w:p>
        </w:tc>
        <w:tc>
          <w:tcPr>
            <w:tcW w:w="1789" w:type="dxa"/>
            <w:shd w:val="clear" w:color="auto" w:fill="auto"/>
          </w:tcPr>
          <w:p w14:paraId="0511AE1B" w14:textId="0307621B" w:rsidR="00FD35C6" w:rsidRPr="00AD2577" w:rsidRDefault="000F6737" w:rsidP="00FD35C6">
            <w:pPr>
              <w:pStyle w:val="TBCentered"/>
            </w:pPr>
            <w:r w:rsidRPr="00AD2577">
              <w:t>5-10</w:t>
            </w:r>
          </w:p>
        </w:tc>
        <w:tc>
          <w:tcPr>
            <w:tcW w:w="1109" w:type="dxa"/>
            <w:shd w:val="clear" w:color="auto" w:fill="auto"/>
          </w:tcPr>
          <w:p w14:paraId="1250EA0C" w14:textId="37CB0CB2" w:rsidR="00FD35C6" w:rsidRPr="00AD2577" w:rsidRDefault="000F6737" w:rsidP="00FD35C6">
            <w:pPr>
              <w:pStyle w:val="TBCentered"/>
            </w:pPr>
            <w:r w:rsidRPr="00AD2577">
              <w:t>Easy</w:t>
            </w:r>
          </w:p>
        </w:tc>
      </w:tr>
      <w:tr w:rsidR="00FD35C6" w:rsidRPr="00AD2577" w14:paraId="309680EE" w14:textId="77777777" w:rsidTr="00FD35C6">
        <w:trPr>
          <w:trHeight w:val="179"/>
        </w:trPr>
        <w:tc>
          <w:tcPr>
            <w:tcW w:w="1392" w:type="dxa"/>
            <w:shd w:val="clear" w:color="auto" w:fill="auto"/>
          </w:tcPr>
          <w:p w14:paraId="4DB0FC97" w14:textId="02AB2409" w:rsidR="00FD35C6" w:rsidRPr="00AD2577" w:rsidRDefault="000F6737" w:rsidP="00FD35C6">
            <w:pPr>
              <w:pStyle w:val="TBCentered"/>
            </w:pPr>
            <w:r w:rsidRPr="00AD2577">
              <w:t>BE1-7</w:t>
            </w:r>
          </w:p>
        </w:tc>
        <w:tc>
          <w:tcPr>
            <w:tcW w:w="4202" w:type="dxa"/>
            <w:shd w:val="clear" w:color="auto" w:fill="auto"/>
          </w:tcPr>
          <w:p w14:paraId="19D70F9D" w14:textId="52862B03" w:rsidR="00FD35C6" w:rsidRPr="00AD2577" w:rsidRDefault="00FD35C6" w:rsidP="00FD35C6">
            <w:pPr>
              <w:pStyle w:val="TBLeft"/>
            </w:pPr>
            <w:r w:rsidRPr="00AD2577">
              <w:t>Standard</w:t>
            </w:r>
            <w:r w:rsidR="00DD7345" w:rsidRPr="00AD2577">
              <w:t>-</w:t>
            </w:r>
            <w:r w:rsidRPr="00AD2577">
              <w:t>Setting Process</w:t>
            </w:r>
          </w:p>
        </w:tc>
        <w:tc>
          <w:tcPr>
            <w:tcW w:w="1084" w:type="dxa"/>
            <w:shd w:val="clear" w:color="auto" w:fill="auto"/>
          </w:tcPr>
          <w:p w14:paraId="6A7EBCF2" w14:textId="77777777" w:rsidR="00FD35C6" w:rsidRPr="00AD2577" w:rsidRDefault="00FD35C6" w:rsidP="00FD35C6">
            <w:pPr>
              <w:pStyle w:val="TBCentered"/>
            </w:pPr>
            <w:r w:rsidRPr="00AD2577">
              <w:t>3</w:t>
            </w:r>
          </w:p>
        </w:tc>
        <w:tc>
          <w:tcPr>
            <w:tcW w:w="1789" w:type="dxa"/>
            <w:shd w:val="clear" w:color="auto" w:fill="auto"/>
          </w:tcPr>
          <w:p w14:paraId="1B2371A0" w14:textId="002CE677"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39CAB535" w14:textId="77777777" w:rsidR="00FD35C6" w:rsidRPr="00AD2577" w:rsidRDefault="00FD35C6" w:rsidP="00FD35C6">
            <w:pPr>
              <w:pStyle w:val="TBCentered"/>
            </w:pPr>
            <w:r w:rsidRPr="00AD2577">
              <w:t>Easy</w:t>
            </w:r>
          </w:p>
        </w:tc>
      </w:tr>
      <w:tr w:rsidR="00FD35C6" w:rsidRPr="00AD2577" w14:paraId="7004C977" w14:textId="77777777" w:rsidTr="00FD35C6">
        <w:trPr>
          <w:trHeight w:val="179"/>
        </w:trPr>
        <w:tc>
          <w:tcPr>
            <w:tcW w:w="1392" w:type="dxa"/>
            <w:tcBorders>
              <w:bottom w:val="single" w:sz="4" w:space="0" w:color="auto"/>
            </w:tcBorders>
            <w:shd w:val="clear" w:color="auto" w:fill="auto"/>
          </w:tcPr>
          <w:p w14:paraId="18DCF9AA" w14:textId="4F01FC48" w:rsidR="00FD35C6" w:rsidRPr="00AD2577" w:rsidRDefault="000F6737" w:rsidP="00FD35C6">
            <w:pPr>
              <w:pStyle w:val="TBCentered"/>
            </w:pPr>
            <w:r w:rsidRPr="00AD2577">
              <w:t>BE1-8</w:t>
            </w:r>
          </w:p>
        </w:tc>
        <w:tc>
          <w:tcPr>
            <w:tcW w:w="4202" w:type="dxa"/>
            <w:tcBorders>
              <w:bottom w:val="single" w:sz="4" w:space="0" w:color="auto"/>
            </w:tcBorders>
            <w:shd w:val="clear" w:color="auto" w:fill="auto"/>
          </w:tcPr>
          <w:p w14:paraId="7062A202" w14:textId="55920493" w:rsidR="00FD35C6" w:rsidRPr="00AD2577" w:rsidRDefault="000F6737" w:rsidP="00FD35C6">
            <w:pPr>
              <w:pStyle w:val="TBLeft"/>
            </w:pPr>
            <w:r w:rsidRPr="00AD2577">
              <w:t>Standard</w:t>
            </w:r>
            <w:r w:rsidR="00DD7345" w:rsidRPr="00AD2577">
              <w:t>-</w:t>
            </w:r>
            <w:r w:rsidRPr="00AD2577">
              <w:t>Setting Process</w:t>
            </w:r>
          </w:p>
        </w:tc>
        <w:tc>
          <w:tcPr>
            <w:tcW w:w="1084" w:type="dxa"/>
            <w:tcBorders>
              <w:bottom w:val="single" w:sz="4" w:space="0" w:color="auto"/>
            </w:tcBorders>
            <w:shd w:val="clear" w:color="auto" w:fill="auto"/>
          </w:tcPr>
          <w:p w14:paraId="12EE09DC" w14:textId="453A4DD3" w:rsidR="00FD35C6" w:rsidRPr="00AD2577" w:rsidRDefault="000F6737" w:rsidP="00FD35C6">
            <w:pPr>
              <w:pStyle w:val="TBCentered"/>
            </w:pPr>
            <w:r w:rsidRPr="00AD2577">
              <w:t>3</w:t>
            </w:r>
          </w:p>
        </w:tc>
        <w:tc>
          <w:tcPr>
            <w:tcW w:w="1789" w:type="dxa"/>
            <w:tcBorders>
              <w:bottom w:val="single" w:sz="4" w:space="0" w:color="auto"/>
            </w:tcBorders>
            <w:shd w:val="clear" w:color="auto" w:fill="auto"/>
          </w:tcPr>
          <w:p w14:paraId="50FCFC63" w14:textId="5509261B" w:rsidR="00FD35C6" w:rsidRPr="00AD2577" w:rsidRDefault="000F6737" w:rsidP="00FD35C6">
            <w:pPr>
              <w:pStyle w:val="TBCentered"/>
            </w:pPr>
            <w:r w:rsidRPr="00AD2577">
              <w:t>10-15</w:t>
            </w:r>
          </w:p>
        </w:tc>
        <w:tc>
          <w:tcPr>
            <w:tcW w:w="1109" w:type="dxa"/>
            <w:tcBorders>
              <w:bottom w:val="single" w:sz="4" w:space="0" w:color="auto"/>
            </w:tcBorders>
            <w:shd w:val="clear" w:color="auto" w:fill="auto"/>
          </w:tcPr>
          <w:p w14:paraId="146B360A" w14:textId="77777777" w:rsidR="00FD35C6" w:rsidRPr="00AD2577" w:rsidRDefault="00FD35C6" w:rsidP="00FD35C6">
            <w:pPr>
              <w:pStyle w:val="TBCentered"/>
            </w:pPr>
            <w:r w:rsidRPr="00AD2577">
              <w:t>Medium</w:t>
            </w:r>
          </w:p>
        </w:tc>
      </w:tr>
      <w:tr w:rsidR="000F6737" w:rsidRPr="00AD2577" w14:paraId="017DB81E" w14:textId="77777777" w:rsidTr="00FD35C6">
        <w:trPr>
          <w:trHeight w:val="179"/>
        </w:trPr>
        <w:tc>
          <w:tcPr>
            <w:tcW w:w="1392" w:type="dxa"/>
            <w:tcBorders>
              <w:bottom w:val="single" w:sz="4" w:space="0" w:color="auto"/>
            </w:tcBorders>
            <w:shd w:val="clear" w:color="auto" w:fill="auto"/>
          </w:tcPr>
          <w:p w14:paraId="1D30861E" w14:textId="5DC64EB9" w:rsidR="000F6737" w:rsidRPr="00AD2577" w:rsidRDefault="000F6737" w:rsidP="00FD35C6">
            <w:pPr>
              <w:pStyle w:val="TBCentered"/>
            </w:pPr>
            <w:r w:rsidRPr="00AD2577">
              <w:t>BE1-9</w:t>
            </w:r>
          </w:p>
        </w:tc>
        <w:tc>
          <w:tcPr>
            <w:tcW w:w="4202" w:type="dxa"/>
            <w:tcBorders>
              <w:bottom w:val="single" w:sz="4" w:space="0" w:color="auto"/>
            </w:tcBorders>
            <w:shd w:val="clear" w:color="auto" w:fill="auto"/>
          </w:tcPr>
          <w:p w14:paraId="6995EC5C" w14:textId="1BC6F6D6" w:rsidR="000F6737" w:rsidRPr="00AD2577" w:rsidRDefault="000F6737" w:rsidP="00FD35C6">
            <w:pPr>
              <w:pStyle w:val="TBLeft"/>
            </w:pPr>
            <w:r w:rsidRPr="00AD2577">
              <w:t>FASB’s Standard</w:t>
            </w:r>
            <w:r w:rsidR="00DD7345" w:rsidRPr="00AD2577">
              <w:t>-</w:t>
            </w:r>
            <w:r w:rsidRPr="00AD2577">
              <w:t>Setting Process</w:t>
            </w:r>
          </w:p>
        </w:tc>
        <w:tc>
          <w:tcPr>
            <w:tcW w:w="1084" w:type="dxa"/>
            <w:tcBorders>
              <w:bottom w:val="single" w:sz="4" w:space="0" w:color="auto"/>
            </w:tcBorders>
            <w:shd w:val="clear" w:color="auto" w:fill="auto"/>
          </w:tcPr>
          <w:p w14:paraId="37997FDB" w14:textId="7B5639A2" w:rsidR="000F6737" w:rsidRPr="00AD2577" w:rsidRDefault="000F6737" w:rsidP="00FD35C6">
            <w:pPr>
              <w:pStyle w:val="TBCentered"/>
            </w:pPr>
            <w:r w:rsidRPr="00AD2577">
              <w:t>3</w:t>
            </w:r>
          </w:p>
        </w:tc>
        <w:tc>
          <w:tcPr>
            <w:tcW w:w="1789" w:type="dxa"/>
            <w:tcBorders>
              <w:bottom w:val="single" w:sz="4" w:space="0" w:color="auto"/>
            </w:tcBorders>
            <w:shd w:val="clear" w:color="auto" w:fill="auto"/>
          </w:tcPr>
          <w:p w14:paraId="16CAC6C2" w14:textId="659D01F4" w:rsidR="000F6737" w:rsidRPr="00AD2577" w:rsidRDefault="000F6737" w:rsidP="00FD35C6">
            <w:pPr>
              <w:pStyle w:val="TBCentered"/>
            </w:pPr>
            <w:r w:rsidRPr="00AD2577">
              <w:t>5-10</w:t>
            </w:r>
          </w:p>
        </w:tc>
        <w:tc>
          <w:tcPr>
            <w:tcW w:w="1109" w:type="dxa"/>
            <w:tcBorders>
              <w:bottom w:val="single" w:sz="4" w:space="0" w:color="auto"/>
            </w:tcBorders>
            <w:shd w:val="clear" w:color="auto" w:fill="auto"/>
          </w:tcPr>
          <w:p w14:paraId="7C37BDEA" w14:textId="31BB84FA" w:rsidR="000F6737" w:rsidRPr="00AD2577" w:rsidRDefault="000F6737" w:rsidP="00FD35C6">
            <w:pPr>
              <w:pStyle w:val="TBCentered"/>
            </w:pPr>
            <w:r w:rsidRPr="00AD2577">
              <w:t>Easy</w:t>
            </w:r>
          </w:p>
        </w:tc>
      </w:tr>
      <w:tr w:rsidR="000F6737" w:rsidRPr="00AD2577" w14:paraId="30608CDD" w14:textId="77777777" w:rsidTr="00FD35C6">
        <w:trPr>
          <w:trHeight w:val="179"/>
        </w:trPr>
        <w:tc>
          <w:tcPr>
            <w:tcW w:w="1392" w:type="dxa"/>
            <w:tcBorders>
              <w:bottom w:val="single" w:sz="4" w:space="0" w:color="auto"/>
            </w:tcBorders>
            <w:shd w:val="clear" w:color="auto" w:fill="auto"/>
          </w:tcPr>
          <w:p w14:paraId="2CB5B536" w14:textId="3AF82B3C" w:rsidR="000F6737" w:rsidRPr="00AD2577" w:rsidRDefault="000F6737" w:rsidP="00FD35C6">
            <w:pPr>
              <w:pStyle w:val="TBCentered"/>
              <w:rPr>
                <w:color w:val="385623" w:themeColor="accent6" w:themeShade="80"/>
              </w:rPr>
            </w:pPr>
            <w:r w:rsidRPr="00AD2577">
              <w:rPr>
                <w:color w:val="385623" w:themeColor="accent6" w:themeShade="80"/>
              </w:rPr>
              <w:t>BE1-10</w:t>
            </w:r>
          </w:p>
        </w:tc>
        <w:tc>
          <w:tcPr>
            <w:tcW w:w="4202" w:type="dxa"/>
            <w:tcBorders>
              <w:bottom w:val="single" w:sz="4" w:space="0" w:color="auto"/>
            </w:tcBorders>
            <w:shd w:val="clear" w:color="auto" w:fill="auto"/>
          </w:tcPr>
          <w:p w14:paraId="51F5AD83" w14:textId="5D9F7F2D" w:rsidR="000F6737" w:rsidRPr="00AD2577" w:rsidRDefault="000F6737" w:rsidP="00FD35C6">
            <w:pPr>
              <w:pStyle w:val="TBLeft"/>
              <w:rPr>
                <w:color w:val="385623" w:themeColor="accent6" w:themeShade="80"/>
              </w:rPr>
            </w:pPr>
            <w:r w:rsidRPr="00AD2577">
              <w:rPr>
                <w:color w:val="385623" w:themeColor="accent6" w:themeShade="80"/>
              </w:rPr>
              <w:t>IASB’s Standard</w:t>
            </w:r>
            <w:r w:rsidR="00DD7345" w:rsidRPr="00AD2577">
              <w:rPr>
                <w:color w:val="385623" w:themeColor="accent6" w:themeShade="80"/>
              </w:rPr>
              <w:t>-</w:t>
            </w:r>
            <w:r w:rsidRPr="00AD2577">
              <w:rPr>
                <w:color w:val="385623" w:themeColor="accent6" w:themeShade="80"/>
              </w:rPr>
              <w:t>Setting Process</w:t>
            </w:r>
          </w:p>
        </w:tc>
        <w:tc>
          <w:tcPr>
            <w:tcW w:w="1084" w:type="dxa"/>
            <w:tcBorders>
              <w:bottom w:val="single" w:sz="4" w:space="0" w:color="auto"/>
            </w:tcBorders>
            <w:shd w:val="clear" w:color="auto" w:fill="auto"/>
          </w:tcPr>
          <w:p w14:paraId="590E4CB6" w14:textId="1C04A07B" w:rsidR="000F6737" w:rsidRPr="00AD2577" w:rsidRDefault="000F6737" w:rsidP="00FD35C6">
            <w:pPr>
              <w:pStyle w:val="TBCentered"/>
              <w:rPr>
                <w:color w:val="385623" w:themeColor="accent6" w:themeShade="80"/>
              </w:rPr>
            </w:pPr>
            <w:r w:rsidRPr="00AD2577">
              <w:rPr>
                <w:color w:val="385623" w:themeColor="accent6" w:themeShade="80"/>
              </w:rPr>
              <w:t>3</w:t>
            </w:r>
          </w:p>
        </w:tc>
        <w:tc>
          <w:tcPr>
            <w:tcW w:w="1789" w:type="dxa"/>
            <w:tcBorders>
              <w:bottom w:val="single" w:sz="4" w:space="0" w:color="auto"/>
            </w:tcBorders>
            <w:shd w:val="clear" w:color="auto" w:fill="auto"/>
          </w:tcPr>
          <w:p w14:paraId="14A1BEF5" w14:textId="5FC929BE" w:rsidR="000F6737" w:rsidRPr="00AD2577" w:rsidRDefault="000F6737" w:rsidP="00FD35C6">
            <w:pPr>
              <w:pStyle w:val="TBCentered"/>
              <w:rPr>
                <w:color w:val="385623" w:themeColor="accent6" w:themeShade="80"/>
              </w:rPr>
            </w:pPr>
            <w:r w:rsidRPr="00AD2577">
              <w:rPr>
                <w:color w:val="385623" w:themeColor="accent6" w:themeShade="80"/>
              </w:rPr>
              <w:t>10-15</w:t>
            </w:r>
          </w:p>
        </w:tc>
        <w:tc>
          <w:tcPr>
            <w:tcW w:w="1109" w:type="dxa"/>
            <w:tcBorders>
              <w:bottom w:val="single" w:sz="4" w:space="0" w:color="auto"/>
            </w:tcBorders>
            <w:shd w:val="clear" w:color="auto" w:fill="auto"/>
          </w:tcPr>
          <w:p w14:paraId="1C277281" w14:textId="1ED24F8C" w:rsidR="000F6737" w:rsidRPr="00AD2577" w:rsidRDefault="000F6737" w:rsidP="00FD35C6">
            <w:pPr>
              <w:pStyle w:val="TBCentered"/>
              <w:rPr>
                <w:color w:val="385623" w:themeColor="accent6" w:themeShade="80"/>
              </w:rPr>
            </w:pPr>
            <w:r w:rsidRPr="00AD2577">
              <w:rPr>
                <w:color w:val="385623" w:themeColor="accent6" w:themeShade="80"/>
              </w:rPr>
              <w:t>Moderate</w:t>
            </w:r>
          </w:p>
        </w:tc>
      </w:tr>
      <w:tr w:rsidR="000F6737" w:rsidRPr="00AD2577" w14:paraId="486B2856" w14:textId="77777777" w:rsidTr="00FD35C6">
        <w:trPr>
          <w:trHeight w:val="179"/>
        </w:trPr>
        <w:tc>
          <w:tcPr>
            <w:tcW w:w="1392" w:type="dxa"/>
            <w:tcBorders>
              <w:bottom w:val="single" w:sz="4" w:space="0" w:color="auto"/>
            </w:tcBorders>
            <w:shd w:val="clear" w:color="auto" w:fill="auto"/>
          </w:tcPr>
          <w:p w14:paraId="3793B329" w14:textId="4ADECE25" w:rsidR="000F6737" w:rsidRPr="00AD2577" w:rsidRDefault="000F6737" w:rsidP="00FD35C6">
            <w:pPr>
              <w:pStyle w:val="TBCentered"/>
            </w:pPr>
            <w:r w:rsidRPr="00AD2577">
              <w:t>BE1-11</w:t>
            </w:r>
          </w:p>
        </w:tc>
        <w:tc>
          <w:tcPr>
            <w:tcW w:w="4202" w:type="dxa"/>
            <w:tcBorders>
              <w:bottom w:val="single" w:sz="4" w:space="0" w:color="auto"/>
            </w:tcBorders>
            <w:shd w:val="clear" w:color="auto" w:fill="auto"/>
          </w:tcPr>
          <w:p w14:paraId="384D0B81" w14:textId="7A4C81C9" w:rsidR="000F6737" w:rsidRPr="00AD2577" w:rsidRDefault="000F6737" w:rsidP="00FD35C6">
            <w:pPr>
              <w:pStyle w:val="TBLeft"/>
            </w:pPr>
            <w:r w:rsidRPr="00AD2577">
              <w:t>SEC’s Role</w:t>
            </w:r>
          </w:p>
        </w:tc>
        <w:tc>
          <w:tcPr>
            <w:tcW w:w="1084" w:type="dxa"/>
            <w:tcBorders>
              <w:bottom w:val="single" w:sz="4" w:space="0" w:color="auto"/>
            </w:tcBorders>
            <w:shd w:val="clear" w:color="auto" w:fill="auto"/>
          </w:tcPr>
          <w:p w14:paraId="7EBF2502" w14:textId="22D710CC" w:rsidR="000F6737" w:rsidRPr="00AD2577" w:rsidRDefault="000F6737" w:rsidP="00FD35C6">
            <w:pPr>
              <w:pStyle w:val="TBCentered"/>
            </w:pPr>
            <w:r w:rsidRPr="00AD2577">
              <w:t>3</w:t>
            </w:r>
          </w:p>
        </w:tc>
        <w:tc>
          <w:tcPr>
            <w:tcW w:w="1789" w:type="dxa"/>
            <w:tcBorders>
              <w:bottom w:val="single" w:sz="4" w:space="0" w:color="auto"/>
            </w:tcBorders>
            <w:shd w:val="clear" w:color="auto" w:fill="auto"/>
          </w:tcPr>
          <w:p w14:paraId="05FBB311" w14:textId="2A6F9E3D" w:rsidR="000F6737" w:rsidRPr="00AD2577" w:rsidRDefault="00A55EAA" w:rsidP="00FD35C6">
            <w:pPr>
              <w:pStyle w:val="TBCentered"/>
            </w:pPr>
            <w:r w:rsidRPr="00AD2577">
              <w:t>10-15</w:t>
            </w:r>
          </w:p>
        </w:tc>
        <w:tc>
          <w:tcPr>
            <w:tcW w:w="1109" w:type="dxa"/>
            <w:tcBorders>
              <w:bottom w:val="single" w:sz="4" w:space="0" w:color="auto"/>
            </w:tcBorders>
            <w:shd w:val="clear" w:color="auto" w:fill="auto"/>
          </w:tcPr>
          <w:p w14:paraId="24115809" w14:textId="69753BA4" w:rsidR="000F6737" w:rsidRPr="00AD2577" w:rsidRDefault="00A55EAA" w:rsidP="00FD35C6">
            <w:pPr>
              <w:pStyle w:val="TBCentered"/>
            </w:pPr>
            <w:r w:rsidRPr="00AD2577">
              <w:t>Moderate</w:t>
            </w:r>
          </w:p>
        </w:tc>
      </w:tr>
      <w:tr w:rsidR="000F6737" w:rsidRPr="00AD2577" w14:paraId="71CA49E0" w14:textId="77777777" w:rsidTr="00FD35C6">
        <w:trPr>
          <w:trHeight w:val="179"/>
        </w:trPr>
        <w:tc>
          <w:tcPr>
            <w:tcW w:w="1392" w:type="dxa"/>
            <w:tcBorders>
              <w:bottom w:val="single" w:sz="4" w:space="0" w:color="auto"/>
            </w:tcBorders>
            <w:shd w:val="clear" w:color="auto" w:fill="auto"/>
          </w:tcPr>
          <w:p w14:paraId="269617EA" w14:textId="60973163" w:rsidR="000F6737" w:rsidRPr="00AD2577" w:rsidRDefault="000F6737" w:rsidP="00FD35C6">
            <w:pPr>
              <w:pStyle w:val="TBCentered"/>
            </w:pPr>
            <w:r w:rsidRPr="00AD2577">
              <w:t>BE1-12</w:t>
            </w:r>
          </w:p>
        </w:tc>
        <w:tc>
          <w:tcPr>
            <w:tcW w:w="4202" w:type="dxa"/>
            <w:tcBorders>
              <w:bottom w:val="single" w:sz="4" w:space="0" w:color="auto"/>
            </w:tcBorders>
            <w:shd w:val="clear" w:color="auto" w:fill="auto"/>
          </w:tcPr>
          <w:p w14:paraId="67203AAE" w14:textId="671D3C78" w:rsidR="000F6737" w:rsidRPr="00AD2577" w:rsidRDefault="00A55EAA" w:rsidP="00FD35C6">
            <w:pPr>
              <w:pStyle w:val="TBLeft"/>
            </w:pPr>
            <w:r w:rsidRPr="00AD2577">
              <w:t xml:space="preserve">Characteristics of </w:t>
            </w:r>
            <w:r w:rsidR="000F6737" w:rsidRPr="00AD2577">
              <w:t>Principles-Based or Rules-Based Accounting System</w:t>
            </w:r>
          </w:p>
        </w:tc>
        <w:tc>
          <w:tcPr>
            <w:tcW w:w="1084" w:type="dxa"/>
            <w:tcBorders>
              <w:bottom w:val="single" w:sz="4" w:space="0" w:color="auto"/>
            </w:tcBorders>
            <w:shd w:val="clear" w:color="auto" w:fill="auto"/>
          </w:tcPr>
          <w:p w14:paraId="5A781AC6" w14:textId="0E7BF5EB" w:rsidR="000F6737" w:rsidRPr="00AD2577" w:rsidRDefault="000F6737" w:rsidP="00FD35C6">
            <w:pPr>
              <w:pStyle w:val="TBCentered"/>
            </w:pPr>
            <w:r w:rsidRPr="00AD2577">
              <w:t>4</w:t>
            </w:r>
          </w:p>
        </w:tc>
        <w:tc>
          <w:tcPr>
            <w:tcW w:w="1789" w:type="dxa"/>
            <w:tcBorders>
              <w:bottom w:val="single" w:sz="4" w:space="0" w:color="auto"/>
            </w:tcBorders>
            <w:shd w:val="clear" w:color="auto" w:fill="auto"/>
          </w:tcPr>
          <w:p w14:paraId="4CA7F78B" w14:textId="0865E0EF" w:rsidR="000F6737" w:rsidRPr="00AD2577" w:rsidRDefault="00A55EAA" w:rsidP="00FD35C6">
            <w:pPr>
              <w:pStyle w:val="TBCentered"/>
            </w:pPr>
            <w:r w:rsidRPr="00AD2577">
              <w:t>5-10</w:t>
            </w:r>
          </w:p>
        </w:tc>
        <w:tc>
          <w:tcPr>
            <w:tcW w:w="1109" w:type="dxa"/>
            <w:tcBorders>
              <w:bottom w:val="single" w:sz="4" w:space="0" w:color="auto"/>
            </w:tcBorders>
            <w:shd w:val="clear" w:color="auto" w:fill="auto"/>
          </w:tcPr>
          <w:p w14:paraId="62D072A0" w14:textId="004EA31A" w:rsidR="000F6737" w:rsidRPr="00AD2577" w:rsidRDefault="00A55EAA" w:rsidP="00FD35C6">
            <w:pPr>
              <w:pStyle w:val="TBCentered"/>
            </w:pPr>
            <w:r w:rsidRPr="00AD2577">
              <w:t>Moderate</w:t>
            </w:r>
          </w:p>
        </w:tc>
      </w:tr>
      <w:tr w:rsidR="00FD35C6" w:rsidRPr="00AD2577" w14:paraId="77D43702" w14:textId="77777777" w:rsidTr="00FD35C6">
        <w:trPr>
          <w:trHeight w:val="179"/>
        </w:trPr>
        <w:tc>
          <w:tcPr>
            <w:tcW w:w="9576" w:type="dxa"/>
            <w:gridSpan w:val="5"/>
            <w:shd w:val="clear" w:color="auto" w:fill="D9D9D9"/>
          </w:tcPr>
          <w:p w14:paraId="02B1BE0A" w14:textId="77777777" w:rsidR="00FD35C6" w:rsidRPr="00AD2577" w:rsidRDefault="00FD35C6" w:rsidP="00FD35C6">
            <w:pPr>
              <w:pStyle w:val="TSH"/>
            </w:pPr>
            <w:r w:rsidRPr="00AD2577">
              <w:t>Exercises</w:t>
            </w:r>
          </w:p>
        </w:tc>
      </w:tr>
      <w:tr w:rsidR="00FD35C6" w:rsidRPr="00AD2577" w14:paraId="4CBD8C4F" w14:textId="77777777" w:rsidTr="00FD35C6">
        <w:trPr>
          <w:trHeight w:val="179"/>
        </w:trPr>
        <w:tc>
          <w:tcPr>
            <w:tcW w:w="1392" w:type="dxa"/>
            <w:shd w:val="clear" w:color="auto" w:fill="auto"/>
          </w:tcPr>
          <w:p w14:paraId="234F3C78" w14:textId="7F9FA583" w:rsidR="00FD35C6" w:rsidRPr="00AD2577" w:rsidRDefault="005E78CB" w:rsidP="00FD35C6">
            <w:pPr>
              <w:pStyle w:val="TBCentered"/>
            </w:pPr>
            <w:r w:rsidRPr="00AD2577">
              <w:t>E1-1</w:t>
            </w:r>
          </w:p>
        </w:tc>
        <w:tc>
          <w:tcPr>
            <w:tcW w:w="4202" w:type="dxa"/>
            <w:shd w:val="clear" w:color="auto" w:fill="auto"/>
          </w:tcPr>
          <w:p w14:paraId="31CF9200" w14:textId="77777777" w:rsidR="00FD35C6" w:rsidRPr="00AD2577" w:rsidRDefault="00FD35C6" w:rsidP="00FD35C6">
            <w:pPr>
              <w:pStyle w:val="TBLeft"/>
            </w:pPr>
            <w:r w:rsidRPr="00AD2577">
              <w:t>Financial Accounting</w:t>
            </w:r>
          </w:p>
        </w:tc>
        <w:tc>
          <w:tcPr>
            <w:tcW w:w="1084" w:type="dxa"/>
            <w:shd w:val="clear" w:color="auto" w:fill="auto"/>
          </w:tcPr>
          <w:p w14:paraId="0320CBA4" w14:textId="77777777" w:rsidR="00FD35C6" w:rsidRPr="00AD2577" w:rsidRDefault="00FD35C6" w:rsidP="00FD35C6">
            <w:pPr>
              <w:pStyle w:val="TBCentered"/>
            </w:pPr>
            <w:r w:rsidRPr="00AD2577">
              <w:t>1</w:t>
            </w:r>
          </w:p>
        </w:tc>
        <w:tc>
          <w:tcPr>
            <w:tcW w:w="1789" w:type="dxa"/>
            <w:shd w:val="clear" w:color="auto" w:fill="auto"/>
          </w:tcPr>
          <w:p w14:paraId="1C310A8D" w14:textId="0B926E84"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206E9101" w14:textId="77777777" w:rsidR="00FD35C6" w:rsidRPr="00AD2577" w:rsidRDefault="00FD35C6" w:rsidP="00FD35C6">
            <w:pPr>
              <w:pStyle w:val="TBCentered"/>
            </w:pPr>
            <w:r w:rsidRPr="00AD2577">
              <w:t>Easy</w:t>
            </w:r>
          </w:p>
        </w:tc>
      </w:tr>
      <w:tr w:rsidR="00FD35C6" w:rsidRPr="00AD2577" w14:paraId="2281AE85" w14:textId="77777777" w:rsidTr="00FD35C6">
        <w:trPr>
          <w:trHeight w:val="179"/>
        </w:trPr>
        <w:tc>
          <w:tcPr>
            <w:tcW w:w="1392" w:type="dxa"/>
            <w:shd w:val="clear" w:color="auto" w:fill="auto"/>
          </w:tcPr>
          <w:p w14:paraId="1EBC8E57" w14:textId="7ABEDFC9" w:rsidR="00FD35C6" w:rsidRPr="00AD2577" w:rsidRDefault="005E78CB" w:rsidP="00FD35C6">
            <w:pPr>
              <w:pStyle w:val="TBCentered"/>
            </w:pPr>
            <w:r w:rsidRPr="00AD2577">
              <w:t>E1-2</w:t>
            </w:r>
          </w:p>
        </w:tc>
        <w:tc>
          <w:tcPr>
            <w:tcW w:w="4202" w:type="dxa"/>
            <w:shd w:val="clear" w:color="auto" w:fill="auto"/>
          </w:tcPr>
          <w:p w14:paraId="42AD58B3" w14:textId="77777777" w:rsidR="00FD35C6" w:rsidRPr="00AD2577" w:rsidRDefault="00FD35C6" w:rsidP="00FD35C6">
            <w:pPr>
              <w:pStyle w:val="TBLeft"/>
            </w:pPr>
            <w:r w:rsidRPr="00AD2577">
              <w:t>Factors That Influence Financial Reporting</w:t>
            </w:r>
          </w:p>
        </w:tc>
        <w:tc>
          <w:tcPr>
            <w:tcW w:w="1084" w:type="dxa"/>
            <w:shd w:val="clear" w:color="auto" w:fill="auto"/>
          </w:tcPr>
          <w:p w14:paraId="0F30B49B" w14:textId="77777777" w:rsidR="00FD35C6" w:rsidRPr="00AD2577" w:rsidRDefault="00FD35C6" w:rsidP="00FD35C6">
            <w:pPr>
              <w:pStyle w:val="TBCentered"/>
            </w:pPr>
            <w:r w:rsidRPr="00AD2577">
              <w:t>1</w:t>
            </w:r>
          </w:p>
        </w:tc>
        <w:tc>
          <w:tcPr>
            <w:tcW w:w="1789" w:type="dxa"/>
            <w:shd w:val="clear" w:color="auto" w:fill="auto"/>
          </w:tcPr>
          <w:p w14:paraId="5A8D4F29" w14:textId="0BA66811" w:rsidR="00FD35C6" w:rsidRPr="00AD2577" w:rsidRDefault="00FD35C6" w:rsidP="00FD35C6">
            <w:pPr>
              <w:pStyle w:val="TBCentered"/>
            </w:pPr>
            <w:r w:rsidRPr="00AD2577">
              <w:t>15</w:t>
            </w:r>
            <w:r w:rsidR="00BD49BE" w:rsidRPr="00AD2577">
              <w:t>–</w:t>
            </w:r>
            <w:r w:rsidRPr="00AD2577">
              <w:t>20</w:t>
            </w:r>
          </w:p>
        </w:tc>
        <w:tc>
          <w:tcPr>
            <w:tcW w:w="1109" w:type="dxa"/>
            <w:shd w:val="clear" w:color="auto" w:fill="auto"/>
          </w:tcPr>
          <w:p w14:paraId="7A22C237" w14:textId="77777777" w:rsidR="00FD35C6" w:rsidRPr="00AD2577" w:rsidRDefault="00FD35C6" w:rsidP="00FD35C6">
            <w:pPr>
              <w:pStyle w:val="TBCentered"/>
            </w:pPr>
            <w:r w:rsidRPr="00AD2577">
              <w:t>Medium</w:t>
            </w:r>
          </w:p>
        </w:tc>
      </w:tr>
      <w:tr w:rsidR="00FD35C6" w:rsidRPr="00AD2577" w14:paraId="0E2D509E" w14:textId="77777777" w:rsidTr="00FD35C6">
        <w:trPr>
          <w:trHeight w:val="179"/>
        </w:trPr>
        <w:tc>
          <w:tcPr>
            <w:tcW w:w="1392" w:type="dxa"/>
            <w:shd w:val="clear" w:color="auto" w:fill="auto"/>
          </w:tcPr>
          <w:p w14:paraId="6410E594" w14:textId="09D72D88" w:rsidR="00FD35C6" w:rsidRPr="00AD2577" w:rsidRDefault="005E78CB" w:rsidP="00FD35C6">
            <w:pPr>
              <w:pStyle w:val="TBCentered"/>
              <w:rPr>
                <w:color w:val="385623" w:themeColor="accent6" w:themeShade="80"/>
              </w:rPr>
            </w:pPr>
            <w:r w:rsidRPr="00AD2577">
              <w:rPr>
                <w:color w:val="385623" w:themeColor="accent6" w:themeShade="80"/>
              </w:rPr>
              <w:t>E1-3</w:t>
            </w:r>
          </w:p>
        </w:tc>
        <w:tc>
          <w:tcPr>
            <w:tcW w:w="4202" w:type="dxa"/>
            <w:shd w:val="clear" w:color="auto" w:fill="auto"/>
          </w:tcPr>
          <w:p w14:paraId="7744409E" w14:textId="77777777" w:rsidR="00FD35C6" w:rsidRPr="00AD2577" w:rsidRDefault="00FD35C6" w:rsidP="00FD35C6">
            <w:pPr>
              <w:pStyle w:val="TBLeft"/>
              <w:rPr>
                <w:color w:val="385623" w:themeColor="accent6" w:themeShade="80"/>
              </w:rPr>
            </w:pPr>
            <w:r w:rsidRPr="00AD2577">
              <w:rPr>
                <w:color w:val="385623" w:themeColor="accent6" w:themeShade="80"/>
              </w:rPr>
              <w:t>Convergence of Accounting Standards</w:t>
            </w:r>
          </w:p>
        </w:tc>
        <w:tc>
          <w:tcPr>
            <w:tcW w:w="1084" w:type="dxa"/>
            <w:shd w:val="clear" w:color="auto" w:fill="auto"/>
          </w:tcPr>
          <w:p w14:paraId="106FF625" w14:textId="77777777" w:rsidR="00FD35C6" w:rsidRPr="00AD2577" w:rsidRDefault="00FD35C6" w:rsidP="00FD35C6">
            <w:pPr>
              <w:pStyle w:val="TBCentered"/>
              <w:rPr>
                <w:color w:val="385623" w:themeColor="accent6" w:themeShade="80"/>
              </w:rPr>
            </w:pPr>
            <w:r w:rsidRPr="00AD2577">
              <w:rPr>
                <w:color w:val="385623" w:themeColor="accent6" w:themeShade="80"/>
              </w:rPr>
              <w:t>2</w:t>
            </w:r>
          </w:p>
        </w:tc>
        <w:tc>
          <w:tcPr>
            <w:tcW w:w="1789" w:type="dxa"/>
            <w:shd w:val="clear" w:color="auto" w:fill="auto"/>
          </w:tcPr>
          <w:p w14:paraId="3242AFF3" w14:textId="09F30ACD" w:rsidR="00FD35C6" w:rsidRPr="00AD2577" w:rsidRDefault="00FD35C6" w:rsidP="00FD35C6">
            <w:pPr>
              <w:pStyle w:val="TBCentered"/>
              <w:rPr>
                <w:color w:val="385623" w:themeColor="accent6" w:themeShade="80"/>
              </w:rPr>
            </w:pPr>
            <w:r w:rsidRPr="00AD2577">
              <w:rPr>
                <w:color w:val="385623" w:themeColor="accent6" w:themeShade="80"/>
              </w:rPr>
              <w:t>15</w:t>
            </w:r>
            <w:r w:rsidR="00BD49BE" w:rsidRPr="00AD2577">
              <w:rPr>
                <w:color w:val="385623" w:themeColor="accent6" w:themeShade="80"/>
              </w:rPr>
              <w:t>–</w:t>
            </w:r>
            <w:r w:rsidRPr="00AD2577">
              <w:rPr>
                <w:color w:val="385623" w:themeColor="accent6" w:themeShade="80"/>
              </w:rPr>
              <w:t>20</w:t>
            </w:r>
          </w:p>
        </w:tc>
        <w:tc>
          <w:tcPr>
            <w:tcW w:w="1109" w:type="dxa"/>
            <w:shd w:val="clear" w:color="auto" w:fill="auto"/>
          </w:tcPr>
          <w:p w14:paraId="4364D432" w14:textId="77777777" w:rsidR="00FD35C6" w:rsidRPr="00AD2577" w:rsidRDefault="00FD35C6" w:rsidP="00FD35C6">
            <w:pPr>
              <w:pStyle w:val="TBCentered"/>
              <w:rPr>
                <w:color w:val="385623" w:themeColor="accent6" w:themeShade="80"/>
              </w:rPr>
            </w:pPr>
            <w:r w:rsidRPr="00AD2577">
              <w:rPr>
                <w:color w:val="385623" w:themeColor="accent6" w:themeShade="80"/>
              </w:rPr>
              <w:t>Medium</w:t>
            </w:r>
          </w:p>
        </w:tc>
      </w:tr>
      <w:tr w:rsidR="00FD35C6" w:rsidRPr="00AD2577" w14:paraId="70810D11" w14:textId="77777777" w:rsidTr="00FD35C6">
        <w:trPr>
          <w:trHeight w:val="179"/>
        </w:trPr>
        <w:tc>
          <w:tcPr>
            <w:tcW w:w="1392" w:type="dxa"/>
            <w:shd w:val="clear" w:color="auto" w:fill="auto"/>
          </w:tcPr>
          <w:p w14:paraId="7B7A77B0" w14:textId="09955A6C" w:rsidR="00FD35C6" w:rsidRPr="00AD2577" w:rsidRDefault="005E78CB" w:rsidP="00FD35C6">
            <w:pPr>
              <w:pStyle w:val="TBCentered"/>
            </w:pPr>
            <w:r w:rsidRPr="00AD2577">
              <w:t>E1-4</w:t>
            </w:r>
          </w:p>
        </w:tc>
        <w:tc>
          <w:tcPr>
            <w:tcW w:w="4202" w:type="dxa"/>
            <w:shd w:val="clear" w:color="auto" w:fill="auto"/>
          </w:tcPr>
          <w:p w14:paraId="244EA748" w14:textId="77777777" w:rsidR="00FD35C6" w:rsidRPr="00AD2577" w:rsidRDefault="00FD35C6" w:rsidP="00FD35C6">
            <w:pPr>
              <w:pStyle w:val="TBLeft"/>
            </w:pPr>
            <w:r w:rsidRPr="00AD2577">
              <w:t>History of Standard Setting in the United States</w:t>
            </w:r>
          </w:p>
        </w:tc>
        <w:tc>
          <w:tcPr>
            <w:tcW w:w="1084" w:type="dxa"/>
            <w:shd w:val="clear" w:color="auto" w:fill="auto"/>
          </w:tcPr>
          <w:p w14:paraId="787430DF" w14:textId="77777777" w:rsidR="00FD35C6" w:rsidRPr="00AD2577" w:rsidRDefault="00FD35C6" w:rsidP="00FD35C6">
            <w:pPr>
              <w:pStyle w:val="TBCentered"/>
            </w:pPr>
            <w:r w:rsidRPr="00AD2577">
              <w:t>3</w:t>
            </w:r>
          </w:p>
        </w:tc>
        <w:tc>
          <w:tcPr>
            <w:tcW w:w="1789" w:type="dxa"/>
            <w:shd w:val="clear" w:color="auto" w:fill="auto"/>
          </w:tcPr>
          <w:p w14:paraId="1C83D24D" w14:textId="4BF21DE8" w:rsidR="00FD35C6" w:rsidRPr="00AD2577" w:rsidRDefault="00FD35C6" w:rsidP="00FD35C6">
            <w:pPr>
              <w:pStyle w:val="TBCentered"/>
            </w:pPr>
            <w:r w:rsidRPr="00AD2577">
              <w:t>20</w:t>
            </w:r>
            <w:r w:rsidR="00BD49BE" w:rsidRPr="00AD2577">
              <w:t>–</w:t>
            </w:r>
            <w:r w:rsidRPr="00AD2577">
              <w:t>25</w:t>
            </w:r>
          </w:p>
        </w:tc>
        <w:tc>
          <w:tcPr>
            <w:tcW w:w="1109" w:type="dxa"/>
            <w:shd w:val="clear" w:color="auto" w:fill="auto"/>
          </w:tcPr>
          <w:p w14:paraId="08278E0C" w14:textId="77777777" w:rsidR="00FD35C6" w:rsidRPr="00AD2577" w:rsidRDefault="00FD35C6" w:rsidP="00FD35C6">
            <w:pPr>
              <w:pStyle w:val="TBCentered"/>
            </w:pPr>
            <w:r w:rsidRPr="00AD2577">
              <w:t>Medium</w:t>
            </w:r>
          </w:p>
        </w:tc>
      </w:tr>
      <w:tr w:rsidR="00FD35C6" w:rsidRPr="00AD2577" w14:paraId="307F0F71" w14:textId="77777777" w:rsidTr="00FD35C6">
        <w:trPr>
          <w:trHeight w:val="179"/>
        </w:trPr>
        <w:tc>
          <w:tcPr>
            <w:tcW w:w="1392" w:type="dxa"/>
            <w:shd w:val="clear" w:color="auto" w:fill="auto"/>
          </w:tcPr>
          <w:p w14:paraId="21DF338C" w14:textId="2E46B786" w:rsidR="00FD35C6" w:rsidRPr="00AD2577" w:rsidRDefault="005E78CB" w:rsidP="00FD35C6">
            <w:pPr>
              <w:pStyle w:val="TBCentered"/>
            </w:pPr>
            <w:r w:rsidRPr="00AD2577">
              <w:t>E1-5</w:t>
            </w:r>
          </w:p>
        </w:tc>
        <w:tc>
          <w:tcPr>
            <w:tcW w:w="4202" w:type="dxa"/>
            <w:shd w:val="clear" w:color="auto" w:fill="auto"/>
          </w:tcPr>
          <w:p w14:paraId="0AC94AC5" w14:textId="17EAD0D1" w:rsidR="00FD35C6" w:rsidRPr="00AD2577" w:rsidRDefault="00FD35C6" w:rsidP="00FD35C6">
            <w:pPr>
              <w:pStyle w:val="TBLeft"/>
            </w:pPr>
            <w:r w:rsidRPr="00AD2577">
              <w:t>Rules</w:t>
            </w:r>
            <w:r w:rsidR="00981B62" w:rsidRPr="00AD2577">
              <w:t>-</w:t>
            </w:r>
            <w:r w:rsidRPr="00AD2577">
              <w:t xml:space="preserve"> versus Principles-Based Accounting</w:t>
            </w:r>
          </w:p>
        </w:tc>
        <w:tc>
          <w:tcPr>
            <w:tcW w:w="1084" w:type="dxa"/>
            <w:shd w:val="clear" w:color="auto" w:fill="auto"/>
          </w:tcPr>
          <w:p w14:paraId="674610ED" w14:textId="77777777" w:rsidR="00FD35C6" w:rsidRPr="00AD2577" w:rsidRDefault="00FD35C6" w:rsidP="00FD35C6">
            <w:pPr>
              <w:pStyle w:val="TBCentered"/>
            </w:pPr>
            <w:r w:rsidRPr="00AD2577">
              <w:t>4</w:t>
            </w:r>
          </w:p>
        </w:tc>
        <w:tc>
          <w:tcPr>
            <w:tcW w:w="1789" w:type="dxa"/>
            <w:shd w:val="clear" w:color="auto" w:fill="auto"/>
          </w:tcPr>
          <w:p w14:paraId="06043821" w14:textId="22723968" w:rsidR="00FD35C6" w:rsidRPr="00AD2577" w:rsidRDefault="00FD35C6" w:rsidP="00FD35C6">
            <w:pPr>
              <w:pStyle w:val="TBCentered"/>
            </w:pPr>
            <w:r w:rsidRPr="00AD2577">
              <w:t>10</w:t>
            </w:r>
            <w:r w:rsidR="00BD49BE" w:rsidRPr="00AD2577">
              <w:t>–</w:t>
            </w:r>
            <w:r w:rsidRPr="00AD2577">
              <w:t>15</w:t>
            </w:r>
          </w:p>
        </w:tc>
        <w:tc>
          <w:tcPr>
            <w:tcW w:w="1109" w:type="dxa"/>
            <w:shd w:val="clear" w:color="auto" w:fill="auto"/>
          </w:tcPr>
          <w:p w14:paraId="6AEA1045" w14:textId="77777777" w:rsidR="00FD35C6" w:rsidRPr="00AD2577" w:rsidRDefault="00FD35C6" w:rsidP="00FD35C6">
            <w:pPr>
              <w:pStyle w:val="TBCentered"/>
            </w:pPr>
            <w:r w:rsidRPr="00AD2577">
              <w:t>Easy</w:t>
            </w:r>
          </w:p>
        </w:tc>
      </w:tr>
      <w:tr w:rsidR="00FD35C6" w:rsidRPr="00AD2577" w14:paraId="6DE4E9A9" w14:textId="77777777" w:rsidTr="00FD35C6">
        <w:trPr>
          <w:trHeight w:val="179"/>
        </w:trPr>
        <w:tc>
          <w:tcPr>
            <w:tcW w:w="1392" w:type="dxa"/>
            <w:shd w:val="clear" w:color="auto" w:fill="auto"/>
          </w:tcPr>
          <w:p w14:paraId="15803CF1" w14:textId="69D8A9D8" w:rsidR="00FD35C6" w:rsidRPr="00AD2577" w:rsidRDefault="005E78CB" w:rsidP="00FD35C6">
            <w:pPr>
              <w:pStyle w:val="TBCentered"/>
            </w:pPr>
            <w:r w:rsidRPr="00AD2577">
              <w:t>E1-6</w:t>
            </w:r>
          </w:p>
        </w:tc>
        <w:tc>
          <w:tcPr>
            <w:tcW w:w="4202" w:type="dxa"/>
            <w:shd w:val="clear" w:color="auto" w:fill="auto"/>
          </w:tcPr>
          <w:p w14:paraId="73AEA9B0" w14:textId="77777777" w:rsidR="00FD35C6" w:rsidRPr="00AD2577" w:rsidRDefault="00FD35C6" w:rsidP="00FD35C6">
            <w:pPr>
              <w:pStyle w:val="TBLeft"/>
            </w:pPr>
            <w:r w:rsidRPr="00AD2577">
              <w:t>Asset/Liability Approach</w:t>
            </w:r>
          </w:p>
        </w:tc>
        <w:tc>
          <w:tcPr>
            <w:tcW w:w="1084" w:type="dxa"/>
            <w:shd w:val="clear" w:color="auto" w:fill="auto"/>
          </w:tcPr>
          <w:p w14:paraId="0EB0B15D" w14:textId="77777777" w:rsidR="00FD35C6" w:rsidRPr="00AD2577" w:rsidRDefault="00FD35C6" w:rsidP="00FD35C6">
            <w:pPr>
              <w:pStyle w:val="TBCentered"/>
            </w:pPr>
            <w:r w:rsidRPr="00AD2577">
              <w:t>4</w:t>
            </w:r>
          </w:p>
        </w:tc>
        <w:tc>
          <w:tcPr>
            <w:tcW w:w="1789" w:type="dxa"/>
            <w:shd w:val="clear" w:color="auto" w:fill="auto"/>
          </w:tcPr>
          <w:p w14:paraId="2B90E9F8" w14:textId="13110262" w:rsidR="00FD35C6" w:rsidRPr="00AD2577" w:rsidRDefault="00FD35C6" w:rsidP="00FD35C6">
            <w:pPr>
              <w:pStyle w:val="TBCentered"/>
            </w:pPr>
            <w:r w:rsidRPr="00AD2577">
              <w:t>15</w:t>
            </w:r>
            <w:r w:rsidR="00BD49BE" w:rsidRPr="00AD2577">
              <w:t>–</w:t>
            </w:r>
            <w:r w:rsidRPr="00AD2577">
              <w:t>20</w:t>
            </w:r>
          </w:p>
        </w:tc>
        <w:tc>
          <w:tcPr>
            <w:tcW w:w="1109" w:type="dxa"/>
            <w:shd w:val="clear" w:color="auto" w:fill="auto"/>
          </w:tcPr>
          <w:p w14:paraId="716C96DF" w14:textId="77777777" w:rsidR="00FD35C6" w:rsidRPr="00AD2577" w:rsidRDefault="00FD35C6" w:rsidP="00FD35C6">
            <w:pPr>
              <w:pStyle w:val="TBCentered"/>
            </w:pPr>
            <w:r w:rsidRPr="00AD2577">
              <w:t>Medium</w:t>
            </w:r>
          </w:p>
        </w:tc>
      </w:tr>
      <w:tr w:rsidR="00FD35C6" w:rsidRPr="00AD2577" w14:paraId="52321654" w14:textId="77777777" w:rsidTr="00FD35C6">
        <w:trPr>
          <w:trHeight w:val="179"/>
        </w:trPr>
        <w:tc>
          <w:tcPr>
            <w:tcW w:w="1392" w:type="dxa"/>
            <w:shd w:val="clear" w:color="auto" w:fill="auto"/>
          </w:tcPr>
          <w:p w14:paraId="01E4F3F5" w14:textId="5B2FE968" w:rsidR="00FD35C6" w:rsidRPr="00AD2577" w:rsidRDefault="005E78CB" w:rsidP="00FD35C6">
            <w:pPr>
              <w:pStyle w:val="TBCentered"/>
            </w:pPr>
            <w:r w:rsidRPr="00AD2577">
              <w:t>E1-7</w:t>
            </w:r>
          </w:p>
        </w:tc>
        <w:tc>
          <w:tcPr>
            <w:tcW w:w="4202" w:type="dxa"/>
            <w:shd w:val="clear" w:color="auto" w:fill="auto"/>
          </w:tcPr>
          <w:p w14:paraId="476F9F59" w14:textId="0BDBF64E" w:rsidR="00FD35C6" w:rsidRPr="00AD2577" w:rsidRDefault="00FD35C6" w:rsidP="00FD35C6">
            <w:pPr>
              <w:pStyle w:val="TBLeft"/>
            </w:pPr>
            <w:r w:rsidRPr="00AD2577">
              <w:t>Rules</w:t>
            </w:r>
            <w:r w:rsidR="00B97356" w:rsidRPr="00AD2577">
              <w:t>-</w:t>
            </w:r>
            <w:r w:rsidRPr="00AD2577">
              <w:t xml:space="preserve"> versus Principles-Based Accounting</w:t>
            </w:r>
          </w:p>
        </w:tc>
        <w:tc>
          <w:tcPr>
            <w:tcW w:w="1084" w:type="dxa"/>
            <w:shd w:val="clear" w:color="auto" w:fill="auto"/>
          </w:tcPr>
          <w:p w14:paraId="2040ECA8" w14:textId="77777777" w:rsidR="00FD35C6" w:rsidRPr="00AD2577" w:rsidRDefault="00FD35C6" w:rsidP="00FD35C6">
            <w:pPr>
              <w:pStyle w:val="TBCentered"/>
            </w:pPr>
            <w:r w:rsidRPr="00AD2577">
              <w:t>4</w:t>
            </w:r>
          </w:p>
        </w:tc>
        <w:tc>
          <w:tcPr>
            <w:tcW w:w="1789" w:type="dxa"/>
            <w:shd w:val="clear" w:color="auto" w:fill="auto"/>
          </w:tcPr>
          <w:p w14:paraId="75C3B2E8" w14:textId="0E95148A" w:rsidR="00FD35C6" w:rsidRPr="00AD2577" w:rsidRDefault="00FD35C6" w:rsidP="00FD35C6">
            <w:pPr>
              <w:pStyle w:val="TBCentered"/>
            </w:pPr>
            <w:r w:rsidRPr="00AD2577">
              <w:t>15</w:t>
            </w:r>
            <w:r w:rsidR="00BD49BE" w:rsidRPr="00AD2577">
              <w:t>–</w:t>
            </w:r>
            <w:r w:rsidRPr="00AD2577">
              <w:t>20</w:t>
            </w:r>
          </w:p>
        </w:tc>
        <w:tc>
          <w:tcPr>
            <w:tcW w:w="1109" w:type="dxa"/>
            <w:shd w:val="clear" w:color="auto" w:fill="auto"/>
          </w:tcPr>
          <w:p w14:paraId="6FB3723A" w14:textId="77777777" w:rsidR="00FD35C6" w:rsidRPr="00AD2577" w:rsidRDefault="00FD35C6" w:rsidP="00FD35C6">
            <w:pPr>
              <w:pStyle w:val="TBCentered"/>
            </w:pPr>
            <w:r w:rsidRPr="00AD2577">
              <w:t>Medium</w:t>
            </w:r>
          </w:p>
        </w:tc>
      </w:tr>
    </w:tbl>
    <w:p w14:paraId="479DACE5" w14:textId="77777777" w:rsidR="00226DE0" w:rsidRPr="00AD2577" w:rsidRDefault="00226DE0" w:rsidP="00977345">
      <w:pPr>
        <w:spacing w:after="0" w:line="240" w:lineRule="auto"/>
        <w:rPr>
          <w:rFonts w:ascii="Times New Roman" w:hAnsi="Times New Roman" w:cs="Times New Roman"/>
          <w:b/>
          <w:sz w:val="28"/>
          <w:szCs w:val="24"/>
        </w:rPr>
        <w:sectPr w:rsidR="00226DE0" w:rsidRPr="00AD2577" w:rsidSect="006D65CC">
          <w:headerReference w:type="even" r:id="rId8"/>
          <w:headerReference w:type="default" r:id="rId9"/>
          <w:footerReference w:type="even" r:id="rId10"/>
          <w:footerReference w:type="default" r:id="rId11"/>
          <w:footerReference w:type="first" r:id="rId12"/>
          <w:pgSz w:w="12240" w:h="15840"/>
          <w:pgMar w:top="1440" w:right="1440" w:bottom="1440" w:left="1440" w:header="720" w:footer="720" w:gutter="0"/>
          <w:cols w:space="720"/>
          <w:titlePg/>
          <w:docGrid w:linePitch="360"/>
        </w:sectPr>
      </w:pPr>
    </w:p>
    <w:p w14:paraId="71E83C92" w14:textId="4C3FD365" w:rsidR="005674E3" w:rsidRPr="00AD2577" w:rsidRDefault="00C61462" w:rsidP="00FD35C6">
      <w:pPr>
        <w:pStyle w:val="1head"/>
      </w:pPr>
      <w:r w:rsidRPr="00AD2577">
        <w:t xml:space="preserve">Suggestions for Class </w:t>
      </w:r>
      <w:r w:rsidR="00D00831" w:rsidRPr="00AD2577">
        <w:t>Activities</w:t>
      </w:r>
    </w:p>
    <w:p w14:paraId="02F5B360" w14:textId="19BFA6D7" w:rsidR="00002715" w:rsidRPr="00AD2577" w:rsidRDefault="003345D9" w:rsidP="00FD35C6">
      <w:pPr>
        <w:pStyle w:val="2head"/>
      </w:pPr>
      <w:r w:rsidRPr="00AD2577">
        <w:t xml:space="preserve">Learning </w:t>
      </w:r>
      <w:r w:rsidR="00002715" w:rsidRPr="00AD2577">
        <w:t xml:space="preserve">Objective </w:t>
      </w:r>
      <w:r w:rsidRPr="00AD2577">
        <w:t>1</w:t>
      </w:r>
    </w:p>
    <w:p w14:paraId="47FE00A0" w14:textId="5B73C266" w:rsidR="00977345" w:rsidRPr="00AD2577" w:rsidRDefault="003345D9" w:rsidP="00FD35C6">
      <w:pPr>
        <w:pStyle w:val="TextBullet"/>
      </w:pPr>
      <w:r w:rsidRPr="00AD2577">
        <w:t>Students will have a general understanding of the overview of financial accounting but may not have a clear understanding of the detail involved in the definition.</w:t>
      </w:r>
      <w:r w:rsidR="002F1033" w:rsidRPr="00AD2577">
        <w:t xml:space="preserve"> </w:t>
      </w:r>
      <w:r w:rsidR="000907B3" w:rsidRPr="00AD2577">
        <w:t>Have students interview businesses a</w:t>
      </w:r>
      <w:r w:rsidR="00F53F1D" w:rsidRPr="00AD2577">
        <w:t>nd individuals to learn how the businesses or individuals</w:t>
      </w:r>
      <w:r w:rsidR="000907B3" w:rsidRPr="00AD2577">
        <w:t xml:space="preserve"> use financial informati</w:t>
      </w:r>
      <w:r w:rsidR="00F53F1D" w:rsidRPr="00AD2577">
        <w:t>on and what is important to the</w:t>
      </w:r>
      <w:r w:rsidR="00060F83" w:rsidRPr="00AD2577">
        <w:t xml:space="preserve">m </w:t>
      </w:r>
      <w:r w:rsidR="000907B3" w:rsidRPr="00AD2577">
        <w:t>in reading financial information. Ensure that students understand the perspective of whom they are interviewing, whether it be a lender, an investo</w:t>
      </w:r>
      <w:r w:rsidR="00977345" w:rsidRPr="00AD2577">
        <w:t>r, a customer, or another user.</w:t>
      </w:r>
    </w:p>
    <w:p w14:paraId="3FE0E4E0" w14:textId="77777777" w:rsidR="00002715" w:rsidRPr="00AD2577" w:rsidRDefault="009C2456" w:rsidP="00FD35C6">
      <w:pPr>
        <w:pStyle w:val="TextBullet"/>
      </w:pPr>
      <w:r w:rsidRPr="00AD2577">
        <w:t>Have students locate new</w:t>
      </w:r>
      <w:r w:rsidR="0041727C" w:rsidRPr="00AD2577">
        <w:t>s</w:t>
      </w:r>
      <w:r w:rsidRPr="00AD2577">
        <w:t xml:space="preserve"> articles in which financial accounting becomes part of a legal, economic, political, or social discussion.</w:t>
      </w:r>
      <w:r w:rsidR="002F1033" w:rsidRPr="00AD2577">
        <w:t xml:space="preserve"> </w:t>
      </w:r>
      <w:r w:rsidRPr="00AD2577">
        <w:t>This activity can be done all semester to</w:t>
      </w:r>
      <w:r w:rsidR="000907B3" w:rsidRPr="00AD2577">
        <w:t xml:space="preserve"> </w:t>
      </w:r>
      <w:r w:rsidR="0041727C" w:rsidRPr="00AD2577">
        <w:t>emphasize the role of accounting in numerous areas of life.</w:t>
      </w:r>
    </w:p>
    <w:p w14:paraId="5351D850" w14:textId="36B69FC6" w:rsidR="000907B3" w:rsidRPr="00AD2577" w:rsidRDefault="009C2456" w:rsidP="00FD35C6">
      <w:pPr>
        <w:pStyle w:val="2head"/>
      </w:pPr>
      <w:r w:rsidRPr="00AD2577">
        <w:t xml:space="preserve">Learning </w:t>
      </w:r>
      <w:r w:rsidR="00002715" w:rsidRPr="00AD2577">
        <w:t xml:space="preserve">Objective </w:t>
      </w:r>
      <w:r w:rsidRPr="00AD2577">
        <w:t>2</w:t>
      </w:r>
    </w:p>
    <w:p w14:paraId="2C0863A7" w14:textId="698E1876" w:rsidR="00002715" w:rsidRPr="00AD2577" w:rsidRDefault="00CD4A6A" w:rsidP="00FD35C6">
      <w:pPr>
        <w:pStyle w:val="TextBullet"/>
      </w:pPr>
      <w:r w:rsidRPr="00AD2577">
        <w:t>Students are engaged in becoming educated in matters of accounting at an interesting time in history.</w:t>
      </w:r>
      <w:r w:rsidR="002F1033" w:rsidRPr="00AD2577">
        <w:t xml:space="preserve"> </w:t>
      </w:r>
      <w:r w:rsidR="00060F83" w:rsidRPr="00AD2577">
        <w:t xml:space="preserve">To highlight the importance of learning </w:t>
      </w:r>
      <w:r w:rsidRPr="00AD2577">
        <w:t xml:space="preserve">about </w:t>
      </w:r>
      <w:r w:rsidR="004528B7" w:rsidRPr="00AD2577">
        <w:t>i</w:t>
      </w:r>
      <w:r w:rsidRPr="00AD2577">
        <w:t xml:space="preserve">nternational </w:t>
      </w:r>
      <w:r w:rsidR="004528B7" w:rsidRPr="00AD2577">
        <w:t>a</w:t>
      </w:r>
      <w:r w:rsidRPr="00AD2577">
        <w:t xml:space="preserve">ccounting </w:t>
      </w:r>
      <w:r w:rsidR="004528B7" w:rsidRPr="00AD2577">
        <w:t>s</w:t>
      </w:r>
      <w:r w:rsidRPr="00AD2577">
        <w:t>tandards, have students locate the financial data on a company where they may like to shop.</w:t>
      </w:r>
      <w:r w:rsidR="002F1033" w:rsidRPr="00AD2577">
        <w:t xml:space="preserve"> </w:t>
      </w:r>
      <w:r w:rsidRPr="00AD2577">
        <w:t>Have students note the countries in which the store has a presence.</w:t>
      </w:r>
      <w:r w:rsidR="002F1033" w:rsidRPr="00AD2577">
        <w:t xml:space="preserve"> </w:t>
      </w:r>
      <w:r w:rsidR="00D60A3E" w:rsidRPr="00AD2577">
        <w:t>Discuss the problems that arise for such a company regarding financial reporting.</w:t>
      </w:r>
      <w:r w:rsidR="002F1033" w:rsidRPr="00AD2577">
        <w:t xml:space="preserve"> </w:t>
      </w:r>
      <w:r w:rsidR="00D60A3E" w:rsidRPr="00AD2577">
        <w:t>Have students submit the discussion as a written submission or as a</w:t>
      </w:r>
      <w:r w:rsidR="00392AE7" w:rsidRPr="00AD2577">
        <w:t>n in-</w:t>
      </w:r>
      <w:r w:rsidR="00D60A3E" w:rsidRPr="00AD2577">
        <w:t>class discussion.</w:t>
      </w:r>
    </w:p>
    <w:p w14:paraId="6571D107" w14:textId="2FEB9814" w:rsidR="00CD4A6A" w:rsidRPr="00AD2577" w:rsidRDefault="00CD4A6A" w:rsidP="00FD35C6">
      <w:pPr>
        <w:pStyle w:val="2head"/>
      </w:pPr>
      <w:r w:rsidRPr="00AD2577">
        <w:t xml:space="preserve">Learning </w:t>
      </w:r>
      <w:r w:rsidR="00002715" w:rsidRPr="00AD2577">
        <w:t xml:space="preserve">Objective </w:t>
      </w:r>
      <w:r w:rsidRPr="00AD2577">
        <w:t>3</w:t>
      </w:r>
    </w:p>
    <w:p w14:paraId="3517C732" w14:textId="40D94EE1" w:rsidR="00002715" w:rsidRPr="00AD2577" w:rsidRDefault="005F4341" w:rsidP="00FD35C6">
      <w:pPr>
        <w:pStyle w:val="TextBullet"/>
      </w:pPr>
      <w:r w:rsidRPr="00AD2577">
        <w:t xml:space="preserve">The </w:t>
      </w:r>
      <w:r w:rsidR="00060F83" w:rsidRPr="00AD2577">
        <w:t>standard-</w:t>
      </w:r>
      <w:r w:rsidR="00F37D56" w:rsidRPr="00AD2577">
        <w:t>setting process is somewhat confusing.</w:t>
      </w:r>
      <w:r w:rsidR="002F1033" w:rsidRPr="00AD2577">
        <w:t xml:space="preserve"> </w:t>
      </w:r>
      <w:r w:rsidR="00F37D56" w:rsidRPr="00AD2577">
        <w:t>Have students map out, pictorially, the history</w:t>
      </w:r>
      <w:r w:rsidRPr="00AD2577">
        <w:t xml:space="preserve"> and structure of the </w:t>
      </w:r>
      <w:r w:rsidR="00060F83" w:rsidRPr="00AD2577">
        <w:t>standard-</w:t>
      </w:r>
      <w:r w:rsidR="00621CFA" w:rsidRPr="00AD2577">
        <w:t>setting process.</w:t>
      </w:r>
      <w:r w:rsidR="002F1033" w:rsidRPr="00AD2577">
        <w:t xml:space="preserve"> </w:t>
      </w:r>
      <w:r w:rsidR="00B920D2" w:rsidRPr="00AD2577">
        <w:t>The process of having students pictorially represent the process can be completed as an individual or group assignment that takes place either inside or outside the classroom.</w:t>
      </w:r>
      <w:r w:rsidR="00632FCE" w:rsidRPr="00AD2577">
        <w:t xml:space="preserve"> Be sure that students include global </w:t>
      </w:r>
      <w:r w:rsidR="00D76208" w:rsidRPr="00AD2577">
        <w:t>standard setting in their picture.</w:t>
      </w:r>
      <w:r w:rsidR="002F1033" w:rsidRPr="00AD2577">
        <w:t xml:space="preserve"> </w:t>
      </w:r>
      <w:r w:rsidR="00E40E83" w:rsidRPr="00AD2577">
        <w:t xml:space="preserve">Students can complete the assignment </w:t>
      </w:r>
      <w:r w:rsidR="003E0981" w:rsidRPr="00AD2577">
        <w:t xml:space="preserve">by hand </w:t>
      </w:r>
      <w:r w:rsidR="00E40E83" w:rsidRPr="00AD2577">
        <w:t>or use var</w:t>
      </w:r>
      <w:r w:rsidR="00014C32" w:rsidRPr="00AD2577">
        <w:t>ious forms of electronic help</w:t>
      </w:r>
      <w:r w:rsidR="003E0981" w:rsidRPr="00AD2577">
        <w:t>,</w:t>
      </w:r>
      <w:r w:rsidR="00014C32" w:rsidRPr="00AD2577">
        <w:t xml:space="preserve"> such as online infographic design tools.</w:t>
      </w:r>
    </w:p>
    <w:p w14:paraId="079A9EB3" w14:textId="6DB7023B" w:rsidR="00B920D2" w:rsidRPr="00AD2577" w:rsidRDefault="00B920D2" w:rsidP="00FD35C6">
      <w:pPr>
        <w:pStyle w:val="2head"/>
      </w:pPr>
      <w:r w:rsidRPr="00AD2577">
        <w:t xml:space="preserve">Learning </w:t>
      </w:r>
      <w:r w:rsidR="00002715" w:rsidRPr="00AD2577">
        <w:t xml:space="preserve">Objective </w:t>
      </w:r>
      <w:r w:rsidRPr="00AD2577">
        <w:t>4</w:t>
      </w:r>
    </w:p>
    <w:p w14:paraId="2D003012" w14:textId="77777777" w:rsidR="00002715" w:rsidRPr="00AD2577" w:rsidRDefault="00DB4E09" w:rsidP="00FD35C6">
      <w:pPr>
        <w:pStyle w:val="TextBullet"/>
      </w:pPr>
      <w:r w:rsidRPr="00AD2577">
        <w:t>To convey the difference between principle</w:t>
      </w:r>
      <w:r w:rsidR="00C032B0" w:rsidRPr="00AD2577">
        <w:t>s</w:t>
      </w:r>
      <w:r w:rsidRPr="00AD2577">
        <w:t>-based and rule</w:t>
      </w:r>
      <w:r w:rsidR="00C032B0" w:rsidRPr="00AD2577">
        <w:t>s</w:t>
      </w:r>
      <w:r w:rsidRPr="00AD2577">
        <w:t>-based standards, divide students into two groups.</w:t>
      </w:r>
      <w:r w:rsidR="002F1033" w:rsidRPr="00AD2577">
        <w:t xml:space="preserve"> </w:t>
      </w:r>
      <w:r w:rsidRPr="00AD2577">
        <w:t>One group will be the rule</w:t>
      </w:r>
      <w:r w:rsidR="00C032B0" w:rsidRPr="00AD2577">
        <w:t>s</w:t>
      </w:r>
      <w:r w:rsidRPr="00AD2577">
        <w:t>-based group</w:t>
      </w:r>
      <w:r w:rsidR="00BD49BE" w:rsidRPr="00AD2577">
        <w:t>,</w:t>
      </w:r>
      <w:r w:rsidRPr="00AD2577">
        <w:t xml:space="preserve"> and the o</w:t>
      </w:r>
      <w:r w:rsidR="00106349" w:rsidRPr="00AD2577">
        <w:t>ther group will be the principles</w:t>
      </w:r>
      <w:r w:rsidRPr="00AD2577">
        <w:t>-based group.</w:t>
      </w:r>
      <w:r w:rsidR="002F1033" w:rsidRPr="00AD2577">
        <w:t xml:space="preserve"> </w:t>
      </w:r>
      <w:r w:rsidRPr="00AD2577">
        <w:t>Give each of the groups an assignment based on a set of rules for the rules-based group and based on principles for the principles-based group.</w:t>
      </w:r>
      <w:r w:rsidR="002F1033" w:rsidRPr="00AD2577">
        <w:t xml:space="preserve"> </w:t>
      </w:r>
      <w:r w:rsidRPr="00AD2577">
        <w:t>The assignment will be the same, just modified to either include a rules or principles approach to the communications of the criteria of the assignment.</w:t>
      </w:r>
      <w:r w:rsidR="002F1033" w:rsidRPr="00AD2577">
        <w:t xml:space="preserve"> </w:t>
      </w:r>
      <w:r w:rsidR="004C2C85" w:rsidRPr="00AD2577">
        <w:t>This assignment can be completed individually or in groups and may be done during class time or as an external assignment.</w:t>
      </w:r>
    </w:p>
    <w:p w14:paraId="5A79BF5B" w14:textId="6C41A267" w:rsidR="0089207B" w:rsidRPr="00AD2577" w:rsidRDefault="0089207B" w:rsidP="008251FE">
      <w:pPr>
        <w:spacing w:after="0" w:line="240" w:lineRule="auto"/>
        <w:rPr>
          <w:rFonts w:ascii="Times New Roman" w:hAnsi="Times New Roman" w:cs="Times New Roman"/>
          <w:sz w:val="24"/>
          <w:szCs w:val="24"/>
        </w:rPr>
      </w:pPr>
      <w:r w:rsidRPr="00AD2577">
        <w:rPr>
          <w:rFonts w:ascii="Times New Roman" w:hAnsi="Times New Roman" w:cs="Times New Roman"/>
          <w:sz w:val="24"/>
          <w:szCs w:val="24"/>
        </w:rPr>
        <w:br w:type="page"/>
      </w:r>
    </w:p>
    <w:p w14:paraId="0BAEFD6C" w14:textId="77777777" w:rsidR="0089207B" w:rsidRPr="00AD2577" w:rsidRDefault="00C032B0" w:rsidP="0041575A">
      <w:pPr>
        <w:pStyle w:val="1head"/>
      </w:pPr>
      <w:r w:rsidRPr="00AD2577">
        <w:t>Guidance on I</w:t>
      </w:r>
      <w:r w:rsidR="0089207B" w:rsidRPr="00AD2577">
        <w:t>ncorporating IFRS Material</w:t>
      </w:r>
    </w:p>
    <w:p w14:paraId="60681F61" w14:textId="6DC47BFF" w:rsidR="0089207B" w:rsidRPr="00AD2577" w:rsidRDefault="0089207B" w:rsidP="00CE6899">
      <w:pPr>
        <w:pStyle w:val="ListParagraph"/>
        <w:numPr>
          <w:ilvl w:val="3"/>
          <w:numId w:val="5"/>
        </w:numPr>
        <w:spacing w:before="240" w:after="0" w:line="240" w:lineRule="auto"/>
        <w:ind w:left="360"/>
        <w:rPr>
          <w:rFonts w:ascii="Times New Roman" w:hAnsi="Times New Roman" w:cs="Times New Roman"/>
          <w:sz w:val="24"/>
          <w:szCs w:val="24"/>
        </w:rPr>
      </w:pPr>
      <w:r w:rsidRPr="00AD2577">
        <w:rPr>
          <w:rFonts w:ascii="Times New Roman" w:hAnsi="Times New Roman" w:cs="Times New Roman"/>
          <w:sz w:val="24"/>
          <w:szCs w:val="24"/>
        </w:rPr>
        <w:t>Students will be curious a</w:t>
      </w:r>
      <w:r w:rsidR="00370009" w:rsidRPr="00AD2577">
        <w:rPr>
          <w:rFonts w:ascii="Times New Roman" w:hAnsi="Times New Roman" w:cs="Times New Roman"/>
          <w:sz w:val="24"/>
          <w:szCs w:val="24"/>
        </w:rPr>
        <w:t>bout</w:t>
      </w:r>
      <w:r w:rsidRPr="00AD2577">
        <w:rPr>
          <w:rFonts w:ascii="Times New Roman" w:hAnsi="Times New Roman" w:cs="Times New Roman"/>
          <w:sz w:val="24"/>
          <w:szCs w:val="24"/>
        </w:rPr>
        <w:t xml:space="preserve"> the trend toward IFRS. Most students have heard of IFRS but have not had an opportunity to learn about it.</w:t>
      </w:r>
      <w:r w:rsidR="002F1033" w:rsidRPr="00AD2577">
        <w:rPr>
          <w:rFonts w:ascii="Times New Roman" w:hAnsi="Times New Roman" w:cs="Times New Roman"/>
          <w:sz w:val="24"/>
          <w:szCs w:val="24"/>
        </w:rPr>
        <w:t xml:space="preserve"> </w:t>
      </w:r>
      <w:r w:rsidRPr="00AD2577">
        <w:rPr>
          <w:rFonts w:ascii="Times New Roman" w:hAnsi="Times New Roman" w:cs="Times New Roman"/>
          <w:sz w:val="24"/>
          <w:szCs w:val="24"/>
        </w:rPr>
        <w:t xml:space="preserve">In </w:t>
      </w:r>
      <w:r w:rsidR="00060F83" w:rsidRPr="00AD2577">
        <w:rPr>
          <w:rFonts w:ascii="Times New Roman" w:hAnsi="Times New Roman" w:cs="Times New Roman"/>
          <w:sz w:val="24"/>
          <w:szCs w:val="24"/>
        </w:rPr>
        <w:t xml:space="preserve">Chapter </w:t>
      </w:r>
      <w:r w:rsidRPr="00AD2577">
        <w:rPr>
          <w:rFonts w:ascii="Times New Roman" w:hAnsi="Times New Roman" w:cs="Times New Roman"/>
          <w:sz w:val="24"/>
          <w:szCs w:val="24"/>
        </w:rPr>
        <w:t xml:space="preserve">1, the students will be introduced to the </w:t>
      </w:r>
      <w:r w:rsidR="00226DE0" w:rsidRPr="00AD2577">
        <w:rPr>
          <w:rFonts w:ascii="Times New Roman" w:hAnsi="Times New Roman" w:cs="Times New Roman"/>
          <w:sz w:val="24"/>
          <w:szCs w:val="24"/>
        </w:rPr>
        <w:t>ground level</w:t>
      </w:r>
      <w:r w:rsidRPr="00AD2577">
        <w:rPr>
          <w:rFonts w:ascii="Times New Roman" w:hAnsi="Times New Roman" w:cs="Times New Roman"/>
          <w:sz w:val="24"/>
          <w:szCs w:val="24"/>
        </w:rPr>
        <w:t xml:space="preserve"> of IFRS. This chapter is a great place on which to build the students’ understanding.</w:t>
      </w:r>
      <w:r w:rsidR="002F1033" w:rsidRPr="00AD2577">
        <w:rPr>
          <w:rFonts w:ascii="Times New Roman" w:hAnsi="Times New Roman" w:cs="Times New Roman"/>
          <w:sz w:val="24"/>
          <w:szCs w:val="24"/>
        </w:rPr>
        <w:t xml:space="preserve"> </w:t>
      </w:r>
      <w:r w:rsidR="002D1E0D" w:rsidRPr="00AD2577">
        <w:rPr>
          <w:rFonts w:ascii="Times New Roman" w:hAnsi="Times New Roman" w:cs="Times New Roman"/>
          <w:sz w:val="24"/>
          <w:szCs w:val="24"/>
        </w:rPr>
        <w:t>As noted in the chapter material, there is a need to learn about IFRS. Students must recognize their need to learn</w:t>
      </w:r>
      <w:r w:rsidR="00687C46" w:rsidRPr="00AD2577">
        <w:rPr>
          <w:rFonts w:ascii="Times New Roman" w:hAnsi="Times New Roman" w:cs="Times New Roman"/>
          <w:sz w:val="24"/>
          <w:szCs w:val="24"/>
        </w:rPr>
        <w:t xml:space="preserve"> about IFRS</w:t>
      </w:r>
      <w:r w:rsidR="002D1E0D" w:rsidRPr="00AD2577">
        <w:rPr>
          <w:rFonts w:ascii="Times New Roman" w:hAnsi="Times New Roman" w:cs="Times New Roman"/>
          <w:sz w:val="24"/>
          <w:szCs w:val="24"/>
        </w:rPr>
        <w:t>.</w:t>
      </w:r>
      <w:r w:rsidR="002F1033" w:rsidRPr="00AD2577">
        <w:rPr>
          <w:rFonts w:ascii="Times New Roman" w:hAnsi="Times New Roman" w:cs="Times New Roman"/>
          <w:sz w:val="24"/>
          <w:szCs w:val="24"/>
        </w:rPr>
        <w:t xml:space="preserve"> </w:t>
      </w:r>
      <w:r w:rsidR="000513B4" w:rsidRPr="00AD2577">
        <w:rPr>
          <w:rFonts w:ascii="Times New Roman" w:hAnsi="Times New Roman" w:cs="Times New Roman"/>
          <w:sz w:val="24"/>
          <w:szCs w:val="24"/>
        </w:rPr>
        <w:t xml:space="preserve">Having </w:t>
      </w:r>
      <w:r w:rsidR="00687C46" w:rsidRPr="00AD2577">
        <w:rPr>
          <w:rFonts w:ascii="Times New Roman" w:hAnsi="Times New Roman" w:cs="Times New Roman"/>
          <w:sz w:val="24"/>
          <w:szCs w:val="24"/>
        </w:rPr>
        <w:t xml:space="preserve">a </w:t>
      </w:r>
      <w:r w:rsidR="000513B4" w:rsidRPr="00AD2577">
        <w:rPr>
          <w:rFonts w:ascii="Times New Roman" w:hAnsi="Times New Roman" w:cs="Times New Roman"/>
          <w:sz w:val="24"/>
          <w:szCs w:val="24"/>
        </w:rPr>
        <w:t>discussion about the topic will open up lines of communication.</w:t>
      </w:r>
      <w:r w:rsidR="002F1033" w:rsidRPr="00AD2577">
        <w:rPr>
          <w:rFonts w:ascii="Times New Roman" w:hAnsi="Times New Roman" w:cs="Times New Roman"/>
          <w:sz w:val="24"/>
          <w:szCs w:val="24"/>
        </w:rPr>
        <w:t xml:space="preserve"> </w:t>
      </w:r>
      <w:r w:rsidR="0007572F" w:rsidRPr="00AD2577">
        <w:rPr>
          <w:rFonts w:ascii="Times New Roman" w:hAnsi="Times New Roman" w:cs="Times New Roman"/>
          <w:sz w:val="24"/>
          <w:szCs w:val="24"/>
        </w:rPr>
        <w:t>Begin the discussion by asking questions such as:</w:t>
      </w:r>
    </w:p>
    <w:p w14:paraId="1588BAFC" w14:textId="7020E32C" w:rsidR="0007572F" w:rsidRPr="00AD2577" w:rsidRDefault="0007572F" w:rsidP="00FD35C6">
      <w:pPr>
        <w:pStyle w:val="BulletsI"/>
      </w:pPr>
      <w:r w:rsidRPr="00AD2577">
        <w:t>What have you heard about IFRS, if anything? This is an opportunity to clear up any inaccurate thoughts the students may have about IFRS.</w:t>
      </w:r>
      <w:r w:rsidR="002F1033" w:rsidRPr="00AD2577">
        <w:t xml:space="preserve"> </w:t>
      </w:r>
      <w:r w:rsidRPr="00AD2577">
        <w:t>Students may have heard bits and pieces of the purpose and the process involved in IFRS.</w:t>
      </w:r>
      <w:r w:rsidR="002F1033" w:rsidRPr="00AD2577">
        <w:t xml:space="preserve"> </w:t>
      </w:r>
      <w:r w:rsidRPr="00AD2577">
        <w:t xml:space="preserve">Explain to the students that IFRS learning will be implemented as a part of every chapter to ensure </w:t>
      </w:r>
      <w:r w:rsidR="00B83148" w:rsidRPr="00AD2577">
        <w:t xml:space="preserve">that </w:t>
      </w:r>
      <w:r w:rsidRPr="00AD2577">
        <w:t>the student receives accurate knowledge on the topic.</w:t>
      </w:r>
    </w:p>
    <w:p w14:paraId="064470BE" w14:textId="77777777" w:rsidR="00002715" w:rsidRPr="00AD2577" w:rsidRDefault="0007572F" w:rsidP="00FD35C6">
      <w:pPr>
        <w:pStyle w:val="BulletsI"/>
      </w:pPr>
      <w:r w:rsidRPr="00AD2577">
        <w:t>What is the future of IFRS in the U</w:t>
      </w:r>
      <w:r w:rsidR="00060F83" w:rsidRPr="00AD2577">
        <w:t>nited States</w:t>
      </w:r>
      <w:r w:rsidRPr="00AD2577">
        <w:t>?</w:t>
      </w:r>
      <w:r w:rsidR="002F1033" w:rsidRPr="00AD2577">
        <w:t xml:space="preserve"> </w:t>
      </w:r>
      <w:r w:rsidRPr="00AD2577">
        <w:t>This is an opportunity to discuss the impact that IFRS is having or will have on the U.S. reporting purpose.</w:t>
      </w:r>
    </w:p>
    <w:p w14:paraId="1C651E13" w14:textId="7B40F6AE" w:rsidR="0007572F" w:rsidRPr="00AD2577" w:rsidRDefault="0007572F" w:rsidP="00FD35C6">
      <w:pPr>
        <w:pStyle w:val="BulletsI"/>
      </w:pPr>
      <w:r w:rsidRPr="00AD2577">
        <w:t>What is your role in learning about IFRS as a student seeking to have a career in accounting? Students will acknowledge the need to learn about IFRS and may comment on their future goals in accounting.</w:t>
      </w:r>
      <w:r w:rsidR="002F1033" w:rsidRPr="00AD2577">
        <w:t xml:space="preserve"> </w:t>
      </w:r>
      <w:r w:rsidR="00DA09D4" w:rsidRPr="00AD2577">
        <w:t>Explain how IFRS will be part of our future.</w:t>
      </w:r>
    </w:p>
    <w:p w14:paraId="18EEE1D4" w14:textId="77777777" w:rsidR="00002715" w:rsidRPr="00AD2577" w:rsidRDefault="000513B4" w:rsidP="00CE6899">
      <w:pPr>
        <w:pStyle w:val="ListParagraph"/>
        <w:numPr>
          <w:ilvl w:val="3"/>
          <w:numId w:val="5"/>
        </w:numPr>
        <w:spacing w:before="240" w:after="0" w:line="240" w:lineRule="auto"/>
        <w:ind w:left="360"/>
        <w:contextualSpacing w:val="0"/>
        <w:rPr>
          <w:rFonts w:ascii="Times New Roman" w:hAnsi="Times New Roman" w:cs="Times New Roman"/>
          <w:sz w:val="24"/>
          <w:szCs w:val="24"/>
        </w:rPr>
      </w:pPr>
      <w:r w:rsidRPr="00AD2577">
        <w:rPr>
          <w:rFonts w:ascii="Times New Roman" w:hAnsi="Times New Roman" w:cs="Times New Roman"/>
          <w:sz w:val="24"/>
          <w:szCs w:val="24"/>
        </w:rPr>
        <w:t xml:space="preserve">Be sure to recognize components of IFRS throughout the course. </w:t>
      </w:r>
      <w:r w:rsidR="000F7606" w:rsidRPr="00AD2577">
        <w:rPr>
          <w:rFonts w:ascii="Times New Roman" w:hAnsi="Times New Roman" w:cs="Times New Roman"/>
          <w:sz w:val="24"/>
          <w:szCs w:val="24"/>
        </w:rPr>
        <w:t>Just addressing IFRS</w:t>
      </w:r>
      <w:r w:rsidR="00CB3734" w:rsidRPr="00AD2577">
        <w:rPr>
          <w:rFonts w:ascii="Times New Roman" w:hAnsi="Times New Roman" w:cs="Times New Roman"/>
          <w:sz w:val="24"/>
          <w:szCs w:val="24"/>
        </w:rPr>
        <w:t xml:space="preserve"> in </w:t>
      </w:r>
      <w:r w:rsidR="00060F83" w:rsidRPr="00AD2577">
        <w:rPr>
          <w:rFonts w:ascii="Times New Roman" w:hAnsi="Times New Roman" w:cs="Times New Roman"/>
          <w:sz w:val="24"/>
          <w:szCs w:val="24"/>
        </w:rPr>
        <w:t xml:space="preserve">Chapter </w:t>
      </w:r>
      <w:r w:rsidR="00CB3734" w:rsidRPr="00AD2577">
        <w:rPr>
          <w:rFonts w:ascii="Times New Roman" w:hAnsi="Times New Roman" w:cs="Times New Roman"/>
          <w:sz w:val="24"/>
          <w:szCs w:val="24"/>
        </w:rPr>
        <w:t>1 and never addressing it aga</w:t>
      </w:r>
      <w:r w:rsidR="00687C46" w:rsidRPr="00AD2577">
        <w:rPr>
          <w:rFonts w:ascii="Times New Roman" w:hAnsi="Times New Roman" w:cs="Times New Roman"/>
          <w:sz w:val="24"/>
          <w:szCs w:val="24"/>
        </w:rPr>
        <w:t xml:space="preserve">in will leave the students with </w:t>
      </w:r>
      <w:r w:rsidR="00CB3734" w:rsidRPr="00AD2577">
        <w:rPr>
          <w:rFonts w:ascii="Times New Roman" w:hAnsi="Times New Roman" w:cs="Times New Roman"/>
          <w:sz w:val="24"/>
          <w:szCs w:val="24"/>
        </w:rPr>
        <w:t>only a partial understanding of the topic</w:t>
      </w:r>
      <w:r w:rsidR="000F7606" w:rsidRPr="00AD2577">
        <w:rPr>
          <w:rFonts w:ascii="Times New Roman" w:hAnsi="Times New Roman" w:cs="Times New Roman"/>
          <w:sz w:val="24"/>
          <w:szCs w:val="24"/>
        </w:rPr>
        <w:t>.</w:t>
      </w:r>
      <w:r w:rsidR="002F1033" w:rsidRPr="00AD2577">
        <w:rPr>
          <w:rFonts w:ascii="Times New Roman" w:hAnsi="Times New Roman" w:cs="Times New Roman"/>
          <w:sz w:val="24"/>
          <w:szCs w:val="24"/>
        </w:rPr>
        <w:t xml:space="preserve"> </w:t>
      </w:r>
      <w:r w:rsidR="000F7606" w:rsidRPr="00AD2577">
        <w:rPr>
          <w:rFonts w:ascii="Times New Roman" w:hAnsi="Times New Roman" w:cs="Times New Roman"/>
          <w:sz w:val="24"/>
          <w:szCs w:val="24"/>
        </w:rPr>
        <w:t>Assign</w:t>
      </w:r>
      <w:r w:rsidR="00CB3734" w:rsidRPr="00AD2577">
        <w:rPr>
          <w:rFonts w:ascii="Times New Roman" w:hAnsi="Times New Roman" w:cs="Times New Roman"/>
          <w:sz w:val="24"/>
          <w:szCs w:val="24"/>
        </w:rPr>
        <w:t xml:space="preserve"> students</w:t>
      </w:r>
      <w:r w:rsidR="000F7606" w:rsidRPr="00AD2577">
        <w:rPr>
          <w:rFonts w:ascii="Times New Roman" w:hAnsi="Times New Roman" w:cs="Times New Roman"/>
          <w:sz w:val="24"/>
          <w:szCs w:val="24"/>
        </w:rPr>
        <w:t xml:space="preserve"> the responsibility</w:t>
      </w:r>
      <w:r w:rsidR="00CB3734" w:rsidRPr="00AD2577">
        <w:rPr>
          <w:rFonts w:ascii="Times New Roman" w:hAnsi="Times New Roman" w:cs="Times New Roman"/>
          <w:sz w:val="24"/>
          <w:szCs w:val="24"/>
        </w:rPr>
        <w:t xml:space="preserve"> to complete and report on their own research of the topic</w:t>
      </w:r>
      <w:r w:rsidR="000F7606" w:rsidRPr="00AD2577">
        <w:rPr>
          <w:rFonts w:ascii="Times New Roman" w:hAnsi="Times New Roman" w:cs="Times New Roman"/>
          <w:sz w:val="24"/>
          <w:szCs w:val="24"/>
        </w:rPr>
        <w:t xml:space="preserve"> on a </w:t>
      </w:r>
      <w:r w:rsidR="00226DE0" w:rsidRPr="00AD2577">
        <w:rPr>
          <w:rFonts w:ascii="Times New Roman" w:hAnsi="Times New Roman" w:cs="Times New Roman"/>
          <w:sz w:val="24"/>
          <w:szCs w:val="24"/>
        </w:rPr>
        <w:t>chapter-by-chapter</w:t>
      </w:r>
      <w:r w:rsidR="000F7606" w:rsidRPr="00AD2577">
        <w:rPr>
          <w:rFonts w:ascii="Times New Roman" w:hAnsi="Times New Roman" w:cs="Times New Roman"/>
          <w:sz w:val="24"/>
          <w:szCs w:val="24"/>
        </w:rPr>
        <w:t xml:space="preserve"> basis</w:t>
      </w:r>
      <w:r w:rsidR="00CB3734" w:rsidRPr="00AD2577">
        <w:rPr>
          <w:rFonts w:ascii="Times New Roman" w:hAnsi="Times New Roman" w:cs="Times New Roman"/>
          <w:sz w:val="24"/>
          <w:szCs w:val="24"/>
        </w:rPr>
        <w:t>.</w:t>
      </w:r>
      <w:r w:rsidR="002F1033" w:rsidRPr="00AD2577">
        <w:rPr>
          <w:rFonts w:ascii="Times New Roman" w:hAnsi="Times New Roman" w:cs="Times New Roman"/>
          <w:sz w:val="24"/>
          <w:szCs w:val="24"/>
        </w:rPr>
        <w:t xml:space="preserve"> </w:t>
      </w:r>
      <w:r w:rsidR="000F7606" w:rsidRPr="00AD2577">
        <w:rPr>
          <w:rFonts w:ascii="Times New Roman" w:hAnsi="Times New Roman" w:cs="Times New Roman"/>
          <w:sz w:val="24"/>
          <w:szCs w:val="24"/>
        </w:rPr>
        <w:t xml:space="preserve">As </w:t>
      </w:r>
      <w:r w:rsidR="00BD49BE" w:rsidRPr="00AD2577">
        <w:rPr>
          <w:rFonts w:ascii="Times New Roman" w:hAnsi="Times New Roman" w:cs="Times New Roman"/>
          <w:sz w:val="24"/>
          <w:szCs w:val="24"/>
        </w:rPr>
        <w:t>C</w:t>
      </w:r>
      <w:r w:rsidR="000F7606" w:rsidRPr="00AD2577">
        <w:rPr>
          <w:rFonts w:ascii="Times New Roman" w:hAnsi="Times New Roman" w:cs="Times New Roman"/>
          <w:sz w:val="24"/>
          <w:szCs w:val="24"/>
        </w:rPr>
        <w:t xml:space="preserve">hapter 1 introduces the </w:t>
      </w:r>
      <w:r w:rsidR="00060F83" w:rsidRPr="00AD2577">
        <w:rPr>
          <w:rFonts w:ascii="Times New Roman" w:hAnsi="Times New Roman" w:cs="Times New Roman"/>
          <w:sz w:val="24"/>
          <w:szCs w:val="24"/>
        </w:rPr>
        <w:t>standard-</w:t>
      </w:r>
      <w:r w:rsidR="000F7606" w:rsidRPr="00AD2577">
        <w:rPr>
          <w:rFonts w:ascii="Times New Roman" w:hAnsi="Times New Roman" w:cs="Times New Roman"/>
          <w:sz w:val="24"/>
          <w:szCs w:val="24"/>
        </w:rPr>
        <w:t>setting bodies and processes, encourage students to seek out professional journals that may report on the latest developments of IFRS.</w:t>
      </w:r>
    </w:p>
    <w:p w14:paraId="65079A52" w14:textId="16F0FCAF" w:rsidR="00002715" w:rsidRPr="00AD2577" w:rsidRDefault="003B1383" w:rsidP="00CE6899">
      <w:pPr>
        <w:pStyle w:val="ListParagraph"/>
        <w:numPr>
          <w:ilvl w:val="3"/>
          <w:numId w:val="5"/>
        </w:numPr>
        <w:spacing w:before="240" w:after="0" w:line="240" w:lineRule="auto"/>
        <w:ind w:left="360"/>
        <w:contextualSpacing w:val="0"/>
        <w:rPr>
          <w:rFonts w:ascii="Times New Roman" w:hAnsi="Times New Roman" w:cs="Times New Roman"/>
          <w:sz w:val="24"/>
          <w:szCs w:val="24"/>
        </w:rPr>
      </w:pPr>
      <w:r w:rsidRPr="00AD2577">
        <w:rPr>
          <w:rFonts w:ascii="Times New Roman" w:hAnsi="Times New Roman" w:cs="Times New Roman"/>
          <w:sz w:val="24"/>
          <w:szCs w:val="24"/>
        </w:rPr>
        <w:t>Provide</w:t>
      </w:r>
      <w:r w:rsidR="006241AF" w:rsidRPr="00AD2577">
        <w:rPr>
          <w:rFonts w:ascii="Times New Roman" w:hAnsi="Times New Roman" w:cs="Times New Roman"/>
          <w:sz w:val="24"/>
          <w:szCs w:val="24"/>
        </w:rPr>
        <w:t xml:space="preserve"> links to</w:t>
      </w:r>
      <w:r w:rsidRPr="00AD2577">
        <w:rPr>
          <w:rFonts w:ascii="Times New Roman" w:hAnsi="Times New Roman" w:cs="Times New Roman"/>
          <w:sz w:val="24"/>
          <w:szCs w:val="24"/>
        </w:rPr>
        <w:t xml:space="preserve"> credible online tools the students can </w:t>
      </w:r>
      <w:r w:rsidR="006241AF" w:rsidRPr="00AD2577">
        <w:rPr>
          <w:rFonts w:ascii="Times New Roman" w:hAnsi="Times New Roman" w:cs="Times New Roman"/>
          <w:sz w:val="24"/>
          <w:szCs w:val="24"/>
        </w:rPr>
        <w:t xml:space="preserve">use to </w:t>
      </w:r>
      <w:r w:rsidRPr="00AD2577">
        <w:rPr>
          <w:rFonts w:ascii="Times New Roman" w:hAnsi="Times New Roman" w:cs="Times New Roman"/>
          <w:sz w:val="24"/>
          <w:szCs w:val="24"/>
        </w:rPr>
        <w:t>learn more about IFRS.</w:t>
      </w:r>
      <w:r w:rsidR="002F1033" w:rsidRPr="00AD2577">
        <w:rPr>
          <w:rFonts w:ascii="Times New Roman" w:hAnsi="Times New Roman" w:cs="Times New Roman"/>
          <w:sz w:val="24"/>
          <w:szCs w:val="24"/>
        </w:rPr>
        <w:t xml:space="preserve"> </w:t>
      </w:r>
      <w:r w:rsidRPr="00AD2577">
        <w:rPr>
          <w:rFonts w:ascii="Times New Roman" w:hAnsi="Times New Roman" w:cs="Times New Roman"/>
          <w:sz w:val="24"/>
          <w:szCs w:val="24"/>
        </w:rPr>
        <w:t>Links to the various professional organization</w:t>
      </w:r>
      <w:r w:rsidR="00060F83" w:rsidRPr="00AD2577">
        <w:rPr>
          <w:rFonts w:ascii="Times New Roman" w:hAnsi="Times New Roman" w:cs="Times New Roman"/>
          <w:sz w:val="24"/>
          <w:szCs w:val="24"/>
        </w:rPr>
        <w:t>s’</w:t>
      </w:r>
      <w:r w:rsidRPr="00AD2577">
        <w:rPr>
          <w:rFonts w:ascii="Times New Roman" w:hAnsi="Times New Roman" w:cs="Times New Roman"/>
          <w:sz w:val="24"/>
          <w:szCs w:val="24"/>
        </w:rPr>
        <w:t xml:space="preserve"> websites will ensure that students are learning from dependable sources.</w:t>
      </w:r>
      <w:r w:rsidR="002F1033" w:rsidRPr="00AD2577">
        <w:rPr>
          <w:rFonts w:ascii="Times New Roman" w:hAnsi="Times New Roman" w:cs="Times New Roman"/>
          <w:sz w:val="24"/>
          <w:szCs w:val="24"/>
        </w:rPr>
        <w:t xml:space="preserve"> </w:t>
      </w:r>
      <w:r w:rsidR="000F7606" w:rsidRPr="00AD2577">
        <w:rPr>
          <w:rFonts w:ascii="Times New Roman" w:hAnsi="Times New Roman" w:cs="Times New Roman"/>
          <w:sz w:val="24"/>
          <w:szCs w:val="24"/>
        </w:rPr>
        <w:t>Assign students the task of becoming student members of associations such as the AIPCA,</w:t>
      </w:r>
      <w:r w:rsidR="00A85BB3" w:rsidRPr="00AD2577">
        <w:rPr>
          <w:rFonts w:ascii="Times New Roman" w:hAnsi="Times New Roman" w:cs="Times New Roman"/>
          <w:sz w:val="24"/>
          <w:szCs w:val="24"/>
        </w:rPr>
        <w:t xml:space="preserve"> </w:t>
      </w:r>
      <w:r w:rsidR="000F7606" w:rsidRPr="00AD2577">
        <w:rPr>
          <w:rFonts w:ascii="Times New Roman" w:hAnsi="Times New Roman" w:cs="Times New Roman"/>
          <w:sz w:val="24"/>
          <w:szCs w:val="24"/>
        </w:rPr>
        <w:t>where they can obtain credible and up-to-date information about IFRS.</w:t>
      </w:r>
    </w:p>
    <w:p w14:paraId="5728BD7C" w14:textId="77777777" w:rsidR="005E2625" w:rsidRPr="00AD2577" w:rsidRDefault="005E2625">
      <w:r w:rsidRPr="00AD2577">
        <w:br w:type="page"/>
      </w:r>
    </w:p>
    <w:p w14:paraId="3B6600EA" w14:textId="4274F761" w:rsidR="00750287" w:rsidRPr="00AD2577" w:rsidRDefault="00051A7C" w:rsidP="00CC2097">
      <w:pPr>
        <w:pStyle w:val="1head"/>
      </w:pPr>
      <w:r>
        <w:t>Interview</w:t>
      </w:r>
      <w:r w:rsidR="00750287" w:rsidRPr="00AD2577">
        <w:t xml:space="preserve"> Discussion Questions</w:t>
      </w:r>
    </w:p>
    <w:p w14:paraId="05FAAB6B" w14:textId="77777777" w:rsidR="00750287" w:rsidRPr="00AD2577" w:rsidRDefault="00750287" w:rsidP="00DB6ADC">
      <w:pPr>
        <w:pStyle w:val="ListParagraph"/>
        <w:numPr>
          <w:ilvl w:val="0"/>
          <w:numId w:val="30"/>
        </w:numPr>
        <w:spacing w:before="240" w:after="0" w:line="240" w:lineRule="auto"/>
        <w:contextualSpacing w:val="0"/>
        <w:rPr>
          <w:rFonts w:ascii="Times New Roman" w:hAnsi="Times New Roman" w:cs="Times New Roman"/>
          <w:sz w:val="24"/>
          <w:szCs w:val="24"/>
        </w:rPr>
      </w:pPr>
      <w:r w:rsidRPr="00AD2577">
        <w:rPr>
          <w:rFonts w:ascii="Times New Roman" w:hAnsi="Times New Roman" w:cs="Times New Roman"/>
          <w:sz w:val="24"/>
          <w:szCs w:val="24"/>
        </w:rPr>
        <w:t>Discuss the role that the AICPA will play in your accounting career as a student and when you join the profession.</w:t>
      </w:r>
    </w:p>
    <w:p w14:paraId="0CE11545" w14:textId="0E403914" w:rsidR="00750287" w:rsidRPr="00AD2577" w:rsidRDefault="00750287" w:rsidP="00252EF7">
      <w:pPr>
        <w:pStyle w:val="OutlineIcont"/>
        <w:ind w:left="720"/>
      </w:pPr>
      <w:r w:rsidRPr="00AD2577">
        <w:rPr>
          <w:b/>
          <w:i/>
          <w:u w:val="single"/>
        </w:rPr>
        <w:t xml:space="preserve">Suggested </w:t>
      </w:r>
      <w:r w:rsidR="00665CCD" w:rsidRPr="00AD2577">
        <w:rPr>
          <w:b/>
          <w:i/>
          <w:u w:val="single"/>
        </w:rPr>
        <w:t>discussion poi</w:t>
      </w:r>
      <w:r w:rsidRPr="00AD2577">
        <w:rPr>
          <w:b/>
          <w:i/>
          <w:u w:val="single"/>
        </w:rPr>
        <w:t>nts:</w:t>
      </w:r>
      <w:r w:rsidRPr="00AD2577">
        <w:t xml:space="preserve"> The AICPA offers several options for accounting students, including affiliate membership and leadership conferences. </w:t>
      </w:r>
      <w:r w:rsidR="005E2625" w:rsidRPr="00AD2577">
        <w:t>T</w:t>
      </w:r>
      <w:r w:rsidRPr="00AD2577">
        <w:t xml:space="preserve">he </w:t>
      </w:r>
      <w:r w:rsidRPr="00AD2577">
        <w:rPr>
          <w:i/>
        </w:rPr>
        <w:t>Journal of Accountancy</w:t>
      </w:r>
      <w:r w:rsidRPr="00AD2577">
        <w:t xml:space="preserve"> will assist in staying current and can be used as a source of information for research papers. </w:t>
      </w:r>
      <w:r w:rsidR="0055399A" w:rsidRPr="00AD2577">
        <w:t>T</w:t>
      </w:r>
      <w:r w:rsidRPr="00AD2577">
        <w:t>he AICPA offers a wide</w:t>
      </w:r>
      <w:r w:rsidR="0055399A" w:rsidRPr="00AD2577">
        <w:t xml:space="preserve"> </w:t>
      </w:r>
      <w:r w:rsidRPr="00AD2577">
        <w:t>variety of services, including professional development, career services, professional guidance, and a large number of publications covering accounting standards, tax</w:t>
      </w:r>
      <w:r w:rsidR="0055399A" w:rsidRPr="00AD2577">
        <w:t>es</w:t>
      </w:r>
      <w:r w:rsidRPr="00AD2577">
        <w:t>, and auditing.</w:t>
      </w:r>
    </w:p>
    <w:p w14:paraId="52EEBCE4" w14:textId="77777777" w:rsidR="00750287" w:rsidRPr="00AD2577" w:rsidRDefault="00750287" w:rsidP="00DB6ADC">
      <w:pPr>
        <w:pStyle w:val="ListParagraph"/>
        <w:numPr>
          <w:ilvl w:val="0"/>
          <w:numId w:val="30"/>
        </w:numPr>
        <w:spacing w:before="240" w:after="0" w:line="240" w:lineRule="auto"/>
        <w:contextualSpacing w:val="0"/>
        <w:rPr>
          <w:rFonts w:ascii="Times New Roman" w:hAnsi="Times New Roman" w:cs="Times New Roman"/>
          <w:sz w:val="24"/>
          <w:szCs w:val="24"/>
        </w:rPr>
      </w:pPr>
      <w:r w:rsidRPr="00AD2577">
        <w:rPr>
          <w:rFonts w:ascii="Times New Roman" w:hAnsi="Times New Roman" w:cs="Times New Roman"/>
          <w:sz w:val="24"/>
          <w:szCs w:val="24"/>
        </w:rPr>
        <w:t>How would you characterize the current relationship between the FASB and the AICPA?</w:t>
      </w:r>
    </w:p>
    <w:p w14:paraId="2668D94C" w14:textId="6469259A" w:rsidR="007548AB" w:rsidRPr="00AD2577" w:rsidRDefault="00750287" w:rsidP="00C5434F">
      <w:pPr>
        <w:pStyle w:val="OutlineIcont"/>
        <w:ind w:left="720"/>
      </w:pPr>
      <w:r w:rsidRPr="00AD2577">
        <w:rPr>
          <w:b/>
          <w:i/>
          <w:u w:val="single"/>
        </w:rPr>
        <w:t xml:space="preserve">Suggested </w:t>
      </w:r>
      <w:r w:rsidR="00665CCD" w:rsidRPr="00AD2577">
        <w:rPr>
          <w:b/>
          <w:i/>
          <w:u w:val="single"/>
        </w:rPr>
        <w:t>discussion points</w:t>
      </w:r>
      <w:r w:rsidRPr="00AD2577">
        <w:rPr>
          <w:b/>
          <w:i/>
          <w:u w:val="single"/>
        </w:rPr>
        <w:t>:</w:t>
      </w:r>
      <w:r w:rsidRPr="00AD2577">
        <w:t xml:space="preserve"> The current relationship between the FASB and the AICPA can be characterized as one of professional cooperation. The AICPA is no longer responsible for promulgating standards with authoritative support, as is the case with the FASB. However, the AICPA continues to issue many position papers and documents that are used to guide the FASB and SEC deliberations on new and emerging accounting issues. The AICPA issue</w:t>
      </w:r>
      <w:r w:rsidR="0055399A" w:rsidRPr="00AD2577">
        <w:t>s</w:t>
      </w:r>
      <w:r w:rsidRPr="00AD2577">
        <w:t xml:space="preserve"> the ethical standards for the profession, is responsible for ethics enforcement, and practices quality control for certain CPA firms.</w:t>
      </w:r>
    </w:p>
    <w:sectPr w:rsidR="007548AB" w:rsidRPr="00AD2577" w:rsidSect="00FD35C6">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09CC13" w16cid:durableId="1DEDF2BB"/>
  <w16cid:commentId w16cid:paraId="2F29DF0E" w16cid:durableId="1E0E0C68"/>
  <w16cid:commentId w16cid:paraId="5408F898" w16cid:durableId="1DEDF2D3"/>
  <w16cid:commentId w16cid:paraId="46803FB2" w16cid:durableId="1E0E0C73"/>
  <w16cid:commentId w16cid:paraId="21138285" w16cid:durableId="1E0E0D16"/>
  <w16cid:commentId w16cid:paraId="70A6C993" w16cid:durableId="1DEDF818"/>
  <w16cid:commentId w16cid:paraId="1F5DF3C7" w16cid:durableId="1E0E0CB1"/>
  <w16cid:commentId w16cid:paraId="4E243E46" w16cid:durableId="1DEE16FE"/>
  <w16cid:commentId w16cid:paraId="4146C667" w16cid:durableId="1E0E0D8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46AF7" w14:textId="77777777" w:rsidR="0081368F" w:rsidRDefault="0081368F" w:rsidP="00BF3EA6">
      <w:pPr>
        <w:spacing w:after="0" w:line="240" w:lineRule="auto"/>
      </w:pPr>
      <w:r>
        <w:separator/>
      </w:r>
    </w:p>
  </w:endnote>
  <w:endnote w:type="continuationSeparator" w:id="0">
    <w:p w14:paraId="18DA51A6" w14:textId="77777777" w:rsidR="0081368F" w:rsidRDefault="0081368F" w:rsidP="00BF3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ZapfDingbats">
    <w:altName w:val="Calibr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03D48" w14:textId="302F36E1" w:rsidR="00481BBB" w:rsidRPr="007A03CA" w:rsidRDefault="0055399A" w:rsidP="007A03CA">
    <w:pPr>
      <w:pStyle w:val="Footer"/>
      <w:jc w:val="center"/>
      <w:rPr>
        <w:rFonts w:ascii="Times New Roman" w:hAnsi="Times New Roman" w:cs="Times New Roman"/>
        <w:sz w:val="20"/>
      </w:rPr>
    </w:pPr>
    <w:bookmarkStart w:id="1" w:name="_Hlk502135824"/>
    <w:bookmarkStart w:id="2" w:name="_Hlk502135825"/>
    <w:r w:rsidRPr="0055399A">
      <w:rPr>
        <w:rFonts w:ascii="Times New Roman" w:hAnsi="Times New Roman" w:cs="Times New Roman"/>
        <w:sz w:val="20"/>
      </w:rPr>
      <w:t>Copyright © 2019 Pearson Education, Inc.</w:t>
    </w:r>
    <w:bookmarkEnd w:id="1"/>
    <w:bookmarkEnd w:id="2"/>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A7F276" w14:textId="1E591C53" w:rsidR="00481BBB" w:rsidRPr="007A03CA" w:rsidRDefault="0055399A" w:rsidP="007A03CA">
    <w:pPr>
      <w:pStyle w:val="Footer"/>
      <w:jc w:val="center"/>
      <w:rPr>
        <w:rFonts w:ascii="Times New Roman" w:hAnsi="Times New Roman" w:cs="Times New Roman"/>
        <w:sz w:val="20"/>
      </w:rPr>
    </w:pPr>
    <w:r w:rsidRPr="0055399A">
      <w:rPr>
        <w:rFonts w:ascii="Times New Roman" w:hAnsi="Times New Roman" w:cs="Times New Roman"/>
        <w:sz w:val="20"/>
      </w:rPr>
      <w:t>Copyright © 2019 Pearson Education, Inc.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9B5E08" w14:textId="5BA053AC" w:rsidR="00481BBB" w:rsidRPr="007A03CA" w:rsidRDefault="00481BBB" w:rsidP="007A03CA">
    <w:pPr>
      <w:pStyle w:val="Footer"/>
      <w:jc w:val="center"/>
      <w:rPr>
        <w:rFonts w:ascii="Times New Roman" w:hAnsi="Times New Roman" w:cs="Times New Roman"/>
        <w:sz w:val="20"/>
      </w:rPr>
    </w:pPr>
    <w:r>
      <w:rPr>
        <w:rFonts w:ascii="Times New Roman" w:hAnsi="Times New Roman" w:cs="Times New Roman"/>
        <w:sz w:val="20"/>
      </w:rPr>
      <w:t>Copyright © 2019</w:t>
    </w:r>
    <w:r w:rsidRPr="007A03CA">
      <w:rPr>
        <w:rFonts w:ascii="Times New Roman" w:hAnsi="Times New Roman" w:cs="Times New Roman"/>
        <w:sz w:val="20"/>
      </w:rPr>
      <w:t xml:space="preserve"> Pearson Education, Inc.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33999" w14:textId="77777777" w:rsidR="0081368F" w:rsidRDefault="0081368F" w:rsidP="00BF3EA6">
      <w:pPr>
        <w:spacing w:after="0" w:line="240" w:lineRule="auto"/>
      </w:pPr>
      <w:r>
        <w:separator/>
      </w:r>
    </w:p>
  </w:footnote>
  <w:footnote w:type="continuationSeparator" w:id="0">
    <w:p w14:paraId="657A77B2" w14:textId="77777777" w:rsidR="0081368F" w:rsidRDefault="0081368F" w:rsidP="00BF3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74E5F" w14:textId="504E3EE0" w:rsidR="0055399A" w:rsidRPr="00645ACD" w:rsidRDefault="00645ACD" w:rsidP="00645ACD">
    <w:pPr>
      <w:pStyle w:val="Header"/>
      <w:pBdr>
        <w:bottom w:val="single" w:sz="4" w:space="2" w:color="auto"/>
      </w:pBdr>
      <w:tabs>
        <w:tab w:val="clear" w:pos="4680"/>
        <w:tab w:val="left" w:pos="720"/>
      </w:tabs>
    </w:pPr>
    <w:r w:rsidRPr="007A03CA">
      <w:rPr>
        <w:rFonts w:ascii="Arial Black" w:hAnsi="Arial Black" w:cs="Times New Roman"/>
        <w:sz w:val="20"/>
      </w:rPr>
      <w:fldChar w:fldCharType="begin"/>
    </w:r>
    <w:r w:rsidRPr="007A03CA">
      <w:rPr>
        <w:rFonts w:ascii="Arial Black" w:hAnsi="Arial Black" w:cs="Times New Roman"/>
        <w:sz w:val="20"/>
      </w:rPr>
      <w:instrText xml:space="preserve"> PAGE  \* MERGEFORMAT </w:instrText>
    </w:r>
    <w:r w:rsidRPr="007A03CA">
      <w:rPr>
        <w:rFonts w:ascii="Arial Black" w:hAnsi="Arial Black" w:cs="Times New Roman"/>
        <w:sz w:val="20"/>
      </w:rPr>
      <w:fldChar w:fldCharType="separate"/>
    </w:r>
    <w:r w:rsidR="00B822C9">
      <w:rPr>
        <w:rFonts w:ascii="Arial Black" w:hAnsi="Arial Black" w:cs="Times New Roman"/>
        <w:noProof/>
        <w:sz w:val="20"/>
      </w:rPr>
      <w:t>2</w:t>
    </w:r>
    <w:r w:rsidRPr="007A03CA">
      <w:rPr>
        <w:rFonts w:ascii="Arial Black" w:hAnsi="Arial Black" w:cs="Times New Roman"/>
        <w:sz w:val="20"/>
      </w:rPr>
      <w:fldChar w:fldCharType="end"/>
    </w:r>
    <w:r w:rsidRPr="007A03CA">
      <w:rPr>
        <w:rFonts w:ascii="Times New Roman" w:hAnsi="Times New Roman" w:cs="Times New Roman"/>
      </w:rPr>
      <w:t xml:space="preserve">  </w:t>
    </w:r>
    <w:r w:rsidRPr="007A03CA">
      <w:rPr>
        <w:rFonts w:ascii="Times New Roman" w:hAnsi="Times New Roman" w:cs="Times New Roman"/>
      </w:rPr>
      <w:sym w:font="Wingdings" w:char="F0A7"/>
    </w:r>
    <w:r w:rsidRPr="007A03CA">
      <w:rPr>
        <w:rFonts w:ascii="Times New Roman" w:hAnsi="Times New Roman" w:cs="Times New Roman"/>
      </w:rPr>
      <w:t xml:space="preserve">  </w:t>
    </w:r>
    <w:r>
      <w:rPr>
        <w:rFonts w:ascii="Times New Roman" w:hAnsi="Times New Roman" w:cs="Times New Roman"/>
      </w:rPr>
      <w:t>Instructor’s Manual for</w:t>
    </w:r>
    <w:r w:rsidRPr="009C6DAB">
      <w:rPr>
        <w:rFonts w:ascii="Times New Roman" w:hAnsi="Times New Roman" w:cs="Times New Roman"/>
      </w:rPr>
      <w:t xml:space="preserve"> </w:t>
    </w:r>
    <w:r w:rsidRPr="009C6DAB">
      <w:rPr>
        <w:rFonts w:ascii="Times New Roman" w:hAnsi="Times New Roman" w:cs="Times New Roman"/>
        <w:i/>
      </w:rPr>
      <w:t>Intermediate Accounting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D8F51A" w14:textId="58643CEC" w:rsidR="00481BBB" w:rsidRPr="007A03CA" w:rsidRDefault="00481BBB" w:rsidP="007A03CA">
    <w:pPr>
      <w:pStyle w:val="Header"/>
      <w:pBdr>
        <w:bottom w:val="single" w:sz="4" w:space="2" w:color="auto"/>
      </w:pBdr>
      <w:tabs>
        <w:tab w:val="clear" w:pos="4680"/>
      </w:tabs>
      <w:jc w:val="right"/>
      <w:rPr>
        <w:rFonts w:ascii="Times New Roman" w:hAnsi="Times New Roman" w:cs="Times New Roman"/>
      </w:rPr>
    </w:pPr>
    <w:r>
      <w:rPr>
        <w:rFonts w:ascii="Times New Roman" w:hAnsi="Times New Roman" w:cs="Times New Roman"/>
      </w:rPr>
      <w:t xml:space="preserve">Chapter </w:t>
    </w:r>
    <w:r w:rsidRPr="007A03CA">
      <w:rPr>
        <w:rFonts w:ascii="Times New Roman" w:hAnsi="Times New Roman" w:cs="Times New Roman"/>
      </w:rPr>
      <w:t>1</w:t>
    </w:r>
    <w:r>
      <w:rPr>
        <w:rFonts w:ascii="Times New Roman" w:hAnsi="Times New Roman" w:cs="Times New Roman"/>
      </w:rPr>
      <w:t xml:space="preserve"> The </w:t>
    </w:r>
    <w:r w:rsidRPr="007A03CA">
      <w:rPr>
        <w:rFonts w:ascii="Times New Roman" w:hAnsi="Times New Roman" w:cs="Times New Roman"/>
      </w:rPr>
      <w:t>Financial Reporting Environment</w:t>
    </w:r>
    <w:r>
      <w:rPr>
        <w:rFonts w:ascii="Times New Roman" w:hAnsi="Times New Roman" w:cs="Times New Roman"/>
      </w:rPr>
      <w:t xml:space="preserve"> </w:t>
    </w:r>
    <w:r>
      <w:rPr>
        <w:rFonts w:ascii="ZapfDingbats" w:hAnsi="ZapfDingbats" w:cs="Times New Roman"/>
      </w:rPr>
      <w:sym w:font="Wingdings" w:char="F0A7"/>
    </w:r>
    <w:r>
      <w:rPr>
        <w:rFonts w:ascii="Times New Roman" w:hAnsi="Times New Roman" w:cs="Times New Roman"/>
      </w:rPr>
      <w:t xml:space="preserve"> </w:t>
    </w:r>
    <w:r w:rsidRPr="007A03CA">
      <w:rPr>
        <w:rFonts w:ascii="Arial Black" w:hAnsi="Arial Black" w:cs="Times New Roman"/>
        <w:sz w:val="20"/>
      </w:rPr>
      <w:fldChar w:fldCharType="begin"/>
    </w:r>
    <w:r w:rsidRPr="007A03CA">
      <w:rPr>
        <w:rFonts w:ascii="Arial Black" w:hAnsi="Arial Black" w:cs="Times New Roman"/>
        <w:sz w:val="20"/>
      </w:rPr>
      <w:instrText xml:space="preserve"> PAGE  \* MERGEFORMAT </w:instrText>
    </w:r>
    <w:r w:rsidRPr="007A03CA">
      <w:rPr>
        <w:rFonts w:ascii="Arial Black" w:hAnsi="Arial Black" w:cs="Times New Roman"/>
        <w:sz w:val="20"/>
      </w:rPr>
      <w:fldChar w:fldCharType="separate"/>
    </w:r>
    <w:r w:rsidR="00B822C9">
      <w:rPr>
        <w:rFonts w:ascii="Arial Black" w:hAnsi="Arial Black" w:cs="Times New Roman"/>
        <w:noProof/>
        <w:sz w:val="20"/>
      </w:rPr>
      <w:t>3</w:t>
    </w:r>
    <w:r w:rsidRPr="007A03CA">
      <w:rPr>
        <w:rFonts w:ascii="Arial Black" w:hAnsi="Arial Black" w:cs="Times New Roman"/>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06D8E"/>
    <w:multiLevelType w:val="hybridMultilevel"/>
    <w:tmpl w:val="A440D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87BD8"/>
    <w:multiLevelType w:val="hybridMultilevel"/>
    <w:tmpl w:val="C1AEA2E8"/>
    <w:lvl w:ilvl="0" w:tplc="15DE266A">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B3452"/>
    <w:multiLevelType w:val="hybridMultilevel"/>
    <w:tmpl w:val="92AC3BAA"/>
    <w:lvl w:ilvl="0" w:tplc="3D88D4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480F85"/>
    <w:multiLevelType w:val="hybridMultilevel"/>
    <w:tmpl w:val="7144A98E"/>
    <w:lvl w:ilvl="0" w:tplc="30BAB658">
      <w:start w:val="1"/>
      <w:numFmt w:val="lowerLetter"/>
      <w:pStyle w:val="Outlinea"/>
      <w:lvlText w:val="%1."/>
      <w:lvlJc w:val="left"/>
      <w:pPr>
        <w:ind w:left="18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113D0F05"/>
    <w:multiLevelType w:val="hybridMultilevel"/>
    <w:tmpl w:val="C1AEA2E8"/>
    <w:lvl w:ilvl="0" w:tplc="15DE266A">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9525C4"/>
    <w:multiLevelType w:val="hybridMultilevel"/>
    <w:tmpl w:val="A796A470"/>
    <w:lvl w:ilvl="0" w:tplc="EADA6F6A">
      <w:start w:val="1"/>
      <w:numFmt w:val="bullet"/>
      <w:pStyle w:val="Text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1">
      <w:start w:val="1"/>
      <w:numFmt w:val="bullet"/>
      <w:lvlText w:val=""/>
      <w:lvlJc w:val="left"/>
      <w:pPr>
        <w:ind w:left="3780" w:hanging="360"/>
      </w:pPr>
      <w:rPr>
        <w:rFonts w:ascii="Symbol" w:hAnsi="Symbol"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3E311850"/>
    <w:multiLevelType w:val="hybridMultilevel"/>
    <w:tmpl w:val="DD50C0C6"/>
    <w:lvl w:ilvl="0" w:tplc="B74C71BA">
      <w:start w:val="1"/>
      <w:numFmt w:val="upperLetter"/>
      <w:lvlText w:val="%1."/>
      <w:lvlJc w:val="left"/>
      <w:pPr>
        <w:ind w:left="1080" w:hanging="360"/>
      </w:pPr>
      <w:rPr>
        <w:rFonts w:ascii="Times New Roman" w:hAnsi="Times New Roman" w:cstheme="minorBidi" w:hint="default"/>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17C2B896">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4477DCF"/>
    <w:multiLevelType w:val="hybridMultilevel"/>
    <w:tmpl w:val="00F4083A"/>
    <w:lvl w:ilvl="0" w:tplc="22B6F232">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3BB4537"/>
    <w:multiLevelType w:val="hybridMultilevel"/>
    <w:tmpl w:val="B38EC1CE"/>
    <w:lvl w:ilvl="0" w:tplc="83F26214">
      <w:start w:val="1"/>
      <w:numFmt w:val="bullet"/>
      <w:pStyle w:val="BulletsI"/>
      <w:lvlText w:val=""/>
      <w:lvlJc w:val="left"/>
      <w:pPr>
        <w:ind w:left="1440" w:hanging="360"/>
      </w:pPr>
      <w:rPr>
        <w:rFonts w:ascii="Wingdings" w:hAnsi="Wingdings" w:hint="default"/>
        <w:sz w:val="2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F417342"/>
    <w:multiLevelType w:val="hybridMultilevel"/>
    <w:tmpl w:val="94FE6B82"/>
    <w:lvl w:ilvl="0" w:tplc="EDAA12C4">
      <w:start w:val="1"/>
      <w:numFmt w:val="bullet"/>
      <w:pStyle w:val="BulletA"/>
      <w:lvlText w:val=""/>
      <w:lvlJc w:val="left"/>
      <w:pPr>
        <w:ind w:left="1800" w:hanging="360"/>
      </w:pPr>
      <w:rPr>
        <w:rFonts w:ascii="Wingdings" w:hAnsi="Wingdings" w:hint="default"/>
        <w:color w:val="7F7F7F" w:themeColor="text1" w:themeTint="8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72835E58"/>
    <w:multiLevelType w:val="hybridMultilevel"/>
    <w:tmpl w:val="91468C16"/>
    <w:lvl w:ilvl="0" w:tplc="4732D06E">
      <w:start w:val="1"/>
      <w:numFmt w:val="upperRoman"/>
      <w:pStyle w:val="OutlineI"/>
      <w:lvlText w:val="%1."/>
      <w:lvlJc w:val="left"/>
      <w:pPr>
        <w:ind w:left="720" w:hanging="720"/>
      </w:pPr>
      <w:rPr>
        <w:rFonts w:hint="default"/>
      </w:rPr>
    </w:lvl>
    <w:lvl w:ilvl="1" w:tplc="CC22B858">
      <w:start w:val="1"/>
      <w:numFmt w:val="upperLetter"/>
      <w:pStyle w:val="OutlineA0"/>
      <w:lvlText w:val="%2."/>
      <w:lvlJc w:val="left"/>
      <w:pPr>
        <w:ind w:left="1080" w:hanging="360"/>
      </w:pPr>
      <w:rPr>
        <w:rFonts w:ascii="Times New Roman" w:hAnsi="Times New Roman" w:cstheme="minorBidi" w:hint="default"/>
        <w:sz w:val="24"/>
        <w:szCs w:val="24"/>
      </w:rPr>
    </w:lvl>
    <w:lvl w:ilvl="2" w:tplc="F9B67AB4">
      <w:start w:val="2"/>
      <w:numFmt w:val="upperLetter"/>
      <w:lvlText w:val="%3."/>
      <w:lvlJc w:val="left"/>
      <w:pPr>
        <w:ind w:left="720" w:hanging="360"/>
      </w:pPr>
      <w:rPr>
        <w:rFonts w:hint="default"/>
        <w:b w:val="0"/>
        <w:bCs w:val="0"/>
        <w:sz w:val="24"/>
        <w:szCs w:val="24"/>
      </w:rPr>
    </w:lvl>
    <w:lvl w:ilvl="3" w:tplc="CA18A49C">
      <w:start w:val="1"/>
      <w:numFmt w:val="decimal"/>
      <w:pStyle w:val="Outline1"/>
      <w:lvlText w:val="%4."/>
      <w:lvlJc w:val="left"/>
      <w:pPr>
        <w:ind w:left="1080" w:hanging="360"/>
      </w:pPr>
      <w:rPr>
        <w:rFonts w:hint="default"/>
        <w:b w:val="0"/>
        <w:bCs w:val="0"/>
        <w:sz w:val="24"/>
        <w:szCs w:val="24"/>
      </w:r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4E841F7"/>
    <w:multiLevelType w:val="hybridMultilevel"/>
    <w:tmpl w:val="DCAAF530"/>
    <w:lvl w:ilvl="0" w:tplc="DE028DB2">
      <w:start w:val="1"/>
      <w:numFmt w:val="bullet"/>
      <w:pStyle w:val="Bulleta0"/>
      <w:lvlText w:val=""/>
      <w:lvlJc w:val="left"/>
      <w:pPr>
        <w:ind w:left="1440" w:hanging="360"/>
      </w:pPr>
      <w:rPr>
        <w:rFonts w:ascii="Symbol" w:hAnsi="Symbol"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6"/>
  </w:num>
  <w:num w:numId="6">
    <w:abstractNumId w:val="5"/>
  </w:num>
  <w:num w:numId="7">
    <w:abstractNumId w:val="8"/>
  </w:num>
  <w:num w:numId="8">
    <w:abstractNumId w:val="3"/>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3"/>
    <w:lvlOverride w:ilvl="0">
      <w:startOverride w:val="1"/>
    </w:lvlOverride>
  </w:num>
  <w:num w:numId="15">
    <w:abstractNumId w:val="3"/>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10"/>
    <w:lvlOverride w:ilvl="0">
      <w:startOverride w:val="1"/>
    </w:lvlOverride>
  </w:num>
  <w:num w:numId="20">
    <w:abstractNumId w:val="3"/>
    <w:lvlOverride w:ilvl="0">
      <w:startOverride w:val="1"/>
    </w:lvlOverride>
  </w:num>
  <w:num w:numId="21">
    <w:abstractNumId w:val="3"/>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num>
  <w:num w:numId="26">
    <w:abstractNumId w:val="10"/>
    <w:lvlOverride w:ilvl="0">
      <w:startOverride w:val="1"/>
    </w:lvlOverride>
  </w:num>
  <w:num w:numId="27">
    <w:abstractNumId w:val="7"/>
  </w:num>
  <w:num w:numId="28">
    <w:abstractNumId w:val="4"/>
  </w:num>
  <w:num w:numId="29">
    <w:abstractNumId w:val="1"/>
  </w:num>
  <w:num w:numId="30">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20"/>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61__i" w:val="H4sIAAAAAAAEAKtWckksSQxILCpxzi/NK1GyMqwFAAEhoTITAAAA"/>
    <w:docVar w:name="__grammarly61_1" w:val="H4sIAAAAAAAEAKtWcslPLs1NzSvxTFGyUjKxMEg2TzQy1TU2SkvWNTFPMdRNMjUw0jUzSDQzM7VIMTJMNFTSUQpOLS7OzM8DaTGvBQB37CQRQwAAAA=="/>
  </w:docVars>
  <w:rsids>
    <w:rsidRoot w:val="00BF5799"/>
    <w:rsid w:val="00002715"/>
    <w:rsid w:val="000063E9"/>
    <w:rsid w:val="00014C32"/>
    <w:rsid w:val="00022B14"/>
    <w:rsid w:val="000327FF"/>
    <w:rsid w:val="00047620"/>
    <w:rsid w:val="000513B4"/>
    <w:rsid w:val="00051A7C"/>
    <w:rsid w:val="000550BC"/>
    <w:rsid w:val="00060F83"/>
    <w:rsid w:val="0006129B"/>
    <w:rsid w:val="000657D7"/>
    <w:rsid w:val="00071191"/>
    <w:rsid w:val="000726E9"/>
    <w:rsid w:val="0007314C"/>
    <w:rsid w:val="00073357"/>
    <w:rsid w:val="0007572F"/>
    <w:rsid w:val="00086FD7"/>
    <w:rsid w:val="000907B3"/>
    <w:rsid w:val="00096B1C"/>
    <w:rsid w:val="000A06AE"/>
    <w:rsid w:val="000A0AEB"/>
    <w:rsid w:val="000A7F01"/>
    <w:rsid w:val="000B2E2D"/>
    <w:rsid w:val="000C44FB"/>
    <w:rsid w:val="000D1D97"/>
    <w:rsid w:val="000E1CDF"/>
    <w:rsid w:val="000F3E81"/>
    <w:rsid w:val="000F6737"/>
    <w:rsid w:val="000F7606"/>
    <w:rsid w:val="00100309"/>
    <w:rsid w:val="00101888"/>
    <w:rsid w:val="001019EC"/>
    <w:rsid w:val="0010526C"/>
    <w:rsid w:val="00106349"/>
    <w:rsid w:val="00112227"/>
    <w:rsid w:val="001501D0"/>
    <w:rsid w:val="0015330F"/>
    <w:rsid w:val="00160244"/>
    <w:rsid w:val="00164307"/>
    <w:rsid w:val="00195629"/>
    <w:rsid w:val="001A0FE8"/>
    <w:rsid w:val="001A2990"/>
    <w:rsid w:val="001A4F40"/>
    <w:rsid w:val="001C4E40"/>
    <w:rsid w:val="001F06F0"/>
    <w:rsid w:val="00216797"/>
    <w:rsid w:val="00225155"/>
    <w:rsid w:val="00226DE0"/>
    <w:rsid w:val="002345B3"/>
    <w:rsid w:val="00240093"/>
    <w:rsid w:val="0024374B"/>
    <w:rsid w:val="00251CCD"/>
    <w:rsid w:val="00252EF7"/>
    <w:rsid w:val="0025416B"/>
    <w:rsid w:val="00257A31"/>
    <w:rsid w:val="0027212E"/>
    <w:rsid w:val="00272BA2"/>
    <w:rsid w:val="0028183C"/>
    <w:rsid w:val="002861A0"/>
    <w:rsid w:val="00290FD7"/>
    <w:rsid w:val="00297801"/>
    <w:rsid w:val="002C40F1"/>
    <w:rsid w:val="002D1E0D"/>
    <w:rsid w:val="002D2297"/>
    <w:rsid w:val="002E5A2A"/>
    <w:rsid w:val="002E7868"/>
    <w:rsid w:val="002F1033"/>
    <w:rsid w:val="00300483"/>
    <w:rsid w:val="00305ACD"/>
    <w:rsid w:val="00306025"/>
    <w:rsid w:val="0032583E"/>
    <w:rsid w:val="003345D9"/>
    <w:rsid w:val="003354E2"/>
    <w:rsid w:val="00347EE5"/>
    <w:rsid w:val="00360434"/>
    <w:rsid w:val="00365A58"/>
    <w:rsid w:val="00370009"/>
    <w:rsid w:val="003869BF"/>
    <w:rsid w:val="00392AE7"/>
    <w:rsid w:val="003B1383"/>
    <w:rsid w:val="003C697A"/>
    <w:rsid w:val="003D2E0F"/>
    <w:rsid w:val="003D32B2"/>
    <w:rsid w:val="003D43BB"/>
    <w:rsid w:val="003E0981"/>
    <w:rsid w:val="003E3154"/>
    <w:rsid w:val="003E405D"/>
    <w:rsid w:val="004011AC"/>
    <w:rsid w:val="0040522D"/>
    <w:rsid w:val="0041575A"/>
    <w:rsid w:val="0041727C"/>
    <w:rsid w:val="00417293"/>
    <w:rsid w:val="0042082B"/>
    <w:rsid w:val="004242E0"/>
    <w:rsid w:val="004349BD"/>
    <w:rsid w:val="004458F6"/>
    <w:rsid w:val="00451038"/>
    <w:rsid w:val="004528B7"/>
    <w:rsid w:val="00457EDB"/>
    <w:rsid w:val="00462683"/>
    <w:rsid w:val="00472D36"/>
    <w:rsid w:val="00481BBB"/>
    <w:rsid w:val="00491276"/>
    <w:rsid w:val="00496BC1"/>
    <w:rsid w:val="004C2C85"/>
    <w:rsid w:val="004F1DFB"/>
    <w:rsid w:val="004F73DA"/>
    <w:rsid w:val="005117AD"/>
    <w:rsid w:val="00523847"/>
    <w:rsid w:val="005343BD"/>
    <w:rsid w:val="00535AFB"/>
    <w:rsid w:val="005505A9"/>
    <w:rsid w:val="005531D1"/>
    <w:rsid w:val="0055399A"/>
    <w:rsid w:val="00555E8A"/>
    <w:rsid w:val="005571AC"/>
    <w:rsid w:val="005674E3"/>
    <w:rsid w:val="005700B6"/>
    <w:rsid w:val="00570EAA"/>
    <w:rsid w:val="00573283"/>
    <w:rsid w:val="00580FAB"/>
    <w:rsid w:val="005842B1"/>
    <w:rsid w:val="00597512"/>
    <w:rsid w:val="005A20AE"/>
    <w:rsid w:val="005A71FF"/>
    <w:rsid w:val="005A7F9C"/>
    <w:rsid w:val="005B594C"/>
    <w:rsid w:val="005C0468"/>
    <w:rsid w:val="005D7B69"/>
    <w:rsid w:val="005E0071"/>
    <w:rsid w:val="005E2625"/>
    <w:rsid w:val="005E78CB"/>
    <w:rsid w:val="005F4341"/>
    <w:rsid w:val="006012BA"/>
    <w:rsid w:val="00607E98"/>
    <w:rsid w:val="00620F7C"/>
    <w:rsid w:val="00621CFA"/>
    <w:rsid w:val="006241AF"/>
    <w:rsid w:val="0062472B"/>
    <w:rsid w:val="00632FCE"/>
    <w:rsid w:val="006360C7"/>
    <w:rsid w:val="006366B8"/>
    <w:rsid w:val="006400FE"/>
    <w:rsid w:val="006431E2"/>
    <w:rsid w:val="00645ACD"/>
    <w:rsid w:val="006523D6"/>
    <w:rsid w:val="006573D2"/>
    <w:rsid w:val="00665CCD"/>
    <w:rsid w:val="006770BE"/>
    <w:rsid w:val="00683DE1"/>
    <w:rsid w:val="00685D2A"/>
    <w:rsid w:val="00687C46"/>
    <w:rsid w:val="0069210F"/>
    <w:rsid w:val="00692F49"/>
    <w:rsid w:val="006B5130"/>
    <w:rsid w:val="006D55E1"/>
    <w:rsid w:val="006D624A"/>
    <w:rsid w:val="006D65CC"/>
    <w:rsid w:val="006E6D2D"/>
    <w:rsid w:val="007067AF"/>
    <w:rsid w:val="007158BA"/>
    <w:rsid w:val="00745D79"/>
    <w:rsid w:val="00750287"/>
    <w:rsid w:val="007546F2"/>
    <w:rsid w:val="007547C0"/>
    <w:rsid w:val="007548AB"/>
    <w:rsid w:val="00755049"/>
    <w:rsid w:val="00757085"/>
    <w:rsid w:val="0077685D"/>
    <w:rsid w:val="00784A7B"/>
    <w:rsid w:val="00786016"/>
    <w:rsid w:val="007973A1"/>
    <w:rsid w:val="007A03CA"/>
    <w:rsid w:val="007A1449"/>
    <w:rsid w:val="007A7933"/>
    <w:rsid w:val="007B2B5B"/>
    <w:rsid w:val="007C1C06"/>
    <w:rsid w:val="007C4D21"/>
    <w:rsid w:val="007C7718"/>
    <w:rsid w:val="007D0DA6"/>
    <w:rsid w:val="007E07F0"/>
    <w:rsid w:val="007E5A84"/>
    <w:rsid w:val="008051C2"/>
    <w:rsid w:val="0081368F"/>
    <w:rsid w:val="0081393A"/>
    <w:rsid w:val="008223F1"/>
    <w:rsid w:val="008251FE"/>
    <w:rsid w:val="0083493B"/>
    <w:rsid w:val="008351A8"/>
    <w:rsid w:val="00836005"/>
    <w:rsid w:val="008467DA"/>
    <w:rsid w:val="008518D1"/>
    <w:rsid w:val="00853323"/>
    <w:rsid w:val="00883B2A"/>
    <w:rsid w:val="00886F1D"/>
    <w:rsid w:val="00891865"/>
    <w:rsid w:val="0089207B"/>
    <w:rsid w:val="008B6447"/>
    <w:rsid w:val="008C1892"/>
    <w:rsid w:val="008D3F17"/>
    <w:rsid w:val="008D75F9"/>
    <w:rsid w:val="008E592B"/>
    <w:rsid w:val="008F25CF"/>
    <w:rsid w:val="008F3DD5"/>
    <w:rsid w:val="00901117"/>
    <w:rsid w:val="009152EB"/>
    <w:rsid w:val="00916029"/>
    <w:rsid w:val="00916C18"/>
    <w:rsid w:val="00924900"/>
    <w:rsid w:val="00925E90"/>
    <w:rsid w:val="00934F59"/>
    <w:rsid w:val="00947880"/>
    <w:rsid w:val="0096263F"/>
    <w:rsid w:val="00966B91"/>
    <w:rsid w:val="0097463B"/>
    <w:rsid w:val="00977345"/>
    <w:rsid w:val="00981B62"/>
    <w:rsid w:val="009A23E1"/>
    <w:rsid w:val="009A7D31"/>
    <w:rsid w:val="009C2456"/>
    <w:rsid w:val="009C39A9"/>
    <w:rsid w:val="009C7B13"/>
    <w:rsid w:val="009E4D6C"/>
    <w:rsid w:val="009F0430"/>
    <w:rsid w:val="009F7E3E"/>
    <w:rsid w:val="00A0550D"/>
    <w:rsid w:val="00A140FB"/>
    <w:rsid w:val="00A14CB6"/>
    <w:rsid w:val="00A2134D"/>
    <w:rsid w:val="00A22F81"/>
    <w:rsid w:val="00A26C12"/>
    <w:rsid w:val="00A373AA"/>
    <w:rsid w:val="00A473DC"/>
    <w:rsid w:val="00A55EAA"/>
    <w:rsid w:val="00A5649D"/>
    <w:rsid w:val="00A60EAA"/>
    <w:rsid w:val="00A6441C"/>
    <w:rsid w:val="00A70930"/>
    <w:rsid w:val="00A737A6"/>
    <w:rsid w:val="00A74760"/>
    <w:rsid w:val="00A7583B"/>
    <w:rsid w:val="00A75EB5"/>
    <w:rsid w:val="00A81271"/>
    <w:rsid w:val="00A81C70"/>
    <w:rsid w:val="00A83771"/>
    <w:rsid w:val="00A85BB3"/>
    <w:rsid w:val="00A97163"/>
    <w:rsid w:val="00AA6943"/>
    <w:rsid w:val="00AA6DBC"/>
    <w:rsid w:val="00AA7A7F"/>
    <w:rsid w:val="00AD0CCE"/>
    <w:rsid w:val="00AD251A"/>
    <w:rsid w:val="00AD2577"/>
    <w:rsid w:val="00AD32B8"/>
    <w:rsid w:val="00AD5441"/>
    <w:rsid w:val="00AD762E"/>
    <w:rsid w:val="00AF1F93"/>
    <w:rsid w:val="00B02D06"/>
    <w:rsid w:val="00B031CD"/>
    <w:rsid w:val="00B04E9E"/>
    <w:rsid w:val="00B11376"/>
    <w:rsid w:val="00B14BF3"/>
    <w:rsid w:val="00B20235"/>
    <w:rsid w:val="00B256B7"/>
    <w:rsid w:val="00B2611B"/>
    <w:rsid w:val="00B262C4"/>
    <w:rsid w:val="00B411FF"/>
    <w:rsid w:val="00B462ED"/>
    <w:rsid w:val="00B50342"/>
    <w:rsid w:val="00B607FC"/>
    <w:rsid w:val="00B7124F"/>
    <w:rsid w:val="00B7643B"/>
    <w:rsid w:val="00B81EB9"/>
    <w:rsid w:val="00B822C9"/>
    <w:rsid w:val="00B83148"/>
    <w:rsid w:val="00B855D5"/>
    <w:rsid w:val="00B85C64"/>
    <w:rsid w:val="00B861F2"/>
    <w:rsid w:val="00B91337"/>
    <w:rsid w:val="00B920D2"/>
    <w:rsid w:val="00B97356"/>
    <w:rsid w:val="00BA3959"/>
    <w:rsid w:val="00BB14BC"/>
    <w:rsid w:val="00BB3D66"/>
    <w:rsid w:val="00BB3D6C"/>
    <w:rsid w:val="00BB6B07"/>
    <w:rsid w:val="00BD1027"/>
    <w:rsid w:val="00BD49BE"/>
    <w:rsid w:val="00BD4C3A"/>
    <w:rsid w:val="00BD624D"/>
    <w:rsid w:val="00BE13AA"/>
    <w:rsid w:val="00BF3EA6"/>
    <w:rsid w:val="00BF4CEA"/>
    <w:rsid w:val="00BF5799"/>
    <w:rsid w:val="00C032B0"/>
    <w:rsid w:val="00C11EBF"/>
    <w:rsid w:val="00C1598C"/>
    <w:rsid w:val="00C1625B"/>
    <w:rsid w:val="00C173EC"/>
    <w:rsid w:val="00C20CFB"/>
    <w:rsid w:val="00C20EEB"/>
    <w:rsid w:val="00C257ED"/>
    <w:rsid w:val="00C259AC"/>
    <w:rsid w:val="00C34112"/>
    <w:rsid w:val="00C5434F"/>
    <w:rsid w:val="00C560E9"/>
    <w:rsid w:val="00C6019F"/>
    <w:rsid w:val="00C61462"/>
    <w:rsid w:val="00C664B9"/>
    <w:rsid w:val="00C75A3F"/>
    <w:rsid w:val="00C84759"/>
    <w:rsid w:val="00C973C3"/>
    <w:rsid w:val="00CA2286"/>
    <w:rsid w:val="00CB0EC0"/>
    <w:rsid w:val="00CB3734"/>
    <w:rsid w:val="00CC2097"/>
    <w:rsid w:val="00CC4F25"/>
    <w:rsid w:val="00CC589A"/>
    <w:rsid w:val="00CD4A6A"/>
    <w:rsid w:val="00CE3946"/>
    <w:rsid w:val="00CE6899"/>
    <w:rsid w:val="00CF6D46"/>
    <w:rsid w:val="00D00831"/>
    <w:rsid w:val="00D01AA8"/>
    <w:rsid w:val="00D03D2B"/>
    <w:rsid w:val="00D17C7D"/>
    <w:rsid w:val="00D26515"/>
    <w:rsid w:val="00D27631"/>
    <w:rsid w:val="00D37A31"/>
    <w:rsid w:val="00D4588B"/>
    <w:rsid w:val="00D51D5D"/>
    <w:rsid w:val="00D5731D"/>
    <w:rsid w:val="00D60A3E"/>
    <w:rsid w:val="00D67A58"/>
    <w:rsid w:val="00D70099"/>
    <w:rsid w:val="00D76208"/>
    <w:rsid w:val="00D83BDA"/>
    <w:rsid w:val="00DA09D4"/>
    <w:rsid w:val="00DA221D"/>
    <w:rsid w:val="00DB1F57"/>
    <w:rsid w:val="00DB4E09"/>
    <w:rsid w:val="00DB6ADC"/>
    <w:rsid w:val="00DC24EF"/>
    <w:rsid w:val="00DD07E4"/>
    <w:rsid w:val="00DD6FDE"/>
    <w:rsid w:val="00DD7345"/>
    <w:rsid w:val="00DF79C7"/>
    <w:rsid w:val="00E27A10"/>
    <w:rsid w:val="00E30892"/>
    <w:rsid w:val="00E35478"/>
    <w:rsid w:val="00E40280"/>
    <w:rsid w:val="00E40E83"/>
    <w:rsid w:val="00E42A49"/>
    <w:rsid w:val="00E44340"/>
    <w:rsid w:val="00E51F54"/>
    <w:rsid w:val="00EA063E"/>
    <w:rsid w:val="00EA7CBB"/>
    <w:rsid w:val="00EB245A"/>
    <w:rsid w:val="00EB33EB"/>
    <w:rsid w:val="00EC2E38"/>
    <w:rsid w:val="00EC614B"/>
    <w:rsid w:val="00ED4CAA"/>
    <w:rsid w:val="00EF0843"/>
    <w:rsid w:val="00EF4277"/>
    <w:rsid w:val="00F0154F"/>
    <w:rsid w:val="00F023B1"/>
    <w:rsid w:val="00F16330"/>
    <w:rsid w:val="00F20BB0"/>
    <w:rsid w:val="00F356BC"/>
    <w:rsid w:val="00F37D56"/>
    <w:rsid w:val="00F40A60"/>
    <w:rsid w:val="00F451F5"/>
    <w:rsid w:val="00F53F1D"/>
    <w:rsid w:val="00F55F47"/>
    <w:rsid w:val="00F60247"/>
    <w:rsid w:val="00F61278"/>
    <w:rsid w:val="00F65622"/>
    <w:rsid w:val="00F72587"/>
    <w:rsid w:val="00F81958"/>
    <w:rsid w:val="00F95541"/>
    <w:rsid w:val="00F95B57"/>
    <w:rsid w:val="00FA7CEB"/>
    <w:rsid w:val="00FB76AD"/>
    <w:rsid w:val="00FC3924"/>
    <w:rsid w:val="00FC467B"/>
    <w:rsid w:val="00FC6004"/>
    <w:rsid w:val="00FC6523"/>
    <w:rsid w:val="00FD35C6"/>
    <w:rsid w:val="00FD7DFA"/>
    <w:rsid w:val="00FF3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AA78F0"/>
  <w15:docId w15:val="{6D846643-46B9-48EE-B0B2-617BF893F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5799"/>
    <w:pPr>
      <w:ind w:left="720"/>
      <w:contextualSpacing/>
    </w:pPr>
  </w:style>
  <w:style w:type="paragraph" w:styleId="Header">
    <w:name w:val="header"/>
    <w:basedOn w:val="Normal"/>
    <w:link w:val="HeaderChar"/>
    <w:uiPriority w:val="99"/>
    <w:unhideWhenUsed/>
    <w:rsid w:val="00BF3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3EA6"/>
  </w:style>
  <w:style w:type="paragraph" w:styleId="Footer">
    <w:name w:val="footer"/>
    <w:basedOn w:val="Normal"/>
    <w:link w:val="FooterChar"/>
    <w:uiPriority w:val="99"/>
    <w:unhideWhenUsed/>
    <w:rsid w:val="00BF3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3EA6"/>
  </w:style>
  <w:style w:type="table" w:styleId="TableGrid">
    <w:name w:val="Table Grid"/>
    <w:basedOn w:val="TableNormal"/>
    <w:uiPriority w:val="39"/>
    <w:rsid w:val="006366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664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64B9"/>
    <w:rPr>
      <w:rFonts w:ascii="Segoe UI" w:hAnsi="Segoe UI" w:cs="Segoe UI"/>
      <w:sz w:val="18"/>
      <w:szCs w:val="18"/>
    </w:rPr>
  </w:style>
  <w:style w:type="paragraph" w:styleId="Title">
    <w:name w:val="Title"/>
    <w:basedOn w:val="Normal"/>
    <w:next w:val="Normal"/>
    <w:link w:val="TitleChar"/>
    <w:uiPriority w:val="10"/>
    <w:qFormat/>
    <w:rsid w:val="002F10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2F1033"/>
    <w:rPr>
      <w:rFonts w:asciiTheme="majorHAnsi" w:eastAsiaTheme="majorEastAsia" w:hAnsiTheme="majorHAnsi" w:cstheme="majorBidi"/>
      <w:color w:val="323E4F" w:themeColor="text2" w:themeShade="BF"/>
      <w:spacing w:val="5"/>
      <w:kern w:val="28"/>
      <w:sz w:val="52"/>
      <w:szCs w:val="52"/>
    </w:rPr>
  </w:style>
  <w:style w:type="character" w:styleId="PageNumber">
    <w:name w:val="page number"/>
    <w:basedOn w:val="DefaultParagraphFont"/>
    <w:uiPriority w:val="99"/>
    <w:semiHidden/>
    <w:unhideWhenUsed/>
    <w:rsid w:val="002F1033"/>
  </w:style>
  <w:style w:type="character" w:styleId="CommentReference">
    <w:name w:val="annotation reference"/>
    <w:basedOn w:val="DefaultParagraphFont"/>
    <w:uiPriority w:val="99"/>
    <w:semiHidden/>
    <w:unhideWhenUsed/>
    <w:rsid w:val="00B14BF3"/>
    <w:rPr>
      <w:sz w:val="18"/>
      <w:szCs w:val="18"/>
    </w:rPr>
  </w:style>
  <w:style w:type="paragraph" w:styleId="CommentText">
    <w:name w:val="annotation text"/>
    <w:basedOn w:val="Normal"/>
    <w:link w:val="CommentTextChar"/>
    <w:uiPriority w:val="99"/>
    <w:semiHidden/>
    <w:unhideWhenUsed/>
    <w:rsid w:val="00B14BF3"/>
    <w:pPr>
      <w:spacing w:line="240" w:lineRule="auto"/>
    </w:pPr>
    <w:rPr>
      <w:sz w:val="24"/>
      <w:szCs w:val="24"/>
    </w:rPr>
  </w:style>
  <w:style w:type="character" w:customStyle="1" w:styleId="CommentTextChar">
    <w:name w:val="Comment Text Char"/>
    <w:basedOn w:val="DefaultParagraphFont"/>
    <w:link w:val="CommentText"/>
    <w:uiPriority w:val="99"/>
    <w:semiHidden/>
    <w:rsid w:val="00B14BF3"/>
    <w:rPr>
      <w:sz w:val="24"/>
      <w:szCs w:val="24"/>
    </w:rPr>
  </w:style>
  <w:style w:type="paragraph" w:styleId="CommentSubject">
    <w:name w:val="annotation subject"/>
    <w:basedOn w:val="CommentText"/>
    <w:next w:val="CommentText"/>
    <w:link w:val="CommentSubjectChar"/>
    <w:uiPriority w:val="99"/>
    <w:semiHidden/>
    <w:unhideWhenUsed/>
    <w:rsid w:val="00B14BF3"/>
    <w:rPr>
      <w:b/>
      <w:bCs/>
      <w:sz w:val="20"/>
      <w:szCs w:val="20"/>
    </w:rPr>
  </w:style>
  <w:style w:type="character" w:customStyle="1" w:styleId="CommentSubjectChar">
    <w:name w:val="Comment Subject Char"/>
    <w:basedOn w:val="CommentTextChar"/>
    <w:link w:val="CommentSubject"/>
    <w:uiPriority w:val="99"/>
    <w:semiHidden/>
    <w:rsid w:val="00B14BF3"/>
    <w:rPr>
      <w:b/>
      <w:bCs/>
      <w:sz w:val="20"/>
      <w:szCs w:val="20"/>
    </w:rPr>
  </w:style>
  <w:style w:type="paragraph" w:customStyle="1" w:styleId="CT">
    <w:name w:val="CT"/>
    <w:basedOn w:val="Title"/>
    <w:qFormat/>
    <w:rsid w:val="00022B14"/>
    <w:pPr>
      <w:pBdr>
        <w:bottom w:val="none" w:sz="0" w:space="0" w:color="auto"/>
      </w:pBdr>
      <w:spacing w:after="0"/>
      <w:ind w:left="720"/>
      <w:contextualSpacing w:val="0"/>
    </w:pPr>
    <w:rPr>
      <w:rFonts w:ascii="Times New Roman" w:hAnsi="Times New Roman" w:cs="Times New Roman"/>
      <w:b/>
      <w:color w:val="7F7F7F" w:themeColor="text1" w:themeTint="80"/>
    </w:rPr>
  </w:style>
  <w:style w:type="paragraph" w:customStyle="1" w:styleId="1head">
    <w:name w:val="1_head"/>
    <w:basedOn w:val="Normal"/>
    <w:qFormat/>
    <w:rsid w:val="00022B14"/>
    <w:pPr>
      <w:spacing w:before="480" w:after="0" w:line="240" w:lineRule="auto"/>
    </w:pPr>
    <w:rPr>
      <w:rFonts w:ascii="Arial" w:hAnsi="Arial" w:cs="Arial"/>
      <w:b/>
      <w:spacing w:val="30"/>
      <w:sz w:val="28"/>
      <w:szCs w:val="24"/>
    </w:rPr>
  </w:style>
  <w:style w:type="paragraph" w:customStyle="1" w:styleId="Text">
    <w:name w:val="Text"/>
    <w:basedOn w:val="Normal"/>
    <w:qFormat/>
    <w:rsid w:val="00022B14"/>
    <w:pPr>
      <w:spacing w:before="240" w:after="0" w:line="240" w:lineRule="auto"/>
      <w:jc w:val="both"/>
    </w:pPr>
    <w:rPr>
      <w:rFonts w:ascii="Times New Roman" w:hAnsi="Times New Roman" w:cs="Times New Roman"/>
      <w:sz w:val="24"/>
      <w:szCs w:val="24"/>
    </w:rPr>
  </w:style>
  <w:style w:type="paragraph" w:customStyle="1" w:styleId="DoubleWOL">
    <w:name w:val="Double WOL"/>
    <w:basedOn w:val="Normal"/>
    <w:link w:val="DoubleWOLChar"/>
    <w:rsid w:val="007A03CA"/>
    <w:pPr>
      <w:tabs>
        <w:tab w:val="right" w:leader="underscore" w:pos="5040"/>
        <w:tab w:val="left" w:pos="5314"/>
        <w:tab w:val="right" w:leader="underscore" w:pos="9360"/>
      </w:tabs>
      <w:spacing w:before="360" w:after="0" w:line="240" w:lineRule="auto"/>
    </w:pPr>
    <w:rPr>
      <w:rFonts w:cstheme="minorHAnsi"/>
      <w:sz w:val="20"/>
      <w:szCs w:val="24"/>
    </w:rPr>
  </w:style>
  <w:style w:type="character" w:customStyle="1" w:styleId="DoubleWOLChar">
    <w:name w:val="Double WOL Char"/>
    <w:basedOn w:val="DefaultParagraphFont"/>
    <w:link w:val="DoubleWOL"/>
    <w:rsid w:val="007A03CA"/>
    <w:rPr>
      <w:rFonts w:cstheme="minorHAnsi"/>
      <w:sz w:val="20"/>
      <w:szCs w:val="24"/>
    </w:rPr>
  </w:style>
  <w:style w:type="paragraph" w:customStyle="1" w:styleId="DoubleWOLOffset">
    <w:name w:val="Double WOL Offset"/>
    <w:basedOn w:val="Normal"/>
    <w:link w:val="DoubleWOLOffsetChar"/>
    <w:rsid w:val="007A03CA"/>
    <w:pPr>
      <w:tabs>
        <w:tab w:val="right" w:leader="underscore" w:pos="6307"/>
        <w:tab w:val="left" w:pos="6480"/>
        <w:tab w:val="right" w:leader="underscore" w:pos="9360"/>
      </w:tabs>
      <w:spacing w:before="360" w:after="0" w:line="240" w:lineRule="auto"/>
    </w:pPr>
    <w:rPr>
      <w:rFonts w:cstheme="minorHAnsi"/>
      <w:sz w:val="20"/>
      <w:szCs w:val="24"/>
    </w:rPr>
  </w:style>
  <w:style w:type="character" w:customStyle="1" w:styleId="DoubleWOLOffsetChar">
    <w:name w:val="Double WOL Offset Char"/>
    <w:basedOn w:val="DefaultParagraphFont"/>
    <w:link w:val="DoubleWOLOffset"/>
    <w:rsid w:val="007A03CA"/>
    <w:rPr>
      <w:rFonts w:cstheme="minorHAnsi"/>
      <w:sz w:val="20"/>
      <w:szCs w:val="24"/>
    </w:rPr>
  </w:style>
  <w:style w:type="paragraph" w:customStyle="1" w:styleId="NumberedList">
    <w:name w:val="NumberedList"/>
    <w:basedOn w:val="ListParagraph"/>
    <w:qFormat/>
    <w:rsid w:val="007A03CA"/>
    <w:pPr>
      <w:numPr>
        <w:numId w:val="2"/>
      </w:numPr>
      <w:spacing w:before="120" w:after="0" w:line="240" w:lineRule="auto"/>
      <w:ind w:left="360"/>
      <w:contextualSpacing w:val="0"/>
    </w:pPr>
    <w:rPr>
      <w:rFonts w:ascii="Times New Roman" w:hAnsi="Times New Roman" w:cs="Times New Roman"/>
      <w:sz w:val="24"/>
      <w:szCs w:val="24"/>
    </w:rPr>
  </w:style>
  <w:style w:type="paragraph" w:customStyle="1" w:styleId="2head">
    <w:name w:val="2_head"/>
    <w:basedOn w:val="Normal"/>
    <w:qFormat/>
    <w:rsid w:val="007A03CA"/>
    <w:pPr>
      <w:spacing w:before="240" w:after="0" w:line="240" w:lineRule="auto"/>
    </w:pPr>
    <w:rPr>
      <w:rFonts w:ascii="Arial Narrow" w:hAnsi="Arial Narrow" w:cs="Times New Roman"/>
      <w:b/>
      <w:sz w:val="24"/>
      <w:szCs w:val="24"/>
    </w:rPr>
  </w:style>
  <w:style w:type="paragraph" w:customStyle="1" w:styleId="OutlineI">
    <w:name w:val="Outline_I"/>
    <w:basedOn w:val="ListParagraph"/>
    <w:qFormat/>
    <w:rsid w:val="0024374B"/>
    <w:pPr>
      <w:numPr>
        <w:numId w:val="1"/>
      </w:numPr>
      <w:spacing w:before="120" w:after="0" w:line="240" w:lineRule="auto"/>
      <w:ind w:left="360" w:hanging="360"/>
    </w:pPr>
    <w:rPr>
      <w:rFonts w:ascii="Times New Roman" w:hAnsi="Times New Roman" w:cs="Times New Roman"/>
      <w:sz w:val="24"/>
      <w:szCs w:val="24"/>
    </w:rPr>
  </w:style>
  <w:style w:type="paragraph" w:customStyle="1" w:styleId="OutlineIcont">
    <w:name w:val="Outline_I_cont"/>
    <w:basedOn w:val="Normal"/>
    <w:qFormat/>
    <w:rsid w:val="0024374B"/>
    <w:pPr>
      <w:spacing w:before="120" w:after="0" w:line="240" w:lineRule="auto"/>
      <w:ind w:left="360"/>
    </w:pPr>
    <w:rPr>
      <w:rFonts w:ascii="Times New Roman" w:hAnsi="Times New Roman" w:cs="Times New Roman"/>
      <w:sz w:val="24"/>
      <w:szCs w:val="24"/>
    </w:rPr>
  </w:style>
  <w:style w:type="paragraph" w:customStyle="1" w:styleId="OutlineA0">
    <w:name w:val="Outline_A"/>
    <w:basedOn w:val="ListParagraph"/>
    <w:qFormat/>
    <w:rsid w:val="0024374B"/>
    <w:pPr>
      <w:numPr>
        <w:ilvl w:val="1"/>
        <w:numId w:val="1"/>
      </w:numPr>
      <w:spacing w:before="120" w:after="0" w:line="240" w:lineRule="auto"/>
      <w:ind w:left="720"/>
      <w:contextualSpacing w:val="0"/>
    </w:pPr>
    <w:rPr>
      <w:rFonts w:ascii="Times New Roman" w:hAnsi="Times New Roman" w:cs="Times New Roman"/>
      <w:sz w:val="24"/>
      <w:szCs w:val="24"/>
    </w:rPr>
  </w:style>
  <w:style w:type="paragraph" w:customStyle="1" w:styleId="Outline1">
    <w:name w:val="Outline_1"/>
    <w:basedOn w:val="ListParagraph"/>
    <w:qFormat/>
    <w:rsid w:val="0024374B"/>
    <w:pPr>
      <w:numPr>
        <w:ilvl w:val="3"/>
        <w:numId w:val="1"/>
      </w:numPr>
      <w:spacing w:before="120" w:after="0" w:line="240" w:lineRule="auto"/>
      <w:contextualSpacing w:val="0"/>
    </w:pPr>
    <w:rPr>
      <w:rFonts w:ascii="Times New Roman" w:hAnsi="Times New Roman" w:cs="Times New Roman"/>
      <w:sz w:val="24"/>
      <w:szCs w:val="24"/>
    </w:rPr>
  </w:style>
  <w:style w:type="paragraph" w:customStyle="1" w:styleId="Outlinea">
    <w:name w:val="Outline_a"/>
    <w:basedOn w:val="ListParagraph"/>
    <w:qFormat/>
    <w:rsid w:val="00DD6FDE"/>
    <w:pPr>
      <w:numPr>
        <w:numId w:val="8"/>
      </w:numPr>
      <w:spacing w:after="0" w:line="240" w:lineRule="auto"/>
      <w:ind w:left="1440"/>
    </w:pPr>
    <w:rPr>
      <w:rFonts w:ascii="Times New Roman" w:hAnsi="Times New Roman" w:cs="Times New Roman"/>
      <w:sz w:val="24"/>
      <w:szCs w:val="24"/>
    </w:rPr>
  </w:style>
  <w:style w:type="paragraph" w:customStyle="1" w:styleId="BulletsI">
    <w:name w:val="Bullets_I"/>
    <w:basedOn w:val="ListParagraph"/>
    <w:qFormat/>
    <w:rsid w:val="0024374B"/>
    <w:pPr>
      <w:numPr>
        <w:numId w:val="7"/>
      </w:numPr>
      <w:spacing w:after="0" w:line="240" w:lineRule="auto"/>
      <w:ind w:left="720"/>
    </w:pPr>
    <w:rPr>
      <w:rFonts w:ascii="Times New Roman" w:hAnsi="Times New Roman" w:cs="Times New Roman"/>
      <w:sz w:val="24"/>
      <w:szCs w:val="24"/>
    </w:rPr>
  </w:style>
  <w:style w:type="paragraph" w:customStyle="1" w:styleId="BulletA">
    <w:name w:val="Bullet_A"/>
    <w:basedOn w:val="ListParagraph"/>
    <w:qFormat/>
    <w:rsid w:val="0024374B"/>
    <w:pPr>
      <w:numPr>
        <w:numId w:val="3"/>
      </w:numPr>
      <w:spacing w:after="0" w:line="240" w:lineRule="auto"/>
      <w:ind w:left="1080"/>
    </w:pPr>
    <w:rPr>
      <w:rFonts w:ascii="Times New Roman" w:hAnsi="Times New Roman" w:cs="Times New Roman"/>
      <w:sz w:val="24"/>
      <w:szCs w:val="24"/>
    </w:rPr>
  </w:style>
  <w:style w:type="paragraph" w:customStyle="1" w:styleId="Bulleta0">
    <w:name w:val="Bullet_a"/>
    <w:basedOn w:val="ListParagraph"/>
    <w:qFormat/>
    <w:rsid w:val="0024374B"/>
    <w:pPr>
      <w:numPr>
        <w:numId w:val="4"/>
      </w:numPr>
      <w:spacing w:after="0" w:line="240" w:lineRule="auto"/>
      <w:ind w:left="1800"/>
    </w:pPr>
    <w:rPr>
      <w:rFonts w:ascii="Times New Roman" w:hAnsi="Times New Roman" w:cs="Times New Roman"/>
      <w:sz w:val="24"/>
      <w:szCs w:val="24"/>
    </w:rPr>
  </w:style>
  <w:style w:type="paragraph" w:customStyle="1" w:styleId="TextBullet">
    <w:name w:val="TextBullet"/>
    <w:basedOn w:val="ListParagraph"/>
    <w:qFormat/>
    <w:rsid w:val="00FD35C6"/>
    <w:pPr>
      <w:numPr>
        <w:numId w:val="6"/>
      </w:numPr>
      <w:spacing w:before="120" w:after="0" w:line="240" w:lineRule="auto"/>
      <w:ind w:left="360"/>
      <w:contextualSpacing w:val="0"/>
    </w:pPr>
    <w:rPr>
      <w:rFonts w:ascii="Times New Roman" w:hAnsi="Times New Roman" w:cs="Times New Roman"/>
      <w:sz w:val="24"/>
      <w:szCs w:val="24"/>
    </w:rPr>
  </w:style>
  <w:style w:type="paragraph" w:customStyle="1" w:styleId="TCH">
    <w:name w:val="TCH"/>
    <w:basedOn w:val="Normal"/>
    <w:qFormat/>
    <w:rsid w:val="00FD35C6"/>
    <w:pPr>
      <w:spacing w:after="0" w:line="240" w:lineRule="auto"/>
      <w:jc w:val="center"/>
    </w:pPr>
    <w:rPr>
      <w:rFonts w:ascii="Times New Roman" w:hAnsi="Times New Roman" w:cs="Times New Roman"/>
      <w:b/>
      <w:szCs w:val="24"/>
    </w:rPr>
  </w:style>
  <w:style w:type="paragraph" w:customStyle="1" w:styleId="TSH">
    <w:name w:val="TSH"/>
    <w:basedOn w:val="Normal"/>
    <w:qFormat/>
    <w:rsid w:val="00FD35C6"/>
    <w:pPr>
      <w:spacing w:before="40" w:after="40" w:line="240" w:lineRule="auto"/>
      <w:jc w:val="center"/>
    </w:pPr>
    <w:rPr>
      <w:rFonts w:ascii="Times New Roman" w:hAnsi="Times New Roman" w:cs="Times New Roman"/>
      <w:b/>
      <w:szCs w:val="24"/>
    </w:rPr>
  </w:style>
  <w:style w:type="paragraph" w:customStyle="1" w:styleId="TBCentered">
    <w:name w:val="TB_Centered"/>
    <w:basedOn w:val="Normal"/>
    <w:qFormat/>
    <w:rsid w:val="00FD35C6"/>
    <w:pPr>
      <w:spacing w:before="40" w:after="40" w:line="240" w:lineRule="auto"/>
      <w:jc w:val="center"/>
    </w:pPr>
    <w:rPr>
      <w:rFonts w:ascii="Times New Roman" w:hAnsi="Times New Roman" w:cs="Times New Roman"/>
      <w:szCs w:val="24"/>
    </w:rPr>
  </w:style>
  <w:style w:type="paragraph" w:customStyle="1" w:styleId="TBLeft">
    <w:name w:val="TB_Left"/>
    <w:basedOn w:val="TBCentered"/>
    <w:qFormat/>
    <w:rsid w:val="00FD35C6"/>
    <w:pPr>
      <w:jc w:val="left"/>
    </w:pPr>
  </w:style>
  <w:style w:type="paragraph" w:customStyle="1" w:styleId="TBN">
    <w:name w:val="TBN"/>
    <w:basedOn w:val="Normal"/>
    <w:qFormat/>
    <w:rsid w:val="00FD35C6"/>
    <w:pPr>
      <w:spacing w:after="0" w:line="240" w:lineRule="auto"/>
    </w:pPr>
    <w:rPr>
      <w:rFonts w:ascii="Times New Roman" w:hAnsi="Times New Roman" w:cs="Times New Roman"/>
      <w:sz w:val="18"/>
      <w:szCs w:val="24"/>
    </w:rPr>
  </w:style>
  <w:style w:type="paragraph" w:styleId="Revision">
    <w:name w:val="Revision"/>
    <w:hidden/>
    <w:uiPriority w:val="99"/>
    <w:semiHidden/>
    <w:rsid w:val="00AD25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917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62B84-1DA5-4677-92B8-57E6BB58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3392</Words>
  <Characters>19341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Cline</dc:creator>
  <cp:lastModifiedBy>Marks, Elisa</cp:lastModifiedBy>
  <cp:revision>4</cp:revision>
  <cp:lastPrinted>2015-04-13T22:36:00Z</cp:lastPrinted>
  <dcterms:created xsi:type="dcterms:W3CDTF">2018-01-21T00:50:00Z</dcterms:created>
  <dcterms:modified xsi:type="dcterms:W3CDTF">2018-02-21T19:31:00Z</dcterms:modified>
</cp:coreProperties>
</file>