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F23D13" w14:textId="7B85A1DB" w:rsidR="00B50342" w:rsidRPr="00E73D2F" w:rsidRDefault="005E0071" w:rsidP="00FD35C6">
      <w:pPr>
        <w:pStyle w:val="Title"/>
        <w:pBdr>
          <w:bottom w:val="none" w:sz="0" w:space="0" w:color="auto"/>
        </w:pBdr>
        <w:spacing w:before="1200" w:after="240"/>
        <w:ind w:left="720"/>
        <w:contextualSpacing w:val="0"/>
        <w:rPr>
          <w:rFonts w:ascii="Times New Roman" w:hAnsi="Times New Roman" w:cs="Times New Roman"/>
          <w:color w:val="auto"/>
        </w:rPr>
      </w:pPr>
      <w:bookmarkStart w:id="0" w:name="_GoBack"/>
      <w:bookmarkEnd w:id="0"/>
      <w:r w:rsidRPr="00E73D2F">
        <w:rPr>
          <w:rFonts w:ascii="Times New Roman" w:hAnsi="Times New Roman" w:cs="Times New Roman"/>
          <w:color w:val="7F7F7F" w:themeColor="text1" w:themeTint="80"/>
          <w:position w:val="-8"/>
        </w:rPr>
        <w:t>——</w:t>
      </w:r>
      <w:r w:rsidR="00AD675A" w:rsidRPr="00E73D2F">
        <w:rPr>
          <w:rFonts w:ascii="Arial Black" w:hAnsi="Arial Black" w:cs="Times New Roman"/>
          <w:color w:val="auto"/>
        </w:rPr>
        <w:t>2</w:t>
      </w:r>
      <w:r w:rsidRPr="00E73D2F">
        <w:rPr>
          <w:rFonts w:ascii="Times New Roman" w:hAnsi="Times New Roman" w:cs="Times New Roman"/>
          <w:color w:val="7F7F7F" w:themeColor="text1" w:themeTint="80"/>
          <w:position w:val="-8"/>
        </w:rPr>
        <w:t>———</w:t>
      </w:r>
    </w:p>
    <w:p w14:paraId="7A1DD166" w14:textId="71F687AB" w:rsidR="00B50342" w:rsidRPr="00E73D2F" w:rsidRDefault="00AD675A" w:rsidP="00AD675A">
      <w:pPr>
        <w:pStyle w:val="CT"/>
      </w:pPr>
      <w:r w:rsidRPr="00E73D2F">
        <w:t>Financial Reporting Theory</w:t>
      </w:r>
    </w:p>
    <w:p w14:paraId="28E1C22B" w14:textId="5B016DAC" w:rsidR="00321F3A" w:rsidRPr="00E73D2F" w:rsidRDefault="00B411FF" w:rsidP="00022B14">
      <w:pPr>
        <w:pStyle w:val="1head"/>
        <w:rPr>
          <w:rFonts w:ascii="Times New Roman" w:hAnsi="Times New Roman" w:cs="Times New Roman"/>
          <w:sz w:val="24"/>
        </w:rPr>
      </w:pPr>
      <w:r w:rsidRPr="00E73D2F">
        <w:t>Overview</w:t>
      </w:r>
    </w:p>
    <w:p w14:paraId="0A4792D7" w14:textId="7A905790" w:rsidR="00BD2980" w:rsidRPr="00E73D2F" w:rsidRDefault="00BD2980" w:rsidP="008277CD">
      <w:pPr>
        <w:pStyle w:val="Text"/>
        <w:rPr>
          <w:b/>
        </w:rPr>
      </w:pPr>
      <w:r w:rsidRPr="00E73D2F">
        <w:t>Chapter 2</w:t>
      </w:r>
      <w:r w:rsidR="00F645CC" w:rsidRPr="00E73D2F">
        <w:t xml:space="preserve"> </w:t>
      </w:r>
      <w:r w:rsidRPr="00E73D2F">
        <w:t>is driven by the students</w:t>
      </w:r>
      <w:r w:rsidR="00F645CC" w:rsidRPr="00E73D2F">
        <w:t>’</w:t>
      </w:r>
      <w:r w:rsidRPr="00E73D2F">
        <w:t xml:space="preserve"> need to understand the conceptual framework for accounting. </w:t>
      </w:r>
      <w:r w:rsidR="002C6796" w:rsidRPr="00E73D2F">
        <w:t>In order</w:t>
      </w:r>
      <w:r w:rsidRPr="00E73D2F">
        <w:t xml:space="preserve"> to read and understand financial statements, </w:t>
      </w:r>
      <w:r w:rsidR="002C6796" w:rsidRPr="00E73D2F">
        <w:t>a student</w:t>
      </w:r>
      <w:r w:rsidR="00F645CC" w:rsidRPr="00E73D2F">
        <w:t xml:space="preserve"> must become familiar with the conceptual framework under which the financial statements were prepared. Therefore, this chapter highlight</w:t>
      </w:r>
      <w:r w:rsidR="00E63D40" w:rsidRPr="00E73D2F">
        <w:t>s</w:t>
      </w:r>
      <w:r w:rsidR="00F645CC" w:rsidRPr="00E73D2F">
        <w:t xml:space="preserve"> the ways in which authoritative literature and guidance are grounded in the conceptual framework and discuss</w:t>
      </w:r>
      <w:r w:rsidR="006D3DF5" w:rsidRPr="00E73D2F">
        <w:t>es</w:t>
      </w:r>
      <w:r w:rsidR="00F645CC" w:rsidRPr="00E73D2F">
        <w:t xml:space="preserve"> how the objective of financial reporting and the elements of financial reporting are part of the conceptual framework.</w:t>
      </w:r>
    </w:p>
    <w:p w14:paraId="56FE6051" w14:textId="6CB66BD7" w:rsidR="00DB1F57" w:rsidRPr="00E73D2F" w:rsidRDefault="00DB1F57" w:rsidP="007A03CA">
      <w:pPr>
        <w:pStyle w:val="1head"/>
      </w:pPr>
      <w:r w:rsidRPr="00E73D2F">
        <w:t xml:space="preserve">Learning </w:t>
      </w:r>
      <w:r w:rsidR="00933AA9" w:rsidRPr="00E73D2F">
        <w:t>Objective</w:t>
      </w:r>
      <w:r w:rsidRPr="00E73D2F">
        <w:t>s</w:t>
      </w:r>
    </w:p>
    <w:p w14:paraId="2B9DDA98" w14:textId="77777777" w:rsidR="00AD675A" w:rsidRPr="00E73D2F" w:rsidRDefault="00AD675A" w:rsidP="00AD675A">
      <w:pPr>
        <w:pStyle w:val="NumberedList"/>
      </w:pPr>
      <w:r w:rsidRPr="00E73D2F">
        <w:t>Explain what a conceptual framework is and why it is important in accounting standard setting.</w:t>
      </w:r>
    </w:p>
    <w:p w14:paraId="61D7B8FB" w14:textId="77777777" w:rsidR="00AD675A" w:rsidRPr="00E73D2F" w:rsidRDefault="00AD675A" w:rsidP="00AD675A">
      <w:pPr>
        <w:pStyle w:val="NumberedList"/>
      </w:pPr>
      <w:r w:rsidRPr="00E73D2F">
        <w:t>Define the objective of financial reporting.</w:t>
      </w:r>
    </w:p>
    <w:p w14:paraId="2BE06521" w14:textId="77777777" w:rsidR="00AD675A" w:rsidRPr="00E73D2F" w:rsidRDefault="00AD675A" w:rsidP="00AD675A">
      <w:pPr>
        <w:pStyle w:val="NumberedList"/>
      </w:pPr>
      <w:r w:rsidRPr="00E73D2F">
        <w:t>Describe the qualitative characteristics of financial information, including the fundamental and enhancing characteristics of financial reporting.</w:t>
      </w:r>
    </w:p>
    <w:p w14:paraId="5A9464B3" w14:textId="77777777" w:rsidR="00AD675A" w:rsidRPr="00E73D2F" w:rsidRDefault="00AD675A" w:rsidP="00AD675A">
      <w:pPr>
        <w:pStyle w:val="NumberedList"/>
      </w:pPr>
      <w:r w:rsidRPr="00E73D2F">
        <w:t>Identify the elements of financial reporting.</w:t>
      </w:r>
    </w:p>
    <w:p w14:paraId="09E80C56" w14:textId="77777777" w:rsidR="00AD675A" w:rsidRPr="00E73D2F" w:rsidRDefault="00AD675A" w:rsidP="00AD675A">
      <w:pPr>
        <w:pStyle w:val="NumberedList"/>
      </w:pPr>
      <w:r w:rsidRPr="00E73D2F">
        <w:t>Demonstrate an understanding of recognition and measurement in financial reporting including general recognition principles, revenue and expense recognition, and accrual accounting.</w:t>
      </w:r>
    </w:p>
    <w:p w14:paraId="262DE289" w14:textId="77777777" w:rsidR="00AD675A" w:rsidRPr="00E73D2F" w:rsidRDefault="00AD675A" w:rsidP="00AD675A">
      <w:pPr>
        <w:pStyle w:val="NumberedList"/>
      </w:pPr>
      <w:r w:rsidRPr="00E73D2F">
        <w:t>Explain the assumptions used in financial reporting.</w:t>
      </w:r>
    </w:p>
    <w:p w14:paraId="1468C2D2" w14:textId="77777777" w:rsidR="005C0468" w:rsidRPr="00E73D2F" w:rsidRDefault="00BF5799" w:rsidP="007A03CA">
      <w:pPr>
        <w:pStyle w:val="1head"/>
      </w:pPr>
      <w:r w:rsidRPr="00E73D2F">
        <w:t>Teaching Outline</w:t>
      </w:r>
    </w:p>
    <w:p w14:paraId="0F7B411C" w14:textId="2D541164" w:rsidR="00AD675A" w:rsidRPr="00E73D2F" w:rsidRDefault="00AD675A" w:rsidP="00246572">
      <w:pPr>
        <w:pStyle w:val="2head"/>
      </w:pPr>
      <w:r w:rsidRPr="00E73D2F">
        <w:t xml:space="preserve">Learning </w:t>
      </w:r>
      <w:r w:rsidR="00933AA9" w:rsidRPr="00E73D2F">
        <w:t>Objective</w:t>
      </w:r>
      <w:r w:rsidRPr="00E73D2F">
        <w:t xml:space="preserve"> 1: Overview of the Conceptual Framework</w:t>
      </w:r>
    </w:p>
    <w:p w14:paraId="067D9635" w14:textId="77777777" w:rsidR="00AD675A" w:rsidRPr="00E73D2F" w:rsidRDefault="00AD675A" w:rsidP="00246572">
      <w:pPr>
        <w:pStyle w:val="OutlineI"/>
      </w:pPr>
      <w:r w:rsidRPr="00E73D2F">
        <w:t>Overview of the Conceptual Framework</w:t>
      </w:r>
    </w:p>
    <w:p w14:paraId="1AF82A3A" w14:textId="77777777" w:rsidR="00AD675A" w:rsidRPr="00E73D2F" w:rsidRDefault="00AD675A" w:rsidP="00246572">
      <w:pPr>
        <w:pStyle w:val="OutlineA0"/>
      </w:pPr>
      <w:r w:rsidRPr="00E73D2F">
        <w:t>Conceptual Framework Components</w:t>
      </w:r>
    </w:p>
    <w:p w14:paraId="3D78A4AC" w14:textId="0D2BED97" w:rsidR="00AD675A" w:rsidRPr="00E73D2F" w:rsidRDefault="00A0041D" w:rsidP="00246572">
      <w:pPr>
        <w:pStyle w:val="Outline1"/>
      </w:pPr>
      <w:r>
        <w:rPr>
          <w:i/>
        </w:rPr>
        <w:t xml:space="preserve">See </w:t>
      </w:r>
      <w:r w:rsidR="00AD675A" w:rsidRPr="00E73D2F">
        <w:rPr>
          <w:i/>
        </w:rPr>
        <w:t>Exhibit 2.1:</w:t>
      </w:r>
      <w:r w:rsidR="00AD675A" w:rsidRPr="00E73D2F">
        <w:t xml:space="preserve"> </w:t>
      </w:r>
      <w:r w:rsidRPr="00E73D2F">
        <w:t xml:space="preserve">The </w:t>
      </w:r>
      <w:r w:rsidR="00AD675A" w:rsidRPr="00E73D2F">
        <w:t>framework’s role in standard setting</w:t>
      </w:r>
    </w:p>
    <w:p w14:paraId="58523DC3" w14:textId="7F099BE6" w:rsidR="00AD675A" w:rsidRPr="00E73D2F" w:rsidRDefault="00A0041D" w:rsidP="00206605">
      <w:pPr>
        <w:pStyle w:val="Outline1"/>
      </w:pPr>
      <w:r>
        <w:rPr>
          <w:i/>
        </w:rPr>
        <w:t xml:space="preserve">See </w:t>
      </w:r>
      <w:r w:rsidR="00633B67" w:rsidRPr="00E73D2F">
        <w:rPr>
          <w:i/>
        </w:rPr>
        <w:t>Ex</w:t>
      </w:r>
      <w:r w:rsidR="0094733F" w:rsidRPr="00E73D2F">
        <w:rPr>
          <w:i/>
        </w:rPr>
        <w:t xml:space="preserve">hibit </w:t>
      </w:r>
      <w:r w:rsidR="00633B67" w:rsidRPr="00E73D2F">
        <w:rPr>
          <w:i/>
        </w:rPr>
        <w:t>2.2</w:t>
      </w:r>
      <w:r w:rsidR="00206605" w:rsidRPr="00E73D2F">
        <w:rPr>
          <w:i/>
        </w:rPr>
        <w:t>:</w:t>
      </w:r>
      <w:r w:rsidR="00206605" w:rsidRPr="00E73D2F">
        <w:t xml:space="preserve"> </w:t>
      </w:r>
      <w:r w:rsidRPr="00E73D2F">
        <w:t xml:space="preserve">Revisions </w:t>
      </w:r>
      <w:r w:rsidR="00206605" w:rsidRPr="00E73D2F">
        <w:t>to the conceptual framework</w:t>
      </w:r>
      <w:r w:rsidR="003247A9" w:rsidRPr="00E73D2F">
        <w:t>, which includes</w:t>
      </w:r>
      <w:r w:rsidR="00206605" w:rsidRPr="00E73D2F">
        <w:t xml:space="preserve"> six topics</w:t>
      </w:r>
    </w:p>
    <w:p w14:paraId="72B4E1A6" w14:textId="01C3F589" w:rsidR="00206605" w:rsidRPr="00E73D2F" w:rsidRDefault="001922BE" w:rsidP="00206605">
      <w:pPr>
        <w:pStyle w:val="Outline1"/>
      </w:pPr>
      <w:r>
        <w:rPr>
          <w:i/>
        </w:rPr>
        <w:lastRenderedPageBreak/>
        <w:t xml:space="preserve">See </w:t>
      </w:r>
      <w:r w:rsidR="00206605" w:rsidRPr="00E73D2F">
        <w:rPr>
          <w:i/>
        </w:rPr>
        <w:t>Exhibit 2.3:</w:t>
      </w:r>
      <w:r w:rsidR="00206605" w:rsidRPr="00E73D2F">
        <w:t xml:space="preserve"> </w:t>
      </w:r>
      <w:r w:rsidRPr="00E73D2F">
        <w:t xml:space="preserve">An </w:t>
      </w:r>
      <w:r w:rsidR="00A5683F" w:rsidRPr="00E73D2F">
        <w:t>o</w:t>
      </w:r>
      <w:r w:rsidR="00206605" w:rsidRPr="00E73D2F">
        <w:t xml:space="preserve">verview of </w:t>
      </w:r>
      <w:r w:rsidR="00DD7E73" w:rsidRPr="00E73D2F">
        <w:t xml:space="preserve">the </w:t>
      </w:r>
      <w:r w:rsidR="00206605" w:rsidRPr="00E73D2F">
        <w:t>current financial framework</w:t>
      </w:r>
    </w:p>
    <w:p w14:paraId="73CC27B4" w14:textId="36C2D282" w:rsidR="00E764AA" w:rsidRPr="00A9458F" w:rsidRDefault="00E764AA" w:rsidP="00E764AA">
      <w:pPr>
        <w:pStyle w:val="2head"/>
        <w:rPr>
          <w:color w:val="385623" w:themeColor="accent6" w:themeShade="80"/>
        </w:rPr>
      </w:pPr>
      <w:r w:rsidRPr="00A9458F">
        <w:rPr>
          <w:color w:val="385623" w:themeColor="accent6" w:themeShade="80"/>
        </w:rPr>
        <w:t>IFRS Breakaway</w:t>
      </w:r>
    </w:p>
    <w:p w14:paraId="4FA1ACE8" w14:textId="3EDDAC1B" w:rsidR="00206605" w:rsidRPr="00A9458F" w:rsidRDefault="00206605" w:rsidP="00206605">
      <w:pPr>
        <w:pStyle w:val="OutlineA0"/>
        <w:rPr>
          <w:color w:val="385623" w:themeColor="accent6" w:themeShade="80"/>
        </w:rPr>
      </w:pPr>
      <w:r w:rsidRPr="00A9458F">
        <w:rPr>
          <w:color w:val="385623" w:themeColor="accent6" w:themeShade="80"/>
        </w:rPr>
        <w:t>Conceptual Framework:</w:t>
      </w:r>
      <w:r w:rsidR="00E472BF" w:rsidRPr="00A9458F">
        <w:rPr>
          <w:color w:val="385623" w:themeColor="accent6" w:themeShade="80"/>
        </w:rPr>
        <w:t xml:space="preserve"> </w:t>
      </w:r>
      <w:r w:rsidRPr="00A9458F">
        <w:rPr>
          <w:color w:val="385623" w:themeColor="accent6" w:themeShade="80"/>
        </w:rPr>
        <w:t>Although qualitative characteristics are identical between U.S. GAAP and IFRS, they differ in many other areas.</w:t>
      </w:r>
      <w:r w:rsidR="008277CD" w:rsidRPr="00A9458F">
        <w:rPr>
          <w:color w:val="385623" w:themeColor="accent6" w:themeShade="80"/>
        </w:rPr>
        <w:t xml:space="preserve"> </w:t>
      </w:r>
      <w:r w:rsidRPr="00A9458F">
        <w:rPr>
          <w:color w:val="385623" w:themeColor="accent6" w:themeShade="80"/>
        </w:rPr>
        <w:t>IFRS is also in the process of revising its framework.</w:t>
      </w:r>
    </w:p>
    <w:p w14:paraId="4E960744" w14:textId="59205043" w:rsidR="00AD675A" w:rsidRPr="00E73D2F" w:rsidRDefault="00AD675A" w:rsidP="00246572">
      <w:pPr>
        <w:pStyle w:val="2head"/>
      </w:pPr>
      <w:r w:rsidRPr="00E73D2F">
        <w:t xml:space="preserve">Learning </w:t>
      </w:r>
      <w:r w:rsidR="00933AA9" w:rsidRPr="00E73D2F">
        <w:t>Objective</w:t>
      </w:r>
      <w:r w:rsidRPr="00E73D2F">
        <w:t xml:space="preserve"> 2: The Objective of Financial Reporting</w:t>
      </w:r>
    </w:p>
    <w:p w14:paraId="6D8D6BA6" w14:textId="6DC03B03" w:rsidR="008277CD" w:rsidRPr="00E73D2F" w:rsidRDefault="003F1F2A" w:rsidP="00F52079">
      <w:pPr>
        <w:pStyle w:val="OutlineI"/>
        <w:numPr>
          <w:ilvl w:val="0"/>
          <w:numId w:val="8"/>
        </w:numPr>
        <w:ind w:left="360" w:hanging="360"/>
      </w:pPr>
      <w:r w:rsidRPr="00E73D2F">
        <w:t xml:space="preserve">The objective </w:t>
      </w:r>
      <w:r w:rsidR="00AD675A" w:rsidRPr="00E73D2F">
        <w:t xml:space="preserve">of </w:t>
      </w:r>
      <w:r w:rsidRPr="00E73D2F">
        <w:t xml:space="preserve">financial reporting </w:t>
      </w:r>
      <w:r w:rsidR="00AD675A" w:rsidRPr="00E73D2F">
        <w:t>is to provide relevant, useful information to stakeholders</w:t>
      </w:r>
      <w:r w:rsidR="00A537A5" w:rsidRPr="00E73D2F">
        <w:t>.</w:t>
      </w:r>
      <w:r w:rsidR="00E472BF" w:rsidRPr="00E73D2F">
        <w:t xml:space="preserve"> Primary users of financial information are investors, lenders, and other creditors.</w:t>
      </w:r>
    </w:p>
    <w:p w14:paraId="54F3D83F" w14:textId="0AB1A2FB" w:rsidR="00AD675A" w:rsidRPr="00E73D2F" w:rsidRDefault="00AD675A" w:rsidP="00246572">
      <w:pPr>
        <w:pStyle w:val="2head"/>
      </w:pPr>
      <w:r w:rsidRPr="00E73D2F">
        <w:t xml:space="preserve">Learning </w:t>
      </w:r>
      <w:r w:rsidR="00933AA9" w:rsidRPr="00E73D2F">
        <w:t>Objective</w:t>
      </w:r>
      <w:r w:rsidRPr="00E73D2F">
        <w:t xml:space="preserve"> 3: The Qualitative Characteristics of Financial Information</w:t>
      </w:r>
    </w:p>
    <w:p w14:paraId="29BBDD54" w14:textId="270A7828" w:rsidR="00AD675A" w:rsidRPr="00E73D2F" w:rsidRDefault="00AD675A" w:rsidP="00F52079">
      <w:pPr>
        <w:pStyle w:val="OutlineI"/>
        <w:numPr>
          <w:ilvl w:val="0"/>
          <w:numId w:val="9"/>
        </w:numPr>
        <w:ind w:left="360" w:hanging="360"/>
      </w:pPr>
      <w:r w:rsidRPr="00E73D2F">
        <w:t>The conceptual framework divides the qualitative characteristics into</w:t>
      </w:r>
      <w:r w:rsidR="0056218B" w:rsidRPr="00E73D2F">
        <w:t>:</w:t>
      </w:r>
    </w:p>
    <w:p w14:paraId="27269D55" w14:textId="626DD697" w:rsidR="00AD675A" w:rsidRPr="00E73D2F" w:rsidRDefault="00AD675A" w:rsidP="00246572">
      <w:pPr>
        <w:pStyle w:val="BulletsI"/>
      </w:pPr>
      <w:r w:rsidRPr="00E73D2F">
        <w:t xml:space="preserve">Fundamental </w:t>
      </w:r>
      <w:r w:rsidR="00A537A5" w:rsidRPr="00E73D2F">
        <w:t>c</w:t>
      </w:r>
      <w:r w:rsidRPr="00E73D2F">
        <w:t>haracteristics</w:t>
      </w:r>
    </w:p>
    <w:p w14:paraId="54B557CE" w14:textId="77777777" w:rsidR="008277CD" w:rsidRPr="00E73D2F" w:rsidRDefault="00AD675A" w:rsidP="00246572">
      <w:pPr>
        <w:pStyle w:val="BulletsI"/>
      </w:pPr>
      <w:r w:rsidRPr="00E73D2F">
        <w:t xml:space="preserve">Enhancing </w:t>
      </w:r>
      <w:r w:rsidR="00A537A5" w:rsidRPr="00E73D2F">
        <w:t>c</w:t>
      </w:r>
      <w:r w:rsidRPr="00E73D2F">
        <w:t>haracteristics</w:t>
      </w:r>
    </w:p>
    <w:p w14:paraId="211A9138" w14:textId="5D74BE1C" w:rsidR="00AD675A" w:rsidRPr="00E73D2F" w:rsidRDefault="00AD675A" w:rsidP="00D32D9A">
      <w:pPr>
        <w:pStyle w:val="OutlineA0"/>
      </w:pPr>
      <w:r w:rsidRPr="00E73D2F">
        <w:t xml:space="preserve">Fundamental </w:t>
      </w:r>
      <w:r w:rsidR="0056218B" w:rsidRPr="00E73D2F">
        <w:t>Characteristics</w:t>
      </w:r>
      <w:r w:rsidR="00D32D9A" w:rsidRPr="00E73D2F">
        <w:t xml:space="preserve">: </w:t>
      </w:r>
      <w:r w:rsidR="0056218B" w:rsidRPr="00E73D2F">
        <w:t xml:space="preserve">Distinguish </w:t>
      </w:r>
      <w:r w:rsidR="00D32D9A" w:rsidRPr="00E73D2F">
        <w:t>useful information from that which is not useful</w:t>
      </w:r>
      <w:r w:rsidR="00D32D9A" w:rsidRPr="00E73D2F">
        <w:rPr>
          <w:i/>
        </w:rPr>
        <w:t>.</w:t>
      </w:r>
    </w:p>
    <w:p w14:paraId="1BF1DDB8" w14:textId="0E562968" w:rsidR="00D32D9A" w:rsidRPr="00E73D2F" w:rsidRDefault="00D32D9A" w:rsidP="00D32D9A">
      <w:pPr>
        <w:pStyle w:val="Outline1"/>
      </w:pPr>
      <w:r w:rsidRPr="00E73D2F">
        <w:t>Relevance: Capable of making a difference in a decision.</w:t>
      </w:r>
    </w:p>
    <w:p w14:paraId="1A7F45A3" w14:textId="31BF49FE" w:rsidR="00D32D9A" w:rsidRPr="00E73D2F" w:rsidRDefault="00D32D9A" w:rsidP="00006347">
      <w:pPr>
        <w:pStyle w:val="Outlinea"/>
      </w:pPr>
      <w:r w:rsidRPr="00E73D2F">
        <w:t>Predictive value: Helps for</w:t>
      </w:r>
      <w:r w:rsidR="0094733F" w:rsidRPr="00E73D2F">
        <w:t>e</w:t>
      </w:r>
      <w:r w:rsidRPr="00E73D2F">
        <w:t>cast future outcomes.</w:t>
      </w:r>
    </w:p>
    <w:p w14:paraId="382827CF" w14:textId="62AE1741" w:rsidR="00D32D9A" w:rsidRPr="00E73D2F" w:rsidRDefault="00D32D9A" w:rsidP="00006347">
      <w:pPr>
        <w:pStyle w:val="Outlinea"/>
      </w:pPr>
      <w:r w:rsidRPr="00E73D2F">
        <w:t>Confirmatory value: Provides feedback from prior evaluations.</w:t>
      </w:r>
    </w:p>
    <w:p w14:paraId="456D7494" w14:textId="4BBF05B5" w:rsidR="008277CD" w:rsidRPr="00E73D2F" w:rsidRDefault="00D32D9A" w:rsidP="00006347">
      <w:pPr>
        <w:pStyle w:val="Outlinea"/>
      </w:pPr>
      <w:r w:rsidRPr="00E73D2F">
        <w:t>Materiality: If reported inaccurately, would affect financial statement users’ decisions.</w:t>
      </w:r>
    </w:p>
    <w:p w14:paraId="270AB2A0" w14:textId="42C376C7" w:rsidR="00D32D9A" w:rsidRPr="00E73D2F" w:rsidRDefault="00D32D9A" w:rsidP="00D32D9A">
      <w:pPr>
        <w:pStyle w:val="Outline1"/>
      </w:pPr>
      <w:r w:rsidRPr="00E73D2F">
        <w:t xml:space="preserve">Faithful Representation: </w:t>
      </w:r>
      <w:r w:rsidR="0044191F" w:rsidRPr="00E73D2F">
        <w:rPr>
          <w:i/>
        </w:rPr>
        <w:t xml:space="preserve">See Exhibit 2.4. </w:t>
      </w:r>
      <w:r w:rsidRPr="00E73D2F">
        <w:t>Indicates whether financial information depicts the substance of an economic event in a manner that is:</w:t>
      </w:r>
    </w:p>
    <w:p w14:paraId="6C0D5DC6" w14:textId="178084D1" w:rsidR="00D32D9A" w:rsidRPr="00E73D2F" w:rsidRDefault="00D32D9A" w:rsidP="00F52079">
      <w:pPr>
        <w:pStyle w:val="Outlinea"/>
        <w:numPr>
          <w:ilvl w:val="0"/>
          <w:numId w:val="20"/>
        </w:numPr>
      </w:pPr>
      <w:r w:rsidRPr="00E73D2F">
        <w:t>Complete: Includes all information, both descriptions and explanations.</w:t>
      </w:r>
    </w:p>
    <w:p w14:paraId="33FC32C2" w14:textId="7A4ADC93" w:rsidR="00D32D9A" w:rsidRPr="00E73D2F" w:rsidRDefault="00D32D9A" w:rsidP="00006347">
      <w:pPr>
        <w:pStyle w:val="Outlinea"/>
      </w:pPr>
      <w:r w:rsidRPr="00E73D2F">
        <w:t xml:space="preserve">Neutral: </w:t>
      </w:r>
      <w:r w:rsidR="00F620E6" w:rsidRPr="00E73D2F">
        <w:t>Is f</w:t>
      </w:r>
      <w:r w:rsidRPr="00E73D2F">
        <w:t>ree from bias.</w:t>
      </w:r>
    </w:p>
    <w:p w14:paraId="328054B8" w14:textId="24FCDBDB" w:rsidR="00D32D9A" w:rsidRPr="00E73D2F" w:rsidRDefault="00D32D9A" w:rsidP="00006347">
      <w:pPr>
        <w:pStyle w:val="Outlinea"/>
      </w:pPr>
      <w:r w:rsidRPr="00E73D2F">
        <w:t xml:space="preserve">Free from error: </w:t>
      </w:r>
      <w:r w:rsidR="00F620E6" w:rsidRPr="00E73D2F">
        <w:t>Contains n</w:t>
      </w:r>
      <w:r w:rsidRPr="00E73D2F">
        <w:t>o mistakes or omissions</w:t>
      </w:r>
      <w:r w:rsidR="00D931B6" w:rsidRPr="00E73D2F">
        <w:t>.</w:t>
      </w:r>
    </w:p>
    <w:p w14:paraId="1341C68C" w14:textId="40E47397" w:rsidR="00AD675A" w:rsidRPr="00E73D2F" w:rsidRDefault="00AD675A" w:rsidP="00246572">
      <w:pPr>
        <w:pStyle w:val="OutlineA0"/>
      </w:pPr>
      <w:r w:rsidRPr="00E73D2F">
        <w:t xml:space="preserve">Enhancing </w:t>
      </w:r>
      <w:r w:rsidR="00F33F5B" w:rsidRPr="00E73D2F">
        <w:t>Characteristics</w:t>
      </w:r>
      <w:r w:rsidR="00C10904" w:rsidRPr="00E73D2F">
        <w:t>:</w:t>
      </w:r>
      <w:r w:rsidR="00F33F5B" w:rsidRPr="00E73D2F">
        <w:t xml:space="preserve"> </w:t>
      </w:r>
      <w:r w:rsidR="00C10904" w:rsidRPr="00E73D2F">
        <w:t>Comparability, verifiability, timeliness, and understandability</w:t>
      </w:r>
      <w:r w:rsidR="00C10904" w:rsidRPr="00E73D2F" w:rsidDel="00C10904">
        <w:t xml:space="preserve"> </w:t>
      </w:r>
      <w:r w:rsidR="00774755" w:rsidRPr="00E73D2F">
        <w:t>help distinguish more useful information from less useful information</w:t>
      </w:r>
      <w:r w:rsidR="00614015" w:rsidRPr="00E73D2F">
        <w:t>.</w:t>
      </w:r>
    </w:p>
    <w:p w14:paraId="7C6B77B7" w14:textId="173338B5" w:rsidR="00614015" w:rsidRPr="00E73D2F" w:rsidRDefault="0094733F" w:rsidP="00614015">
      <w:pPr>
        <w:pStyle w:val="Outline1"/>
      </w:pPr>
      <w:r w:rsidRPr="00E73D2F">
        <w:t>Comparability</w:t>
      </w:r>
      <w:r w:rsidR="00614015" w:rsidRPr="00E73D2F">
        <w:t>: Allows financial statement users to identi</w:t>
      </w:r>
      <w:r w:rsidR="00133B8A">
        <w:t>f</w:t>
      </w:r>
      <w:r w:rsidR="00614015" w:rsidRPr="00E73D2F">
        <w:t>y and understand similarities and differences among several entities.</w:t>
      </w:r>
    </w:p>
    <w:p w14:paraId="2337E97F" w14:textId="3DC070C6" w:rsidR="00614015" w:rsidRPr="00E73D2F" w:rsidRDefault="00614015" w:rsidP="00614015">
      <w:pPr>
        <w:pStyle w:val="Outline1"/>
      </w:pPr>
      <w:r w:rsidRPr="00E73D2F">
        <w:t>Verifiability: Allows a</w:t>
      </w:r>
      <w:r w:rsidR="0094733F" w:rsidRPr="00E73D2F">
        <w:t xml:space="preserve"> group of reasonably informed</w:t>
      </w:r>
      <w:r w:rsidRPr="00E73D2F">
        <w:t xml:space="preserve"> financial statement users to reach a consensus decision.</w:t>
      </w:r>
    </w:p>
    <w:p w14:paraId="0C76E42C" w14:textId="28FADAD2" w:rsidR="00614015" w:rsidRPr="00E73D2F" w:rsidRDefault="00614015" w:rsidP="00614015">
      <w:pPr>
        <w:pStyle w:val="Outline1"/>
      </w:pPr>
      <w:r w:rsidRPr="00E73D2F">
        <w:t>Timeliness: Available early enough to make a difference in decision making.</w:t>
      </w:r>
    </w:p>
    <w:p w14:paraId="3AA98028" w14:textId="69649F33" w:rsidR="00614015" w:rsidRPr="00E73D2F" w:rsidRDefault="00614015" w:rsidP="00614015">
      <w:pPr>
        <w:pStyle w:val="Outline1"/>
      </w:pPr>
      <w:r w:rsidRPr="00E73D2F">
        <w:t>U</w:t>
      </w:r>
      <w:r w:rsidRPr="00E73D2F">
        <w:rPr>
          <w:vanish/>
        </w:rPr>
        <w:t>n decision making.</w:t>
      </w:r>
      <w:r w:rsidRPr="00E73D2F">
        <w:rPr>
          <w:vanish/>
        </w:rPr>
        <w:cr/>
        <w:t xml:space="preserve"> make a difference s:</w:t>
      </w:r>
      <w:r w:rsidRPr="00E73D2F">
        <w:rPr>
          <w:vanish/>
        </w:rPr>
        <w:cr/>
        <w:t xml:space="preserve">n.ich is not us of revising </w:t>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Pr="00E73D2F">
        <w:rPr>
          <w:vanish/>
        </w:rPr>
        <w:pgNum/>
      </w:r>
      <w:r w:rsidR="0094733F" w:rsidRPr="00E73D2F">
        <w:t>nderstandability: Classify, characterize, an</w:t>
      </w:r>
      <w:r w:rsidR="00CA159E" w:rsidRPr="00E73D2F">
        <w:t>d</w:t>
      </w:r>
      <w:r w:rsidR="0094733F" w:rsidRPr="00E73D2F">
        <w:t xml:space="preserve"> clearly present all information.</w:t>
      </w:r>
      <w:r w:rsidR="0044191F" w:rsidRPr="00E73D2F">
        <w:rPr>
          <w:i/>
        </w:rPr>
        <w:t xml:space="preserve"> See Exhibit 2.5.</w:t>
      </w:r>
    </w:p>
    <w:p w14:paraId="5D6A9AFC" w14:textId="7568B1C3" w:rsidR="00AD675A" w:rsidRPr="00E73D2F" w:rsidRDefault="00AD675A" w:rsidP="00246572">
      <w:pPr>
        <w:pStyle w:val="OutlineA0"/>
      </w:pPr>
      <w:r w:rsidRPr="00E73D2F">
        <w:t>Cost Constraint</w:t>
      </w:r>
      <w:r w:rsidR="00710654" w:rsidRPr="00E73D2F">
        <w:t>: Standard setters should compare the cost of requiring information to the benefits derived from presenting the information.</w:t>
      </w:r>
    </w:p>
    <w:p w14:paraId="2BF973E7" w14:textId="77777777" w:rsidR="00987326" w:rsidRDefault="00987326">
      <w:pPr>
        <w:rPr>
          <w:rFonts w:ascii="Arial Narrow" w:hAnsi="Arial Narrow" w:cs="Times New Roman"/>
          <w:b/>
          <w:sz w:val="24"/>
          <w:szCs w:val="24"/>
        </w:rPr>
      </w:pPr>
      <w:r>
        <w:br w:type="page"/>
      </w:r>
    </w:p>
    <w:p w14:paraId="5DC8A33E" w14:textId="23132ADB" w:rsidR="00AD675A" w:rsidRPr="00E73D2F" w:rsidRDefault="00AD675A" w:rsidP="00246572">
      <w:pPr>
        <w:pStyle w:val="2head"/>
      </w:pPr>
      <w:r w:rsidRPr="00E73D2F">
        <w:t xml:space="preserve">Learning </w:t>
      </w:r>
      <w:r w:rsidR="00933AA9" w:rsidRPr="00E73D2F">
        <w:t>Objective</w:t>
      </w:r>
      <w:r w:rsidRPr="00E73D2F">
        <w:t xml:space="preserve"> 4: Elements of Financial Reporting</w:t>
      </w:r>
    </w:p>
    <w:p w14:paraId="752B585D" w14:textId="77777777" w:rsidR="00AD675A" w:rsidRPr="00E73D2F" w:rsidRDefault="00AD675A" w:rsidP="00F52079">
      <w:pPr>
        <w:pStyle w:val="OutlineI"/>
        <w:numPr>
          <w:ilvl w:val="0"/>
          <w:numId w:val="10"/>
        </w:numPr>
        <w:ind w:left="360" w:hanging="360"/>
      </w:pPr>
      <w:r w:rsidRPr="00E73D2F">
        <w:t>There are two elements of financial reporting: Point-in-time elements and period-of-time elements.</w:t>
      </w:r>
    </w:p>
    <w:p w14:paraId="1AE9D5A2" w14:textId="77777777" w:rsidR="00AD675A" w:rsidRPr="00E73D2F" w:rsidRDefault="00AD675A" w:rsidP="00246572">
      <w:pPr>
        <w:pStyle w:val="OutlineA0"/>
      </w:pPr>
      <w:r w:rsidRPr="00E73D2F">
        <w:t>Elements: U.S. GAAP</w:t>
      </w:r>
    </w:p>
    <w:p w14:paraId="17B56645" w14:textId="0B73ED4C" w:rsidR="00AD675A" w:rsidRPr="00E73D2F" w:rsidRDefault="00AD675A" w:rsidP="00230338">
      <w:pPr>
        <w:pStyle w:val="Outline1"/>
      </w:pPr>
      <w:r w:rsidRPr="00E73D2F">
        <w:t>Point-in-</w:t>
      </w:r>
      <w:r w:rsidR="00812E91" w:rsidRPr="00E73D2F">
        <w:t>Time Elem</w:t>
      </w:r>
      <w:r w:rsidRPr="00E73D2F">
        <w:t>ents</w:t>
      </w:r>
      <w:r w:rsidR="00812E91" w:rsidRPr="00E73D2F">
        <w:t>:</w:t>
      </w:r>
      <w:r w:rsidRPr="00E73D2F">
        <w:t xml:space="preserve"> </w:t>
      </w:r>
      <w:r w:rsidR="00812E91" w:rsidRPr="00E73D2F">
        <w:t xml:space="preserve">Represent </w:t>
      </w:r>
      <w:r w:rsidRPr="00E73D2F">
        <w:t>resources, claims to resources, or interests in resources for a specific point in time</w:t>
      </w:r>
      <w:r w:rsidR="00A07401" w:rsidRPr="00E73D2F">
        <w:t xml:space="preserve">. </w:t>
      </w:r>
      <w:r w:rsidR="00A07401" w:rsidRPr="00E73D2F">
        <w:rPr>
          <w:i/>
        </w:rPr>
        <w:t>See</w:t>
      </w:r>
      <w:r w:rsidR="00A07401" w:rsidRPr="00E73D2F">
        <w:t xml:space="preserve"> </w:t>
      </w:r>
      <w:r w:rsidR="00A07401" w:rsidRPr="00E73D2F">
        <w:rPr>
          <w:i/>
        </w:rPr>
        <w:t>Exhibit 2.6</w:t>
      </w:r>
      <w:r w:rsidR="00A07401" w:rsidRPr="00E73D2F">
        <w:t xml:space="preserve">. </w:t>
      </w:r>
      <w:r w:rsidR="00A07401" w:rsidRPr="00E73D2F">
        <w:rPr>
          <w:b/>
        </w:rPr>
        <w:t>E</w:t>
      </w:r>
      <w:r w:rsidRPr="00E73D2F">
        <w:rPr>
          <w:b/>
        </w:rPr>
        <w:t>xamples</w:t>
      </w:r>
      <w:r w:rsidR="00A07401" w:rsidRPr="00E73D2F">
        <w:rPr>
          <w:b/>
        </w:rPr>
        <w:t>:</w:t>
      </w:r>
      <w:r w:rsidRPr="00E73D2F">
        <w:t xml:space="preserve"> </w:t>
      </w:r>
      <w:r w:rsidR="00A07401" w:rsidRPr="00E73D2F">
        <w:t xml:space="preserve">Accounts </w:t>
      </w:r>
      <w:r w:rsidRPr="00E73D2F">
        <w:t xml:space="preserve">receivable </w:t>
      </w:r>
      <w:r w:rsidR="00A07401" w:rsidRPr="00E73D2F">
        <w:t xml:space="preserve">and </w:t>
      </w:r>
      <w:r w:rsidRPr="00E73D2F">
        <w:t>accounts payable</w:t>
      </w:r>
    </w:p>
    <w:p w14:paraId="0700108C" w14:textId="77777777" w:rsidR="008277CD" w:rsidRPr="00E73D2F" w:rsidRDefault="00CA159E" w:rsidP="00F52079">
      <w:pPr>
        <w:pStyle w:val="Outlinea"/>
        <w:numPr>
          <w:ilvl w:val="0"/>
          <w:numId w:val="19"/>
        </w:numPr>
      </w:pPr>
      <w:r w:rsidRPr="00E73D2F">
        <w:t xml:space="preserve">Assets: Probable future </w:t>
      </w:r>
      <w:r w:rsidR="00915CFC" w:rsidRPr="00E73D2F">
        <w:t xml:space="preserve">economic </w:t>
      </w:r>
      <w:r w:rsidRPr="00E73D2F">
        <w:t xml:space="preserve">benefits resulting from some past </w:t>
      </w:r>
      <w:r w:rsidR="00915CFC" w:rsidRPr="00E73D2F">
        <w:t>event.</w:t>
      </w:r>
    </w:p>
    <w:p w14:paraId="6EC4B4E8" w14:textId="77777777" w:rsidR="008277CD" w:rsidRPr="00E73D2F" w:rsidRDefault="00915CFC" w:rsidP="00230338">
      <w:pPr>
        <w:pStyle w:val="Outlinea"/>
      </w:pPr>
      <w:r w:rsidRPr="00E73D2F">
        <w:t>Liabilities: Probable future sacrifices of economic benefits arising from present obligations.</w:t>
      </w:r>
    </w:p>
    <w:p w14:paraId="0D7CEA87" w14:textId="2F7249B6" w:rsidR="008277CD" w:rsidRPr="00E73D2F" w:rsidRDefault="00915CFC" w:rsidP="00230338">
      <w:pPr>
        <w:pStyle w:val="Outlinea"/>
      </w:pPr>
      <w:r w:rsidRPr="00E73D2F">
        <w:t xml:space="preserve">Equity: </w:t>
      </w:r>
      <w:r w:rsidR="009445E4" w:rsidRPr="00E73D2F">
        <w:t>Net assets, the d</w:t>
      </w:r>
      <w:r w:rsidRPr="00E73D2F">
        <w:t>ifference between assets and liabilities.</w:t>
      </w:r>
    </w:p>
    <w:p w14:paraId="2521244F" w14:textId="3F7C3427" w:rsidR="00AD675A" w:rsidRPr="00E73D2F" w:rsidRDefault="00AD675A" w:rsidP="00230338">
      <w:pPr>
        <w:pStyle w:val="Outline1"/>
      </w:pPr>
      <w:r w:rsidRPr="00E73D2F">
        <w:t>Period-of-</w:t>
      </w:r>
      <w:r w:rsidR="00812E91" w:rsidRPr="00E73D2F">
        <w:t>Time Elem</w:t>
      </w:r>
      <w:r w:rsidRPr="00E73D2F">
        <w:t>ents</w:t>
      </w:r>
      <w:r w:rsidR="00812E91" w:rsidRPr="00E73D2F">
        <w:t>:</w:t>
      </w:r>
      <w:r w:rsidRPr="00E73D2F">
        <w:t xml:space="preserve"> </w:t>
      </w:r>
      <w:r w:rsidR="00812E91" w:rsidRPr="00E73D2F">
        <w:t>C</w:t>
      </w:r>
      <w:r w:rsidRPr="00E73D2F">
        <w:t>hange point</w:t>
      </w:r>
      <w:r w:rsidR="00722469" w:rsidRPr="00E73D2F">
        <w:t>-</w:t>
      </w:r>
      <w:r w:rsidRPr="00E73D2F">
        <w:t>in</w:t>
      </w:r>
      <w:r w:rsidR="00722469" w:rsidRPr="00E73D2F">
        <w:t>-</w:t>
      </w:r>
      <w:r w:rsidRPr="00E73D2F">
        <w:t>time elements, as they represent events that occur between two balance sheet dates.</w:t>
      </w:r>
      <w:r w:rsidR="008277CD" w:rsidRPr="00E73D2F">
        <w:t xml:space="preserve"> </w:t>
      </w:r>
      <w:r w:rsidRPr="00E73D2F">
        <w:t>Elements include, but are not limited to</w:t>
      </w:r>
      <w:r w:rsidR="00A537A5" w:rsidRPr="00E73D2F">
        <w:t>,</w:t>
      </w:r>
      <w:r w:rsidRPr="00E73D2F">
        <w:t xml:space="preserve"> investments by owners, distribution to owners, revenue</w:t>
      </w:r>
      <w:r w:rsidR="00A537A5" w:rsidRPr="00E73D2F">
        <w:t>,</w:t>
      </w:r>
      <w:r w:rsidRPr="00E73D2F">
        <w:t xml:space="preserve"> and gains. </w:t>
      </w:r>
      <w:r w:rsidR="002C3492" w:rsidRPr="00E73D2F">
        <w:rPr>
          <w:i/>
        </w:rPr>
        <w:t>See</w:t>
      </w:r>
      <w:r w:rsidRPr="00E73D2F">
        <w:t xml:space="preserve"> </w:t>
      </w:r>
      <w:r w:rsidRPr="00E73D2F">
        <w:rPr>
          <w:i/>
        </w:rPr>
        <w:t>Exhibit 2.7</w:t>
      </w:r>
      <w:r w:rsidRPr="00E73D2F">
        <w:t>.</w:t>
      </w:r>
      <w:r w:rsidR="000D55C2" w:rsidRPr="00E73D2F">
        <w:t xml:space="preserve"> </w:t>
      </w:r>
      <w:r w:rsidR="000D55C2" w:rsidRPr="00E73D2F">
        <w:rPr>
          <w:b/>
        </w:rPr>
        <w:t xml:space="preserve">Examples: </w:t>
      </w:r>
      <w:r w:rsidR="000D55C2" w:rsidRPr="00E73D2F">
        <w:t>Sales revenue, depreciation expense, and dividends declared</w:t>
      </w:r>
    </w:p>
    <w:p w14:paraId="6743234C" w14:textId="77777777" w:rsidR="00FA0ED1" w:rsidRPr="00E73D2F" w:rsidRDefault="00FA0ED1" w:rsidP="00FA0ED1">
      <w:pPr>
        <w:pStyle w:val="2head"/>
        <w:rPr>
          <w:color w:val="385623" w:themeColor="accent6" w:themeShade="80"/>
        </w:rPr>
      </w:pPr>
      <w:r w:rsidRPr="00E73D2F">
        <w:rPr>
          <w:color w:val="385623" w:themeColor="accent6" w:themeShade="80"/>
        </w:rPr>
        <w:t>IFRS Breakaway</w:t>
      </w:r>
    </w:p>
    <w:p w14:paraId="037AA9DE" w14:textId="5FED8C1B" w:rsidR="00AD675A" w:rsidRPr="00E73D2F" w:rsidRDefault="00AD675A" w:rsidP="00246572">
      <w:pPr>
        <w:pStyle w:val="OutlineA0"/>
        <w:rPr>
          <w:color w:val="385623" w:themeColor="accent6" w:themeShade="80"/>
        </w:rPr>
      </w:pPr>
      <w:r w:rsidRPr="00E73D2F">
        <w:rPr>
          <w:color w:val="385623" w:themeColor="accent6" w:themeShade="80"/>
        </w:rPr>
        <w:t>Elements</w:t>
      </w:r>
    </w:p>
    <w:p w14:paraId="51D2E276" w14:textId="057F12D2" w:rsidR="00A95CE7" w:rsidRPr="00E73D2F" w:rsidRDefault="00A95CE7" w:rsidP="00A95CE7">
      <w:pPr>
        <w:pStyle w:val="Outline1"/>
        <w:rPr>
          <w:color w:val="385623" w:themeColor="accent6" w:themeShade="80"/>
        </w:rPr>
      </w:pPr>
      <w:r w:rsidRPr="00E73D2F">
        <w:rPr>
          <w:color w:val="385623" w:themeColor="accent6" w:themeShade="80"/>
        </w:rPr>
        <w:t>Point-in-Time Elements</w:t>
      </w:r>
      <w:r w:rsidR="00275D70" w:rsidRPr="00E73D2F">
        <w:rPr>
          <w:color w:val="385623" w:themeColor="accent6" w:themeShade="80"/>
        </w:rPr>
        <w:t>: IFRS identifies the same three point-in-time elements as U.S. GAAP: assets, liabilities, and equity.</w:t>
      </w:r>
    </w:p>
    <w:p w14:paraId="2F5D7E27" w14:textId="4BE57327" w:rsidR="00AD675A" w:rsidRPr="00E73D2F" w:rsidRDefault="00275D70" w:rsidP="00134A9A">
      <w:pPr>
        <w:pStyle w:val="Outline1"/>
        <w:rPr>
          <w:color w:val="385623" w:themeColor="accent6" w:themeShade="80"/>
        </w:rPr>
      </w:pPr>
      <w:r w:rsidRPr="00E73D2F">
        <w:rPr>
          <w:color w:val="385623" w:themeColor="accent6" w:themeShade="80"/>
        </w:rPr>
        <w:t xml:space="preserve">Period-of-Time Elements: </w:t>
      </w:r>
      <w:r w:rsidR="00AD675A" w:rsidRPr="00E73D2F">
        <w:rPr>
          <w:i/>
          <w:color w:val="385623" w:themeColor="accent6" w:themeShade="80"/>
        </w:rPr>
        <w:t>See</w:t>
      </w:r>
      <w:r w:rsidR="00AD675A" w:rsidRPr="00E73D2F">
        <w:rPr>
          <w:color w:val="385623" w:themeColor="accent6" w:themeShade="80"/>
        </w:rPr>
        <w:t xml:space="preserve"> </w:t>
      </w:r>
      <w:r w:rsidR="00AD675A" w:rsidRPr="00E73D2F">
        <w:rPr>
          <w:i/>
          <w:color w:val="385623" w:themeColor="accent6" w:themeShade="80"/>
        </w:rPr>
        <w:t>Exhibit 2.8</w:t>
      </w:r>
      <w:r w:rsidR="00A95CE7" w:rsidRPr="00E73D2F">
        <w:rPr>
          <w:color w:val="385623" w:themeColor="accent6" w:themeShade="80"/>
        </w:rPr>
        <w:t xml:space="preserve">. </w:t>
      </w:r>
      <w:r w:rsidR="00AD675A" w:rsidRPr="00E73D2F">
        <w:rPr>
          <w:color w:val="385623" w:themeColor="accent6" w:themeShade="80"/>
        </w:rPr>
        <w:t xml:space="preserve">Capital maintenance </w:t>
      </w:r>
      <w:r w:rsidR="00774755" w:rsidRPr="00E73D2F">
        <w:rPr>
          <w:color w:val="385623" w:themeColor="accent6" w:themeShade="80"/>
        </w:rPr>
        <w:t xml:space="preserve">adjustments are </w:t>
      </w:r>
      <w:r w:rsidR="00AD675A" w:rsidRPr="00E73D2F">
        <w:rPr>
          <w:color w:val="385623" w:themeColor="accent6" w:themeShade="80"/>
        </w:rPr>
        <w:t>handled differently between U.S. GAAP and IFRS. IFRS reports changes in equity and comprehensive income substantially differently from U.S. GAAP. These differences stem from IFRS’ restatements and revaluations of reported assets and liabilities.</w:t>
      </w:r>
    </w:p>
    <w:p w14:paraId="7EBB4EEA" w14:textId="3C7F7244" w:rsidR="008277CD" w:rsidRPr="00E73D2F" w:rsidRDefault="00AD675A" w:rsidP="00246572">
      <w:pPr>
        <w:pStyle w:val="2head"/>
      </w:pPr>
      <w:r w:rsidRPr="00E73D2F">
        <w:t xml:space="preserve">Learning </w:t>
      </w:r>
      <w:r w:rsidR="00933AA9" w:rsidRPr="00E73D2F">
        <w:t>Objective</w:t>
      </w:r>
      <w:r w:rsidRPr="00E73D2F">
        <w:t xml:space="preserve"> 5: Principles of Recognition and Measurement</w:t>
      </w:r>
    </w:p>
    <w:p w14:paraId="6B36C9FF" w14:textId="4ACA3E82" w:rsidR="00AD675A" w:rsidRPr="00E73D2F" w:rsidRDefault="00B52DC4" w:rsidP="00F52079">
      <w:pPr>
        <w:pStyle w:val="OutlineI"/>
        <w:numPr>
          <w:ilvl w:val="0"/>
          <w:numId w:val="11"/>
        </w:numPr>
        <w:ind w:left="360" w:hanging="360"/>
      </w:pPr>
      <w:r w:rsidRPr="00E73D2F">
        <w:t>T</w:t>
      </w:r>
      <w:r w:rsidR="00AD675A" w:rsidRPr="00E73D2F">
        <w:t>hree principles underl</w:t>
      </w:r>
      <w:r w:rsidR="0013130D" w:rsidRPr="00E73D2F">
        <w:t>ie</w:t>
      </w:r>
      <w:r w:rsidR="00AD675A" w:rsidRPr="00E73D2F">
        <w:t xml:space="preserve"> accrual accounting:</w:t>
      </w:r>
    </w:p>
    <w:p w14:paraId="2FF03612" w14:textId="4AADB45F" w:rsidR="00AD675A" w:rsidRPr="00E73D2F" w:rsidRDefault="00AD675A" w:rsidP="00246572">
      <w:pPr>
        <w:pStyle w:val="BulletsI"/>
      </w:pPr>
      <w:r w:rsidRPr="00E73D2F">
        <w:t xml:space="preserve">General </w:t>
      </w:r>
      <w:r w:rsidR="009847C7" w:rsidRPr="00E73D2F">
        <w:t>r</w:t>
      </w:r>
      <w:r w:rsidRPr="00E73D2F">
        <w:t>ecognition</w:t>
      </w:r>
    </w:p>
    <w:p w14:paraId="2D5722BD" w14:textId="274A3D8B" w:rsidR="00AD675A" w:rsidRPr="00E73D2F" w:rsidRDefault="00AD675A" w:rsidP="00246572">
      <w:pPr>
        <w:pStyle w:val="BulletsI"/>
      </w:pPr>
      <w:r w:rsidRPr="00E73D2F">
        <w:t xml:space="preserve">Revenue and </w:t>
      </w:r>
      <w:r w:rsidR="009847C7" w:rsidRPr="00E73D2F">
        <w:t>e</w:t>
      </w:r>
      <w:r w:rsidRPr="00E73D2F">
        <w:t xml:space="preserve">xpense </w:t>
      </w:r>
      <w:r w:rsidR="009847C7" w:rsidRPr="00E73D2F">
        <w:t>r</w:t>
      </w:r>
      <w:r w:rsidRPr="00E73D2F">
        <w:t>ecognition</w:t>
      </w:r>
    </w:p>
    <w:p w14:paraId="17E88943" w14:textId="77777777" w:rsidR="008277CD" w:rsidRPr="00E73D2F" w:rsidRDefault="00AD675A" w:rsidP="00246572">
      <w:pPr>
        <w:pStyle w:val="BulletsI"/>
      </w:pPr>
      <w:r w:rsidRPr="00E73D2F">
        <w:t xml:space="preserve">Bases of </w:t>
      </w:r>
      <w:r w:rsidR="009847C7" w:rsidRPr="00E73D2F">
        <w:t>m</w:t>
      </w:r>
      <w:r w:rsidRPr="00E73D2F">
        <w:t>easurement</w:t>
      </w:r>
    </w:p>
    <w:p w14:paraId="5CDF3F2F" w14:textId="72CF5B25" w:rsidR="00AD675A" w:rsidRPr="00E73D2F" w:rsidRDefault="00AD675A" w:rsidP="00246572">
      <w:pPr>
        <w:pStyle w:val="OutlineA0"/>
      </w:pPr>
      <w:r w:rsidRPr="00E73D2F">
        <w:t>General Recognition Principles</w:t>
      </w:r>
    </w:p>
    <w:p w14:paraId="7B87E2D0" w14:textId="4BCCD572" w:rsidR="00AD675A" w:rsidRPr="00E73D2F" w:rsidRDefault="00AD675A" w:rsidP="00246572">
      <w:pPr>
        <w:pStyle w:val="Outline1"/>
      </w:pPr>
      <w:r w:rsidRPr="00E73D2F">
        <w:t>Recognition is a multifaceted process that includes four criteria</w:t>
      </w:r>
      <w:r w:rsidR="004D062A" w:rsidRPr="00E73D2F">
        <w:t xml:space="preserve"> that consider the cost-benefit constraint and the materiality threshold</w:t>
      </w:r>
      <w:r w:rsidRPr="00E73D2F">
        <w:t>:</w:t>
      </w:r>
    </w:p>
    <w:p w14:paraId="27153642" w14:textId="4404AD33" w:rsidR="00AD675A" w:rsidRPr="00E73D2F" w:rsidRDefault="00AD675A" w:rsidP="00F52079">
      <w:pPr>
        <w:pStyle w:val="Outlinea"/>
        <w:numPr>
          <w:ilvl w:val="0"/>
          <w:numId w:val="21"/>
        </w:numPr>
      </w:pPr>
      <w:r w:rsidRPr="00E73D2F">
        <w:t>The item meets the definition of one of the elements of the financial statements</w:t>
      </w:r>
      <w:r w:rsidR="009847C7" w:rsidRPr="00E73D2F">
        <w:t>.</w:t>
      </w:r>
    </w:p>
    <w:p w14:paraId="73CF3CA5" w14:textId="0C25568D" w:rsidR="00AD675A" w:rsidRPr="00E73D2F" w:rsidRDefault="00AD675A" w:rsidP="00246572">
      <w:pPr>
        <w:pStyle w:val="Outlinea"/>
      </w:pPr>
      <w:r w:rsidRPr="00E73D2F">
        <w:t xml:space="preserve">The item is measurable </w:t>
      </w:r>
      <w:r w:rsidR="003A40AA" w:rsidRPr="00E73D2F">
        <w:t>(</w:t>
      </w:r>
      <w:r w:rsidRPr="00E73D2F">
        <w:t>i.e.</w:t>
      </w:r>
      <w:r w:rsidR="003A40AA" w:rsidRPr="00E73D2F">
        <w:t>,</w:t>
      </w:r>
      <w:r w:rsidRPr="00E73D2F">
        <w:t xml:space="preserve"> reliably estimating an amount is important</w:t>
      </w:r>
      <w:r w:rsidR="003A40AA" w:rsidRPr="00E73D2F">
        <w:t>)</w:t>
      </w:r>
      <w:r w:rsidR="009847C7" w:rsidRPr="00E73D2F">
        <w:t>.</w:t>
      </w:r>
    </w:p>
    <w:p w14:paraId="70566865" w14:textId="5A57D45F" w:rsidR="00AD675A" w:rsidRPr="00E73D2F" w:rsidRDefault="00AD675A" w:rsidP="00246572">
      <w:pPr>
        <w:pStyle w:val="Outlinea"/>
      </w:pPr>
      <w:r w:rsidRPr="00E73D2F">
        <w:t xml:space="preserve">The item must be reliable, </w:t>
      </w:r>
      <w:r w:rsidR="009F1C97" w:rsidRPr="00E73D2F">
        <w:t xml:space="preserve">which is </w:t>
      </w:r>
      <w:r w:rsidRPr="00E73D2F">
        <w:t>similar to faithful representation</w:t>
      </w:r>
      <w:r w:rsidR="009847C7" w:rsidRPr="00E73D2F">
        <w:t>.</w:t>
      </w:r>
    </w:p>
    <w:p w14:paraId="3DEFDE75" w14:textId="3AC78D2E" w:rsidR="00AD675A" w:rsidRPr="00E73D2F" w:rsidRDefault="00AD675A" w:rsidP="00246572">
      <w:pPr>
        <w:pStyle w:val="Outlinea"/>
      </w:pPr>
      <w:r w:rsidRPr="00E73D2F">
        <w:t>The item is relevant</w:t>
      </w:r>
      <w:r w:rsidR="009F1C97" w:rsidRPr="00E73D2F">
        <w:t>,</w:t>
      </w:r>
      <w:r w:rsidRPr="00E73D2F">
        <w:t xml:space="preserve"> which allows financial statement users to make rational economic decisions</w:t>
      </w:r>
      <w:r w:rsidR="009847C7" w:rsidRPr="00E73D2F">
        <w:t>.</w:t>
      </w:r>
    </w:p>
    <w:p w14:paraId="3635FA68" w14:textId="0F76146D" w:rsidR="00AD675A" w:rsidRPr="00E73D2F" w:rsidRDefault="00AD675A" w:rsidP="00246572">
      <w:pPr>
        <w:pStyle w:val="OutlineA0"/>
      </w:pPr>
      <w:r w:rsidRPr="00E73D2F">
        <w:t xml:space="preserve">Revenue </w:t>
      </w:r>
      <w:r w:rsidR="00094B51" w:rsidRPr="00E73D2F">
        <w:t xml:space="preserve">and Expense </w:t>
      </w:r>
      <w:r w:rsidRPr="00E73D2F">
        <w:t>Recognition</w:t>
      </w:r>
    </w:p>
    <w:p w14:paraId="334C769F" w14:textId="78026A6B" w:rsidR="003B3B5C" w:rsidRPr="00E73D2F" w:rsidRDefault="003B3B5C" w:rsidP="00246572">
      <w:pPr>
        <w:pStyle w:val="Outline1"/>
      </w:pPr>
      <w:r w:rsidRPr="00E73D2F">
        <w:t>Revenue recognition principle:</w:t>
      </w:r>
    </w:p>
    <w:p w14:paraId="355BB54D" w14:textId="3FFA4BBA" w:rsidR="004D062A" w:rsidRPr="00E73D2F" w:rsidRDefault="00AD675A" w:rsidP="003B3B5C">
      <w:pPr>
        <w:pStyle w:val="Outlinea"/>
      </w:pPr>
      <w:r w:rsidRPr="00E73D2F">
        <w:t>Realized or realizable</w:t>
      </w:r>
      <w:r w:rsidR="004D062A" w:rsidRPr="00E73D2F">
        <w:t>: Exchanges goods or services for cash.</w:t>
      </w:r>
    </w:p>
    <w:p w14:paraId="5938F628" w14:textId="77777777" w:rsidR="00483A29" w:rsidRPr="00E73D2F" w:rsidRDefault="004D062A" w:rsidP="003B3B5C">
      <w:pPr>
        <w:pStyle w:val="Outlinea"/>
      </w:pPr>
      <w:r w:rsidRPr="00E73D2F">
        <w:t xml:space="preserve">Earned: Seller has accomplished </w:t>
      </w:r>
      <w:r w:rsidR="00483A29" w:rsidRPr="00E73D2F">
        <w:t>what it must do for revenue to be considered earned.</w:t>
      </w:r>
    </w:p>
    <w:p w14:paraId="4EAE72C5" w14:textId="0037E5E8" w:rsidR="00483A29" w:rsidRPr="00E73D2F" w:rsidRDefault="00483A29" w:rsidP="003B3B5C">
      <w:pPr>
        <w:pStyle w:val="Outline1"/>
      </w:pPr>
      <w:r w:rsidRPr="00E73D2F">
        <w:t xml:space="preserve">Expense </w:t>
      </w:r>
      <w:r w:rsidR="003B3B5C" w:rsidRPr="00E73D2F">
        <w:t>recognition principles</w:t>
      </w:r>
      <w:r w:rsidRPr="00E73D2F">
        <w:t xml:space="preserve">: </w:t>
      </w:r>
      <w:r w:rsidRPr="00E73D2F">
        <w:rPr>
          <w:i/>
        </w:rPr>
        <w:t>See Exhibit 2.9.</w:t>
      </w:r>
      <w:r w:rsidR="002B2E46" w:rsidRPr="00E73D2F">
        <w:t xml:space="preserve"> There are three approaches to determine when to report an expense:</w:t>
      </w:r>
    </w:p>
    <w:p w14:paraId="4BB264C2" w14:textId="77777777" w:rsidR="002B2E46" w:rsidRPr="00E73D2F" w:rsidRDefault="002B2E46" w:rsidP="00CB1AF7">
      <w:pPr>
        <w:pStyle w:val="Bulleta0"/>
      </w:pPr>
      <w:r w:rsidRPr="00E73D2F">
        <w:t>Match with revenues.</w:t>
      </w:r>
    </w:p>
    <w:p w14:paraId="15D04EB4" w14:textId="77777777" w:rsidR="002B2E46" w:rsidRPr="00E73D2F" w:rsidRDefault="002B2E46" w:rsidP="00CB1AF7">
      <w:pPr>
        <w:pStyle w:val="Bulleta0"/>
      </w:pPr>
      <w:r w:rsidRPr="00E73D2F">
        <w:t>Expense in period incurred.</w:t>
      </w:r>
    </w:p>
    <w:p w14:paraId="73681C44" w14:textId="77777777" w:rsidR="002B2E46" w:rsidRPr="00E73D2F" w:rsidRDefault="002B2E46" w:rsidP="00CB1AF7">
      <w:pPr>
        <w:pStyle w:val="Bulleta0"/>
      </w:pPr>
      <w:r w:rsidRPr="00E73D2F">
        <w:t>Systematically over periods of use.</w:t>
      </w:r>
    </w:p>
    <w:p w14:paraId="437E0239" w14:textId="1DE35B48" w:rsidR="00483A29" w:rsidRPr="00E73D2F" w:rsidRDefault="00C70DC0" w:rsidP="00F52079">
      <w:pPr>
        <w:pStyle w:val="Outlinea"/>
        <w:numPr>
          <w:ilvl w:val="0"/>
          <w:numId w:val="27"/>
        </w:numPr>
      </w:pPr>
      <w:r w:rsidRPr="00E73D2F">
        <w:t xml:space="preserve">Firms recognize expenses when economic </w:t>
      </w:r>
      <w:r w:rsidR="00483A29" w:rsidRPr="00E73D2F">
        <w:t>benefits are consumed</w:t>
      </w:r>
      <w:r w:rsidR="00CB1AF7" w:rsidRPr="00E73D2F">
        <w:t>.</w:t>
      </w:r>
    </w:p>
    <w:p w14:paraId="4FD441B2" w14:textId="6A621958" w:rsidR="00AD675A" w:rsidRPr="00E73D2F" w:rsidRDefault="00C70DC0" w:rsidP="003B3B5C">
      <w:pPr>
        <w:pStyle w:val="Outlinea"/>
      </w:pPr>
      <w:r w:rsidRPr="00E73D2F">
        <w:t xml:space="preserve">Firms recognize expenses when an </w:t>
      </w:r>
      <w:r w:rsidR="00483A29" w:rsidRPr="00E73D2F">
        <w:t>asset has experienced a reduced (or eliminated) future benefit.</w:t>
      </w:r>
    </w:p>
    <w:p w14:paraId="45F00BE9" w14:textId="77777777" w:rsidR="00AD675A" w:rsidRPr="00E73D2F" w:rsidRDefault="00AD675A" w:rsidP="00246572">
      <w:pPr>
        <w:pStyle w:val="OutlineA0"/>
      </w:pPr>
      <w:r w:rsidRPr="00E73D2F">
        <w:t>Bases of Measurement</w:t>
      </w:r>
    </w:p>
    <w:p w14:paraId="78C1E376" w14:textId="77777777" w:rsidR="00483A29" w:rsidRPr="00E73D2F" w:rsidRDefault="00AD675A" w:rsidP="00246572">
      <w:pPr>
        <w:pStyle w:val="Outline1"/>
      </w:pPr>
      <w:r w:rsidRPr="00E73D2F">
        <w:t>Five aspects of measuremen</w:t>
      </w:r>
      <w:r w:rsidR="00483A29" w:rsidRPr="00E73D2F">
        <w:t>t</w:t>
      </w:r>
    </w:p>
    <w:p w14:paraId="1D557F9A" w14:textId="113D4279" w:rsidR="00483A29" w:rsidRPr="00E73D2F" w:rsidRDefault="00483A29" w:rsidP="00F52079">
      <w:pPr>
        <w:pStyle w:val="Outlinea"/>
        <w:numPr>
          <w:ilvl w:val="0"/>
          <w:numId w:val="22"/>
        </w:numPr>
      </w:pPr>
      <w:r w:rsidRPr="00E73D2F">
        <w:t xml:space="preserve">Historical </w:t>
      </w:r>
      <w:r w:rsidR="00AD675A" w:rsidRPr="00E73D2F">
        <w:t>cost</w:t>
      </w:r>
      <w:r w:rsidRPr="00E73D2F">
        <w:t xml:space="preserve">: Amount paid to acquire </w:t>
      </w:r>
      <w:r w:rsidR="0086154F" w:rsidRPr="00E73D2F">
        <w:t xml:space="preserve">the </w:t>
      </w:r>
      <w:r w:rsidRPr="00E73D2F">
        <w:t>asset.</w:t>
      </w:r>
    </w:p>
    <w:p w14:paraId="5B54BFC1" w14:textId="0CF7C203" w:rsidR="00483A29" w:rsidRPr="00E73D2F" w:rsidRDefault="00483A29" w:rsidP="00792E1D">
      <w:pPr>
        <w:pStyle w:val="Outlinea"/>
      </w:pPr>
      <w:r w:rsidRPr="00E73D2F">
        <w:t>C</w:t>
      </w:r>
      <w:r w:rsidR="00AD675A" w:rsidRPr="00E73D2F">
        <w:t>urrent cost</w:t>
      </w:r>
      <w:r w:rsidRPr="00E73D2F">
        <w:t>:</w:t>
      </w:r>
      <w:r w:rsidR="00AD675A" w:rsidRPr="00E73D2F">
        <w:t xml:space="preserve"> </w:t>
      </w:r>
      <w:r w:rsidRPr="00E73D2F">
        <w:t xml:space="preserve">Amount for which the firm could acquire </w:t>
      </w:r>
      <w:r w:rsidR="0086154F" w:rsidRPr="00E73D2F">
        <w:t xml:space="preserve">the </w:t>
      </w:r>
      <w:r w:rsidRPr="00E73D2F">
        <w:t>asset currently.</w:t>
      </w:r>
    </w:p>
    <w:p w14:paraId="75FC77F7" w14:textId="3AD59AC3" w:rsidR="00483A29" w:rsidRPr="00E73D2F" w:rsidRDefault="00483A29" w:rsidP="00792E1D">
      <w:pPr>
        <w:pStyle w:val="Outlinea"/>
      </w:pPr>
      <w:r w:rsidRPr="00E73D2F">
        <w:t>C</w:t>
      </w:r>
      <w:r w:rsidR="00AD675A" w:rsidRPr="00E73D2F">
        <w:t>urrent market value</w:t>
      </w:r>
      <w:r w:rsidRPr="00E73D2F">
        <w:t>:</w:t>
      </w:r>
      <w:r w:rsidR="00AD675A" w:rsidRPr="00E73D2F">
        <w:t xml:space="preserve"> </w:t>
      </w:r>
      <w:r w:rsidRPr="00E73D2F">
        <w:t>Amount for which the firm could sell the asset.</w:t>
      </w:r>
    </w:p>
    <w:p w14:paraId="0A526021" w14:textId="087E2644" w:rsidR="00483A29" w:rsidRPr="00E73D2F" w:rsidRDefault="00483A29" w:rsidP="00792E1D">
      <w:pPr>
        <w:pStyle w:val="Outlinea"/>
      </w:pPr>
      <w:r w:rsidRPr="00E73D2F">
        <w:t>N</w:t>
      </w:r>
      <w:r w:rsidR="00AD675A" w:rsidRPr="00E73D2F">
        <w:t>et realizable value</w:t>
      </w:r>
      <w:r w:rsidRPr="00E73D2F">
        <w:t>:</w:t>
      </w:r>
      <w:r w:rsidR="00AD675A" w:rsidRPr="00E73D2F">
        <w:t xml:space="preserve"> </w:t>
      </w:r>
      <w:r w:rsidRPr="00E73D2F">
        <w:t>The amount that could be received in exchange for an asset, less the cost of disposal.</w:t>
      </w:r>
    </w:p>
    <w:p w14:paraId="7FEFB2A8" w14:textId="6A8EA297" w:rsidR="008277CD" w:rsidRPr="00E73D2F" w:rsidRDefault="00483A29" w:rsidP="00792E1D">
      <w:pPr>
        <w:pStyle w:val="Outlinea"/>
      </w:pPr>
      <w:r w:rsidRPr="00E73D2F">
        <w:t>P</w:t>
      </w:r>
      <w:r w:rsidR="00AD675A" w:rsidRPr="00E73D2F">
        <w:t>resent value of future cash flows</w:t>
      </w:r>
      <w:r w:rsidRPr="00E73D2F">
        <w:t>:</w:t>
      </w:r>
      <w:r w:rsidR="00605433" w:rsidRPr="00E73D2F">
        <w:t xml:space="preserve"> Discounting net cash</w:t>
      </w:r>
      <w:r w:rsidR="00434CC1" w:rsidRPr="00E73D2F">
        <w:t xml:space="preserve"> </w:t>
      </w:r>
      <w:r w:rsidR="00605433" w:rsidRPr="00E73D2F">
        <w:t>flows the firm expects to receive on the exchange of an asset.</w:t>
      </w:r>
    </w:p>
    <w:p w14:paraId="6685BC1C" w14:textId="3C137C66" w:rsidR="00AD675A" w:rsidRPr="00E73D2F" w:rsidRDefault="00AD675A" w:rsidP="00246572">
      <w:pPr>
        <w:pStyle w:val="Outline1"/>
      </w:pPr>
      <w:r w:rsidRPr="00E73D2F">
        <w:t xml:space="preserve">Arms-length </w:t>
      </w:r>
      <w:r w:rsidR="00434CC1" w:rsidRPr="00E73D2F">
        <w:t>transactions</w:t>
      </w:r>
      <w:r w:rsidR="00483A29" w:rsidRPr="00E73D2F">
        <w:t>: Involve a buyer and a seller who are independent and unrelated.</w:t>
      </w:r>
    </w:p>
    <w:p w14:paraId="338E60EE" w14:textId="18CE4169" w:rsidR="00AD675A" w:rsidRPr="00E73D2F" w:rsidRDefault="00AD675A" w:rsidP="00246572">
      <w:pPr>
        <w:pStyle w:val="Outline1"/>
      </w:pPr>
      <w:r w:rsidRPr="00E73D2F">
        <w:t xml:space="preserve">Fair Value Measurement and the Fair Value Hierarchy: </w:t>
      </w:r>
      <w:r w:rsidRPr="00E73D2F">
        <w:rPr>
          <w:i/>
        </w:rPr>
        <w:t>See</w:t>
      </w:r>
      <w:r w:rsidRPr="00E73D2F">
        <w:t xml:space="preserve"> </w:t>
      </w:r>
      <w:r w:rsidRPr="00E73D2F">
        <w:rPr>
          <w:i/>
        </w:rPr>
        <w:t>Exhibit 2.10</w:t>
      </w:r>
      <w:r w:rsidR="009847C7" w:rsidRPr="00E73D2F">
        <w:rPr>
          <w:i/>
        </w:rPr>
        <w:t>.</w:t>
      </w:r>
    </w:p>
    <w:p w14:paraId="22DEAF16" w14:textId="77777777" w:rsidR="00217B33" w:rsidRPr="00A9458F" w:rsidRDefault="00217B33" w:rsidP="00217B33">
      <w:pPr>
        <w:pStyle w:val="2head"/>
        <w:rPr>
          <w:color w:val="385623" w:themeColor="accent6" w:themeShade="80"/>
        </w:rPr>
      </w:pPr>
      <w:r w:rsidRPr="00A9458F">
        <w:rPr>
          <w:color w:val="385623" w:themeColor="accent6" w:themeShade="80"/>
        </w:rPr>
        <w:t>IFRS Breakaway</w:t>
      </w:r>
    </w:p>
    <w:p w14:paraId="78294D5E" w14:textId="22F3655A" w:rsidR="00AD675A" w:rsidRPr="00A9458F" w:rsidRDefault="00FA0ED1" w:rsidP="00605433">
      <w:pPr>
        <w:pStyle w:val="OutlineA0"/>
        <w:rPr>
          <w:color w:val="385623" w:themeColor="accent6" w:themeShade="80"/>
        </w:rPr>
      </w:pPr>
      <w:r w:rsidRPr="00A9458F">
        <w:rPr>
          <w:color w:val="385623" w:themeColor="accent6" w:themeShade="80"/>
        </w:rPr>
        <w:t xml:space="preserve">Recognition and Measurement: </w:t>
      </w:r>
      <w:r w:rsidR="00605433" w:rsidRPr="00A9458F">
        <w:rPr>
          <w:color w:val="385623" w:themeColor="accent6" w:themeShade="80"/>
        </w:rPr>
        <w:t>D</w:t>
      </w:r>
      <w:r w:rsidR="00AD675A" w:rsidRPr="00A9458F">
        <w:rPr>
          <w:color w:val="385623" w:themeColor="accent6" w:themeShade="80"/>
        </w:rPr>
        <w:t>ifferentiating between U.S. GAAP and IFRS</w:t>
      </w:r>
      <w:r w:rsidRPr="00A9458F">
        <w:rPr>
          <w:color w:val="385623" w:themeColor="accent6" w:themeShade="80"/>
        </w:rPr>
        <w:t>.</w:t>
      </w:r>
    </w:p>
    <w:p w14:paraId="62772760" w14:textId="58821859" w:rsidR="00605433" w:rsidRPr="00A9458F" w:rsidRDefault="00605433" w:rsidP="00605433">
      <w:pPr>
        <w:pStyle w:val="Outline1"/>
        <w:rPr>
          <w:color w:val="385623" w:themeColor="accent6" w:themeShade="80"/>
        </w:rPr>
      </w:pPr>
      <w:r w:rsidRPr="00A9458F">
        <w:rPr>
          <w:color w:val="385623" w:themeColor="accent6" w:themeShade="80"/>
        </w:rPr>
        <w:t>General Recognition</w:t>
      </w:r>
      <w:r w:rsidR="00217B33" w:rsidRPr="00A9458F">
        <w:rPr>
          <w:color w:val="385623" w:themeColor="accent6" w:themeShade="80"/>
        </w:rPr>
        <w:t xml:space="preserve"> Principles</w:t>
      </w:r>
      <w:r w:rsidR="00FA0ED1" w:rsidRPr="00A9458F">
        <w:rPr>
          <w:color w:val="385623" w:themeColor="accent6" w:themeShade="80"/>
        </w:rPr>
        <w:t xml:space="preserve">: </w:t>
      </w:r>
      <w:r w:rsidR="00FA0ED1" w:rsidRPr="00A9458F">
        <w:rPr>
          <w:i/>
          <w:color w:val="385623" w:themeColor="accent6" w:themeShade="80"/>
        </w:rPr>
        <w:t>See Exhibit 2.11.</w:t>
      </w:r>
    </w:p>
    <w:p w14:paraId="4A47FAAE" w14:textId="6EC64F30" w:rsidR="00AC51A6" w:rsidRPr="00A9458F" w:rsidRDefault="00AC51A6" w:rsidP="00F52079">
      <w:pPr>
        <w:pStyle w:val="Outlinea"/>
        <w:numPr>
          <w:ilvl w:val="0"/>
          <w:numId w:val="23"/>
        </w:numPr>
        <w:rPr>
          <w:color w:val="385623" w:themeColor="accent6" w:themeShade="80"/>
        </w:rPr>
      </w:pPr>
      <w:r w:rsidRPr="00A9458F">
        <w:rPr>
          <w:color w:val="385623" w:themeColor="accent6" w:themeShade="80"/>
        </w:rPr>
        <w:t>The item meets the definition of one of the elements: Similar to U.S. GAAP.</w:t>
      </w:r>
    </w:p>
    <w:p w14:paraId="522BE67E" w14:textId="7D5AB039" w:rsidR="00AC51A6" w:rsidRPr="00A9458F" w:rsidRDefault="00AC51A6" w:rsidP="00581E04">
      <w:pPr>
        <w:pStyle w:val="Outlinea"/>
        <w:rPr>
          <w:color w:val="385623" w:themeColor="accent6" w:themeShade="80"/>
        </w:rPr>
      </w:pPr>
      <w:r w:rsidRPr="00A9458F">
        <w:rPr>
          <w:color w:val="385623" w:themeColor="accent6" w:themeShade="80"/>
        </w:rPr>
        <w:t>The item is measurable: Similar to U.S. GAAP.</w:t>
      </w:r>
    </w:p>
    <w:p w14:paraId="64F03210" w14:textId="2F2549EC" w:rsidR="00AC51A6" w:rsidRPr="00A9458F" w:rsidRDefault="00AC51A6" w:rsidP="00581E04">
      <w:pPr>
        <w:pStyle w:val="Outlinea"/>
        <w:rPr>
          <w:color w:val="385623" w:themeColor="accent6" w:themeShade="80"/>
        </w:rPr>
      </w:pPr>
      <w:r w:rsidRPr="00A9458F">
        <w:rPr>
          <w:color w:val="385623" w:themeColor="accent6" w:themeShade="80"/>
        </w:rPr>
        <w:t>The measurement of the item must be reliable: Similar to U.S. GAAP.</w:t>
      </w:r>
    </w:p>
    <w:p w14:paraId="7BB4B85B" w14:textId="2BDC35E8" w:rsidR="00AC51A6" w:rsidRPr="00A9458F" w:rsidRDefault="00AC51A6" w:rsidP="00581E04">
      <w:pPr>
        <w:pStyle w:val="Outlinea"/>
        <w:rPr>
          <w:color w:val="385623" w:themeColor="accent6" w:themeShade="80"/>
        </w:rPr>
      </w:pPr>
      <w:r w:rsidRPr="00A9458F">
        <w:rPr>
          <w:color w:val="385623" w:themeColor="accent6" w:themeShade="80"/>
        </w:rPr>
        <w:t>It is probable that future economic benefits will flow to or from the company: Used instead of relevance used in U.S. GAAP.</w:t>
      </w:r>
    </w:p>
    <w:p w14:paraId="4EC54168" w14:textId="6E83F1CD" w:rsidR="00605433" w:rsidRPr="00A9458F" w:rsidRDefault="00605433" w:rsidP="00605433">
      <w:pPr>
        <w:pStyle w:val="Outline1"/>
        <w:rPr>
          <w:color w:val="385623" w:themeColor="accent6" w:themeShade="80"/>
        </w:rPr>
      </w:pPr>
      <w:r w:rsidRPr="00A9458F">
        <w:rPr>
          <w:color w:val="385623" w:themeColor="accent6" w:themeShade="80"/>
        </w:rPr>
        <w:t xml:space="preserve">Revenue and Expense </w:t>
      </w:r>
      <w:r w:rsidR="006F26D4" w:rsidRPr="00A9458F">
        <w:rPr>
          <w:color w:val="385623" w:themeColor="accent6" w:themeShade="80"/>
        </w:rPr>
        <w:t>R</w:t>
      </w:r>
      <w:r w:rsidRPr="00A9458F">
        <w:rPr>
          <w:color w:val="385623" w:themeColor="accent6" w:themeShade="80"/>
        </w:rPr>
        <w:t>ecognition</w:t>
      </w:r>
    </w:p>
    <w:p w14:paraId="3D692B00" w14:textId="36118383" w:rsidR="00045E84" w:rsidRPr="00A9458F" w:rsidRDefault="00045E84" w:rsidP="00F52079">
      <w:pPr>
        <w:pStyle w:val="Outlinea"/>
        <w:numPr>
          <w:ilvl w:val="0"/>
          <w:numId w:val="24"/>
        </w:numPr>
        <w:rPr>
          <w:color w:val="385623" w:themeColor="accent6" w:themeShade="80"/>
        </w:rPr>
      </w:pPr>
      <w:r w:rsidRPr="00A9458F">
        <w:rPr>
          <w:color w:val="385623" w:themeColor="accent6" w:themeShade="80"/>
        </w:rPr>
        <w:t xml:space="preserve">Revenue: 1) An increase in future economic benefits related to an increase in an asset or a decrease of a liability </w:t>
      </w:r>
      <w:r w:rsidRPr="00A9458F">
        <w:rPr>
          <w:i/>
          <w:color w:val="385623" w:themeColor="accent6" w:themeShade="80"/>
        </w:rPr>
        <w:t>and</w:t>
      </w:r>
      <w:r w:rsidRPr="00A9458F">
        <w:rPr>
          <w:color w:val="385623" w:themeColor="accent6" w:themeShade="80"/>
        </w:rPr>
        <w:t xml:space="preserve"> 2) </w:t>
      </w:r>
      <w:r w:rsidR="005E16EF" w:rsidRPr="00A9458F">
        <w:rPr>
          <w:color w:val="385623" w:themeColor="accent6" w:themeShade="80"/>
        </w:rPr>
        <w:t xml:space="preserve">the revenue can be </w:t>
      </w:r>
      <w:r w:rsidRPr="00A9458F">
        <w:rPr>
          <w:color w:val="385623" w:themeColor="accent6" w:themeShade="80"/>
        </w:rPr>
        <w:t>measured reliably.</w:t>
      </w:r>
    </w:p>
    <w:p w14:paraId="6BB5D623" w14:textId="2065F1C9" w:rsidR="00045E84" w:rsidRPr="00A9458F" w:rsidRDefault="00045E84" w:rsidP="00581E04">
      <w:pPr>
        <w:pStyle w:val="Outlinea"/>
        <w:rPr>
          <w:color w:val="385623" w:themeColor="accent6" w:themeShade="80"/>
        </w:rPr>
      </w:pPr>
      <w:r w:rsidRPr="00A9458F">
        <w:rPr>
          <w:color w:val="385623" w:themeColor="accent6" w:themeShade="80"/>
        </w:rPr>
        <w:t xml:space="preserve">Expense: 1) A decrease in future economic benefit related to a decrease of an asset or an increase of a liability </w:t>
      </w:r>
      <w:r w:rsidRPr="00A9458F">
        <w:rPr>
          <w:i/>
          <w:color w:val="385623" w:themeColor="accent6" w:themeShade="80"/>
        </w:rPr>
        <w:t xml:space="preserve">and </w:t>
      </w:r>
      <w:r w:rsidRPr="00A9458F">
        <w:rPr>
          <w:color w:val="385623" w:themeColor="accent6" w:themeShade="80"/>
        </w:rPr>
        <w:t>2) the expense can be measured reliably.</w:t>
      </w:r>
    </w:p>
    <w:p w14:paraId="3742EDBA" w14:textId="56E049F2" w:rsidR="00605433" w:rsidRPr="00A9458F" w:rsidRDefault="00605433" w:rsidP="00605433">
      <w:pPr>
        <w:pStyle w:val="Outline1"/>
        <w:rPr>
          <w:color w:val="385623" w:themeColor="accent6" w:themeShade="80"/>
        </w:rPr>
      </w:pPr>
      <w:r w:rsidRPr="00A9458F">
        <w:rPr>
          <w:color w:val="385623" w:themeColor="accent6" w:themeShade="80"/>
        </w:rPr>
        <w:t xml:space="preserve">Bases of </w:t>
      </w:r>
      <w:r w:rsidR="001E18DB" w:rsidRPr="00A9458F">
        <w:rPr>
          <w:color w:val="385623" w:themeColor="accent6" w:themeShade="80"/>
        </w:rPr>
        <w:t>M</w:t>
      </w:r>
      <w:r w:rsidRPr="00A9458F">
        <w:rPr>
          <w:color w:val="385623" w:themeColor="accent6" w:themeShade="80"/>
        </w:rPr>
        <w:t>easurement</w:t>
      </w:r>
    </w:p>
    <w:p w14:paraId="653A8EC2" w14:textId="7581A825" w:rsidR="00605433" w:rsidRPr="00A9458F" w:rsidRDefault="00045E84" w:rsidP="00F52079">
      <w:pPr>
        <w:pStyle w:val="Outlinea"/>
        <w:numPr>
          <w:ilvl w:val="0"/>
          <w:numId w:val="25"/>
        </w:numPr>
        <w:rPr>
          <w:color w:val="385623" w:themeColor="accent6" w:themeShade="80"/>
        </w:rPr>
      </w:pPr>
      <w:r w:rsidRPr="00A9458F">
        <w:rPr>
          <w:color w:val="385623" w:themeColor="accent6" w:themeShade="80"/>
        </w:rPr>
        <w:t>Historical cost</w:t>
      </w:r>
    </w:p>
    <w:p w14:paraId="21F31D8C" w14:textId="0A1C8E7A" w:rsidR="00045E84" w:rsidRPr="00A9458F" w:rsidRDefault="00045E84" w:rsidP="00581E04">
      <w:pPr>
        <w:pStyle w:val="Outlinea"/>
        <w:rPr>
          <w:color w:val="385623" w:themeColor="accent6" w:themeShade="80"/>
        </w:rPr>
      </w:pPr>
      <w:r w:rsidRPr="00A9458F">
        <w:rPr>
          <w:color w:val="385623" w:themeColor="accent6" w:themeShade="80"/>
        </w:rPr>
        <w:t>Current cost</w:t>
      </w:r>
    </w:p>
    <w:p w14:paraId="0525CF3B" w14:textId="04929BB1" w:rsidR="00045E84" w:rsidRPr="00A9458F" w:rsidRDefault="00045E84" w:rsidP="00581E04">
      <w:pPr>
        <w:pStyle w:val="Outlinea"/>
        <w:rPr>
          <w:color w:val="385623" w:themeColor="accent6" w:themeShade="80"/>
        </w:rPr>
      </w:pPr>
      <w:r w:rsidRPr="00A9458F">
        <w:rPr>
          <w:color w:val="385623" w:themeColor="accent6" w:themeShade="80"/>
        </w:rPr>
        <w:t>Net realizable value</w:t>
      </w:r>
    </w:p>
    <w:p w14:paraId="52AC2B5A" w14:textId="076B7FB7" w:rsidR="00045E84" w:rsidRPr="00A9458F" w:rsidRDefault="00045E84" w:rsidP="00581E04">
      <w:pPr>
        <w:pStyle w:val="Outlinea"/>
        <w:rPr>
          <w:color w:val="385623" w:themeColor="accent6" w:themeShade="80"/>
        </w:rPr>
      </w:pPr>
      <w:r w:rsidRPr="00A9458F">
        <w:rPr>
          <w:color w:val="385623" w:themeColor="accent6" w:themeShade="80"/>
        </w:rPr>
        <w:t>Present value of future cash flows</w:t>
      </w:r>
    </w:p>
    <w:p w14:paraId="638A1737" w14:textId="0C1B7B8A" w:rsidR="00AD675A" w:rsidRPr="00E73D2F" w:rsidRDefault="00AD675A" w:rsidP="00BF6590">
      <w:pPr>
        <w:pStyle w:val="OutlineA0"/>
      </w:pPr>
      <w:r w:rsidRPr="00E73D2F">
        <w:t>Cash versus Accrual Accounting</w:t>
      </w:r>
      <w:r w:rsidR="00B02C35" w:rsidRPr="00E73D2F">
        <w:t xml:space="preserve">: </w:t>
      </w:r>
      <w:r w:rsidR="00A9458F">
        <w:t xml:space="preserve">U.S. </w:t>
      </w:r>
      <w:r w:rsidR="00B02C35" w:rsidRPr="00E73D2F">
        <w:t>GAAP is based on accrual accounting and does not allow for a cash-basis system.</w:t>
      </w:r>
    </w:p>
    <w:p w14:paraId="522B049F" w14:textId="420F3B9D" w:rsidR="00B02C35" w:rsidRPr="00E73D2F" w:rsidRDefault="00B02C35" w:rsidP="00B02C35">
      <w:pPr>
        <w:pStyle w:val="Outline1"/>
      </w:pPr>
      <w:r w:rsidRPr="00E73D2F">
        <w:t xml:space="preserve">Cash-Basis </w:t>
      </w:r>
      <w:r w:rsidR="00604B41" w:rsidRPr="00E73D2F">
        <w:t>A</w:t>
      </w:r>
      <w:r w:rsidRPr="00E73D2F">
        <w:t>ccounting: Firms recognize revenue when cash is received an</w:t>
      </w:r>
      <w:r w:rsidR="00FE31AB" w:rsidRPr="00E73D2F">
        <w:t>d</w:t>
      </w:r>
      <w:r w:rsidRPr="00E73D2F">
        <w:t xml:space="preserve"> </w:t>
      </w:r>
      <w:r w:rsidR="00FE31AB" w:rsidRPr="00E73D2F">
        <w:t xml:space="preserve">an </w:t>
      </w:r>
      <w:r w:rsidRPr="00E73D2F">
        <w:t>expense when cash is paid.</w:t>
      </w:r>
    </w:p>
    <w:p w14:paraId="44AE0BE2" w14:textId="2BACABF0" w:rsidR="00B02C35" w:rsidRPr="00E73D2F" w:rsidRDefault="00B02C35" w:rsidP="00B02C35">
      <w:pPr>
        <w:pStyle w:val="Outline1"/>
      </w:pPr>
      <w:r w:rsidRPr="00E73D2F">
        <w:t>Accrual</w:t>
      </w:r>
      <w:r w:rsidR="00FE31AB" w:rsidRPr="00E73D2F">
        <w:t xml:space="preserve"> Accounting</w:t>
      </w:r>
      <w:r w:rsidRPr="00E73D2F">
        <w:t>: When firms pay or receive cash does not matter.</w:t>
      </w:r>
    </w:p>
    <w:p w14:paraId="5D58BDA6" w14:textId="77940926" w:rsidR="00AD675A" w:rsidRPr="00E73D2F" w:rsidRDefault="002119E7" w:rsidP="00246572">
      <w:pPr>
        <w:pStyle w:val="2head"/>
      </w:pPr>
      <w:r w:rsidRPr="00E73D2F">
        <w:t>L</w:t>
      </w:r>
      <w:r w:rsidR="00AD675A" w:rsidRPr="00E73D2F">
        <w:t xml:space="preserve">earning </w:t>
      </w:r>
      <w:r w:rsidR="00933AA9" w:rsidRPr="00E73D2F">
        <w:t>Objective</w:t>
      </w:r>
      <w:r w:rsidR="00AD675A" w:rsidRPr="00E73D2F">
        <w:t xml:space="preserve"> 6: Assumptions in Financial Reporting</w:t>
      </w:r>
    </w:p>
    <w:p w14:paraId="628FB480" w14:textId="77777777" w:rsidR="00AD675A" w:rsidRPr="00E73D2F" w:rsidRDefault="00AD675A" w:rsidP="00F52079">
      <w:pPr>
        <w:pStyle w:val="OutlineI"/>
        <w:numPr>
          <w:ilvl w:val="0"/>
          <w:numId w:val="12"/>
        </w:numPr>
        <w:ind w:left="360" w:hanging="360"/>
      </w:pPr>
      <w:r w:rsidRPr="00E73D2F">
        <w:t>Assumptions in Financial Reporting</w:t>
      </w:r>
    </w:p>
    <w:p w14:paraId="50024168" w14:textId="1977B841" w:rsidR="002119E7" w:rsidRPr="00E73D2F" w:rsidRDefault="002119E7" w:rsidP="002119E7">
      <w:pPr>
        <w:pStyle w:val="OutlineA0"/>
      </w:pPr>
      <w:r w:rsidRPr="00E73D2F">
        <w:t xml:space="preserve">Going </w:t>
      </w:r>
      <w:r w:rsidR="00A40FA9" w:rsidRPr="00E73D2F">
        <w:t>Concern Conc</w:t>
      </w:r>
      <w:r w:rsidRPr="00E73D2F">
        <w:t xml:space="preserve">ept: Financial statements are prepared as if </w:t>
      </w:r>
      <w:r w:rsidR="00625E5D" w:rsidRPr="00E73D2F">
        <w:t xml:space="preserve">the </w:t>
      </w:r>
      <w:r w:rsidRPr="00E73D2F">
        <w:t>entity will continue for an indefinite period of time.</w:t>
      </w:r>
    </w:p>
    <w:p w14:paraId="01941EE8" w14:textId="13E2DBB7" w:rsidR="002119E7" w:rsidRPr="00E73D2F" w:rsidRDefault="002119E7" w:rsidP="002119E7">
      <w:pPr>
        <w:pStyle w:val="OutlineA0"/>
      </w:pPr>
      <w:r w:rsidRPr="00E73D2F">
        <w:t xml:space="preserve">Business or </w:t>
      </w:r>
      <w:r w:rsidR="00A40FA9" w:rsidRPr="00E73D2F">
        <w:t>Economic Entity Concept</w:t>
      </w:r>
      <w:r w:rsidRPr="00E73D2F">
        <w:t>: Business transactions and personal affairs are kept separate.</w:t>
      </w:r>
    </w:p>
    <w:p w14:paraId="2A7261E1" w14:textId="7627DECE" w:rsidR="002119E7" w:rsidRPr="00E73D2F" w:rsidRDefault="002119E7" w:rsidP="002119E7">
      <w:pPr>
        <w:pStyle w:val="OutlineA0"/>
      </w:pPr>
      <w:r w:rsidRPr="00E73D2F">
        <w:t xml:space="preserve">Monetary </w:t>
      </w:r>
      <w:r w:rsidR="00A40FA9" w:rsidRPr="00E73D2F">
        <w:t>Unit Assumpti</w:t>
      </w:r>
      <w:r w:rsidRPr="00E73D2F">
        <w:t>on: Economic activities are reported in dollars or other monetary unit</w:t>
      </w:r>
      <w:r w:rsidR="00A40FA9" w:rsidRPr="00E73D2F">
        <w:t>s.</w:t>
      </w:r>
    </w:p>
    <w:p w14:paraId="0121C60A" w14:textId="729B81BD" w:rsidR="002119E7" w:rsidRPr="00E73D2F" w:rsidRDefault="002119E7" w:rsidP="002119E7">
      <w:pPr>
        <w:pStyle w:val="OutlineA0"/>
      </w:pPr>
      <w:r w:rsidRPr="00E73D2F">
        <w:t xml:space="preserve">Periodicity </w:t>
      </w:r>
      <w:r w:rsidR="00A40FA9" w:rsidRPr="00E73D2F">
        <w:t>Assumption</w:t>
      </w:r>
      <w:r w:rsidRPr="00E73D2F">
        <w:t>: An economic entity can divide its life into artificial time periods.</w:t>
      </w:r>
    </w:p>
    <w:p w14:paraId="7CF5ED73" w14:textId="77777777" w:rsidR="00A40FA9" w:rsidRPr="00A9458F" w:rsidRDefault="00A40FA9" w:rsidP="00A40FA9">
      <w:pPr>
        <w:pStyle w:val="2head"/>
        <w:rPr>
          <w:color w:val="385623" w:themeColor="accent6" w:themeShade="80"/>
        </w:rPr>
      </w:pPr>
      <w:r w:rsidRPr="00A9458F">
        <w:rPr>
          <w:color w:val="385623" w:themeColor="accent6" w:themeShade="80"/>
        </w:rPr>
        <w:t>IFRS Breakaway</w:t>
      </w:r>
    </w:p>
    <w:p w14:paraId="07B72FB0" w14:textId="0F9025A3" w:rsidR="002119E7" w:rsidRPr="00A9458F" w:rsidRDefault="002119E7" w:rsidP="00F52079">
      <w:pPr>
        <w:pStyle w:val="OutlineI"/>
        <w:numPr>
          <w:ilvl w:val="0"/>
          <w:numId w:val="12"/>
        </w:numPr>
        <w:ind w:left="360" w:hanging="360"/>
        <w:rPr>
          <w:color w:val="385623" w:themeColor="accent6" w:themeShade="80"/>
        </w:rPr>
      </w:pPr>
      <w:r w:rsidRPr="00A9458F">
        <w:rPr>
          <w:color w:val="385623" w:themeColor="accent6" w:themeShade="80"/>
        </w:rPr>
        <w:t xml:space="preserve">Assumptions in Financial Reporting: </w:t>
      </w:r>
      <w:r w:rsidR="00462477" w:rsidRPr="00A9458F">
        <w:rPr>
          <w:color w:val="385623" w:themeColor="accent6" w:themeShade="80"/>
        </w:rPr>
        <w:t xml:space="preserve">IFRS specifically </w:t>
      </w:r>
      <w:r w:rsidR="00D86636" w:rsidRPr="00A9458F">
        <w:rPr>
          <w:color w:val="385623" w:themeColor="accent6" w:themeShade="80"/>
        </w:rPr>
        <w:t>addresse</w:t>
      </w:r>
      <w:r w:rsidR="00462477" w:rsidRPr="00A9458F">
        <w:rPr>
          <w:color w:val="385623" w:themeColor="accent6" w:themeShade="80"/>
        </w:rPr>
        <w:t>s the</w:t>
      </w:r>
      <w:r w:rsidR="00D86636" w:rsidRPr="00A9458F">
        <w:rPr>
          <w:color w:val="385623" w:themeColor="accent6" w:themeShade="80"/>
        </w:rPr>
        <w:t xml:space="preserve"> going concern assumption, while all other assumptions are implied.</w:t>
      </w:r>
    </w:p>
    <w:p w14:paraId="70E5C20B" w14:textId="77777777" w:rsidR="00972883" w:rsidRPr="00E73D2F" w:rsidRDefault="00972883">
      <w:pPr>
        <w:rPr>
          <w:rFonts w:ascii="Arial" w:hAnsi="Arial" w:cs="Arial"/>
          <w:b/>
          <w:spacing w:val="30"/>
          <w:sz w:val="28"/>
          <w:szCs w:val="24"/>
        </w:rPr>
      </w:pPr>
      <w:r w:rsidRPr="00E73D2F">
        <w:br w:type="page"/>
      </w:r>
    </w:p>
    <w:p w14:paraId="0CAD79B0" w14:textId="77777777" w:rsidR="00A7583B" w:rsidRPr="00E73D2F" w:rsidRDefault="00A7583B" w:rsidP="00DD6FDE">
      <w:pPr>
        <w:pStyle w:val="1head"/>
      </w:pPr>
      <w:r w:rsidRPr="00E73D2F">
        <w:t>Student Supplement to Teaching Outline</w:t>
      </w:r>
    </w:p>
    <w:p w14:paraId="4CA04644" w14:textId="5F107C12" w:rsidR="00072A38" w:rsidRPr="00E73D2F" w:rsidRDefault="00072A38" w:rsidP="00072A38">
      <w:pPr>
        <w:pStyle w:val="2head"/>
      </w:pPr>
      <w:r w:rsidRPr="00E73D2F">
        <w:t xml:space="preserve">Learning </w:t>
      </w:r>
      <w:r w:rsidR="00933AA9" w:rsidRPr="00E73D2F">
        <w:t>Objective</w:t>
      </w:r>
      <w:r w:rsidRPr="00E73D2F">
        <w:t xml:space="preserve"> 1: Overview of the Conceptual Framework</w:t>
      </w:r>
    </w:p>
    <w:p w14:paraId="3BB47818" w14:textId="77777777" w:rsidR="00072A38" w:rsidRPr="00E73D2F" w:rsidRDefault="00072A38" w:rsidP="00F52079">
      <w:pPr>
        <w:pStyle w:val="OutlineI"/>
        <w:numPr>
          <w:ilvl w:val="0"/>
          <w:numId w:val="13"/>
        </w:numPr>
        <w:ind w:left="450" w:hanging="450"/>
      </w:pPr>
      <w:r w:rsidRPr="00E73D2F">
        <w:t>Overview of the Conceptual Framework</w:t>
      </w:r>
    </w:p>
    <w:p w14:paraId="156FFEF2" w14:textId="192FA53D" w:rsidR="00072A38" w:rsidRPr="00E73D2F" w:rsidRDefault="00072A38" w:rsidP="00072A38">
      <w:pPr>
        <w:pStyle w:val="OutlineA0"/>
      </w:pPr>
      <w:r w:rsidRPr="00E73D2F">
        <w:t>Conceptual Framework Components</w:t>
      </w:r>
    </w:p>
    <w:p w14:paraId="5B3B9BC5" w14:textId="77777777" w:rsidR="00377EC0" w:rsidRPr="00A9458F" w:rsidRDefault="00377EC0" w:rsidP="00377EC0">
      <w:pPr>
        <w:pStyle w:val="2head"/>
        <w:rPr>
          <w:color w:val="385623" w:themeColor="accent6" w:themeShade="80"/>
        </w:rPr>
      </w:pPr>
      <w:r w:rsidRPr="00A9458F">
        <w:rPr>
          <w:color w:val="385623" w:themeColor="accent6" w:themeShade="80"/>
        </w:rPr>
        <w:t>IFRS Breakaway</w:t>
      </w:r>
    </w:p>
    <w:p w14:paraId="53E2C616" w14:textId="16749C0D" w:rsidR="00C70754" w:rsidRPr="00A9458F" w:rsidRDefault="00C70754" w:rsidP="00072A38">
      <w:pPr>
        <w:pStyle w:val="OutlineA0"/>
        <w:rPr>
          <w:color w:val="385623" w:themeColor="accent6" w:themeShade="80"/>
        </w:rPr>
      </w:pPr>
      <w:r w:rsidRPr="00A9458F">
        <w:rPr>
          <w:color w:val="385623" w:themeColor="accent6" w:themeShade="80"/>
        </w:rPr>
        <w:t>Conceptual Framework</w:t>
      </w:r>
    </w:p>
    <w:p w14:paraId="324598F7" w14:textId="12936C94" w:rsidR="00072A38" w:rsidRPr="00E73D2F" w:rsidRDefault="00072A38" w:rsidP="00072A38">
      <w:pPr>
        <w:pStyle w:val="2head"/>
      </w:pPr>
      <w:r w:rsidRPr="00E73D2F">
        <w:t xml:space="preserve">Learning </w:t>
      </w:r>
      <w:r w:rsidR="00933AA9" w:rsidRPr="00E73D2F">
        <w:t>Objective</w:t>
      </w:r>
      <w:r w:rsidRPr="00E73D2F">
        <w:t xml:space="preserve"> 2: The Objective of Financial Reporting</w:t>
      </w:r>
    </w:p>
    <w:p w14:paraId="00130AD9" w14:textId="4F05C7EE" w:rsidR="00072A38" w:rsidRPr="00E73D2F" w:rsidRDefault="00153E90" w:rsidP="00F52079">
      <w:pPr>
        <w:pStyle w:val="OutlineI"/>
        <w:numPr>
          <w:ilvl w:val="0"/>
          <w:numId w:val="26"/>
        </w:numPr>
      </w:pPr>
      <w:r w:rsidRPr="00E73D2F">
        <w:t xml:space="preserve">The </w:t>
      </w:r>
      <w:r w:rsidR="00C70754" w:rsidRPr="00E73D2F">
        <w:t xml:space="preserve">Objective of </w:t>
      </w:r>
      <w:r w:rsidRPr="00E73D2F">
        <w:t>F</w:t>
      </w:r>
      <w:r w:rsidR="00C70754" w:rsidRPr="00E73D2F">
        <w:t xml:space="preserve">inancial </w:t>
      </w:r>
      <w:r w:rsidRPr="00E73D2F">
        <w:t>R</w:t>
      </w:r>
      <w:r w:rsidR="00C70754" w:rsidRPr="00E73D2F">
        <w:t>eporting</w:t>
      </w:r>
    </w:p>
    <w:p w14:paraId="41A9D736" w14:textId="2BD3E40F" w:rsidR="00072A38" w:rsidRPr="00E73D2F" w:rsidRDefault="00072A38" w:rsidP="00072A38">
      <w:pPr>
        <w:pStyle w:val="2head"/>
      </w:pPr>
      <w:r w:rsidRPr="00E73D2F">
        <w:t xml:space="preserve">Learning </w:t>
      </w:r>
      <w:r w:rsidR="00933AA9" w:rsidRPr="00E73D2F">
        <w:t>Objective</w:t>
      </w:r>
      <w:r w:rsidRPr="00E73D2F">
        <w:t xml:space="preserve"> 3: The Qualitative Characteristics of Financial Information</w:t>
      </w:r>
    </w:p>
    <w:p w14:paraId="2BB217FF" w14:textId="14D75084" w:rsidR="00072A38" w:rsidRPr="00E73D2F" w:rsidRDefault="00072A38" w:rsidP="00F52079">
      <w:pPr>
        <w:pStyle w:val="OutlineI"/>
        <w:numPr>
          <w:ilvl w:val="0"/>
          <w:numId w:val="14"/>
        </w:numPr>
        <w:ind w:left="360" w:hanging="360"/>
      </w:pPr>
      <w:r w:rsidRPr="00E73D2F">
        <w:t xml:space="preserve">The </w:t>
      </w:r>
      <w:r w:rsidR="00FD62CA" w:rsidRPr="00E73D2F">
        <w:t>Q</w:t>
      </w:r>
      <w:r w:rsidRPr="00E73D2F">
        <w:t xml:space="preserve">ualitative </w:t>
      </w:r>
      <w:r w:rsidR="00FD62CA" w:rsidRPr="00E73D2F">
        <w:t>Characteristics of Financial Information</w:t>
      </w:r>
    </w:p>
    <w:p w14:paraId="7EC7BB52" w14:textId="1000BC2A" w:rsidR="008277CD" w:rsidRPr="00E73D2F" w:rsidRDefault="00072A38" w:rsidP="00072A38">
      <w:pPr>
        <w:pStyle w:val="OutlineA0"/>
      </w:pPr>
      <w:r w:rsidRPr="00E73D2F">
        <w:t xml:space="preserve">Fundamental </w:t>
      </w:r>
      <w:r w:rsidR="00FD62CA" w:rsidRPr="00E73D2F">
        <w:t>Characteristics</w:t>
      </w:r>
    </w:p>
    <w:p w14:paraId="76299682" w14:textId="3C6160B4" w:rsidR="00C70754" w:rsidRPr="00E73D2F" w:rsidRDefault="00C70754" w:rsidP="00C70754">
      <w:pPr>
        <w:pStyle w:val="Outline1"/>
      </w:pPr>
      <w:r w:rsidRPr="00E73D2F">
        <w:t>Relevance</w:t>
      </w:r>
    </w:p>
    <w:p w14:paraId="06BA211D" w14:textId="21AD0546" w:rsidR="00072A38" w:rsidRPr="00E73D2F" w:rsidRDefault="00C70754" w:rsidP="00C70754">
      <w:pPr>
        <w:pStyle w:val="Outline1"/>
      </w:pPr>
      <w:r w:rsidRPr="00E73D2F">
        <w:t xml:space="preserve">Faithful </w:t>
      </w:r>
      <w:r w:rsidR="00FD62CA" w:rsidRPr="00E73D2F">
        <w:t>R</w:t>
      </w:r>
      <w:r w:rsidRPr="00E73D2F">
        <w:t>epresentation</w:t>
      </w:r>
    </w:p>
    <w:p w14:paraId="085526A7" w14:textId="05B010F8" w:rsidR="00C70754" w:rsidRPr="00E73D2F" w:rsidRDefault="00072A38" w:rsidP="00072A38">
      <w:pPr>
        <w:pStyle w:val="OutlineA0"/>
      </w:pPr>
      <w:r w:rsidRPr="00E73D2F">
        <w:t xml:space="preserve">Enhancing </w:t>
      </w:r>
      <w:r w:rsidR="00FD62CA" w:rsidRPr="00E73D2F">
        <w:t>Characteristics</w:t>
      </w:r>
    </w:p>
    <w:p w14:paraId="59AC5165" w14:textId="77777777" w:rsidR="00C70754" w:rsidRPr="00E73D2F" w:rsidRDefault="00C70754" w:rsidP="00C70754">
      <w:pPr>
        <w:pStyle w:val="Outline1"/>
      </w:pPr>
      <w:r w:rsidRPr="00E73D2F">
        <w:t>Comparability</w:t>
      </w:r>
    </w:p>
    <w:p w14:paraId="7F6BC497" w14:textId="77777777" w:rsidR="00C70754" w:rsidRPr="00E73D2F" w:rsidRDefault="00C70754" w:rsidP="00C70754">
      <w:pPr>
        <w:pStyle w:val="Outline1"/>
      </w:pPr>
      <w:r w:rsidRPr="00E73D2F">
        <w:t>Verifiability</w:t>
      </w:r>
    </w:p>
    <w:p w14:paraId="1C7E0B6E" w14:textId="77777777" w:rsidR="00C70754" w:rsidRPr="00E73D2F" w:rsidRDefault="00C70754" w:rsidP="00C70754">
      <w:pPr>
        <w:pStyle w:val="Outline1"/>
      </w:pPr>
      <w:r w:rsidRPr="00E73D2F">
        <w:t>Timeliness</w:t>
      </w:r>
    </w:p>
    <w:p w14:paraId="2D951C0C" w14:textId="4E87B8F5" w:rsidR="00072A38" w:rsidRPr="00E73D2F" w:rsidRDefault="00C70754" w:rsidP="00C70754">
      <w:pPr>
        <w:pStyle w:val="Outline1"/>
      </w:pPr>
      <w:r w:rsidRPr="00E73D2F">
        <w:t>Understandability</w:t>
      </w:r>
    </w:p>
    <w:p w14:paraId="4C61BFE8" w14:textId="77777777" w:rsidR="00072A38" w:rsidRPr="00E73D2F" w:rsidRDefault="00072A38" w:rsidP="00072A38">
      <w:pPr>
        <w:pStyle w:val="OutlineA0"/>
      </w:pPr>
      <w:r w:rsidRPr="00E73D2F">
        <w:t>Cost Constraint</w:t>
      </w:r>
    </w:p>
    <w:p w14:paraId="5D0C03C7" w14:textId="47CF780E" w:rsidR="00072A38" w:rsidRPr="00E73D2F" w:rsidRDefault="00072A38" w:rsidP="00072A38">
      <w:pPr>
        <w:pStyle w:val="2head"/>
      </w:pPr>
      <w:r w:rsidRPr="00E73D2F">
        <w:t xml:space="preserve">Learning </w:t>
      </w:r>
      <w:r w:rsidR="00933AA9" w:rsidRPr="00E73D2F">
        <w:t>Objective</w:t>
      </w:r>
      <w:r w:rsidRPr="00E73D2F">
        <w:t xml:space="preserve"> 4: Elements of Financial Reporting</w:t>
      </w:r>
    </w:p>
    <w:p w14:paraId="5A0F9D84" w14:textId="23BA9969" w:rsidR="00C70754" w:rsidRPr="00E73D2F" w:rsidRDefault="00C70754" w:rsidP="00F52079">
      <w:pPr>
        <w:pStyle w:val="OutlineI"/>
        <w:numPr>
          <w:ilvl w:val="0"/>
          <w:numId w:val="15"/>
        </w:numPr>
        <w:ind w:left="360" w:hanging="360"/>
      </w:pPr>
      <w:r w:rsidRPr="00E73D2F">
        <w:t>Elements of Financial Reporting</w:t>
      </w:r>
    </w:p>
    <w:p w14:paraId="30F9DF62" w14:textId="3C6296F3" w:rsidR="00072A38" w:rsidRPr="00E73D2F" w:rsidRDefault="00C70754" w:rsidP="00C70754">
      <w:pPr>
        <w:pStyle w:val="OutlineA0"/>
      </w:pPr>
      <w:r w:rsidRPr="00E73D2F">
        <w:t>Elements</w:t>
      </w:r>
    </w:p>
    <w:p w14:paraId="1F70AD81" w14:textId="7738B431" w:rsidR="00C70754" w:rsidRPr="00E73D2F" w:rsidRDefault="00C70754" w:rsidP="00C70754">
      <w:pPr>
        <w:pStyle w:val="Outline1"/>
      </w:pPr>
      <w:r w:rsidRPr="00E73D2F">
        <w:t>Point-in-</w:t>
      </w:r>
      <w:r w:rsidR="008D6E56" w:rsidRPr="00E73D2F">
        <w:t>Time Elements</w:t>
      </w:r>
    </w:p>
    <w:p w14:paraId="2B0B1763" w14:textId="2D45B322" w:rsidR="00C70754" w:rsidRPr="00E73D2F" w:rsidRDefault="00C70754" w:rsidP="00C70754">
      <w:pPr>
        <w:pStyle w:val="Outline1"/>
      </w:pPr>
      <w:r w:rsidRPr="00E73D2F">
        <w:t>Period-</w:t>
      </w:r>
      <w:r w:rsidR="00134A9A" w:rsidRPr="00E73D2F">
        <w:t>of</w:t>
      </w:r>
      <w:r w:rsidRPr="00E73D2F">
        <w:t>-</w:t>
      </w:r>
      <w:r w:rsidR="008D6E56" w:rsidRPr="00E73D2F">
        <w:t>Time Elements</w:t>
      </w:r>
    </w:p>
    <w:p w14:paraId="650DCD60" w14:textId="77777777" w:rsidR="008D6E56" w:rsidRPr="00E73D2F" w:rsidRDefault="008D6E56" w:rsidP="008D6E56">
      <w:pPr>
        <w:pStyle w:val="2head"/>
        <w:rPr>
          <w:color w:val="385623" w:themeColor="accent6" w:themeShade="80"/>
        </w:rPr>
      </w:pPr>
      <w:r w:rsidRPr="00E73D2F">
        <w:rPr>
          <w:color w:val="385623" w:themeColor="accent6" w:themeShade="80"/>
        </w:rPr>
        <w:t>IFRS Breakaway</w:t>
      </w:r>
    </w:p>
    <w:p w14:paraId="01DC7592" w14:textId="2549624C" w:rsidR="00072A38" w:rsidRPr="00E73D2F" w:rsidRDefault="00072A38" w:rsidP="00072A38">
      <w:pPr>
        <w:pStyle w:val="OutlineA0"/>
        <w:rPr>
          <w:color w:val="385623" w:themeColor="accent6" w:themeShade="80"/>
        </w:rPr>
      </w:pPr>
      <w:r w:rsidRPr="00E73D2F">
        <w:rPr>
          <w:color w:val="385623" w:themeColor="accent6" w:themeShade="80"/>
        </w:rPr>
        <w:t>Elements</w:t>
      </w:r>
    </w:p>
    <w:p w14:paraId="7DA6DB18" w14:textId="77777777" w:rsidR="008D6E56" w:rsidRPr="00E73D2F" w:rsidRDefault="008D6E56" w:rsidP="008D6E56">
      <w:pPr>
        <w:pStyle w:val="Outline1"/>
        <w:rPr>
          <w:color w:val="385623" w:themeColor="accent6" w:themeShade="80"/>
        </w:rPr>
      </w:pPr>
      <w:r w:rsidRPr="00E73D2F">
        <w:rPr>
          <w:color w:val="385623" w:themeColor="accent6" w:themeShade="80"/>
        </w:rPr>
        <w:t>Point-in-Time Elements</w:t>
      </w:r>
    </w:p>
    <w:p w14:paraId="05302C92" w14:textId="69838A7C" w:rsidR="008D6E56" w:rsidRPr="00E73D2F" w:rsidRDefault="008D6E56" w:rsidP="008D6E56">
      <w:pPr>
        <w:pStyle w:val="Outline1"/>
        <w:rPr>
          <w:color w:val="385623" w:themeColor="accent6" w:themeShade="80"/>
        </w:rPr>
      </w:pPr>
      <w:r w:rsidRPr="00E73D2F">
        <w:rPr>
          <w:color w:val="385623" w:themeColor="accent6" w:themeShade="80"/>
        </w:rPr>
        <w:t>Period-</w:t>
      </w:r>
      <w:r w:rsidR="00134A9A" w:rsidRPr="00E73D2F">
        <w:rPr>
          <w:color w:val="385623" w:themeColor="accent6" w:themeShade="80"/>
        </w:rPr>
        <w:t>of</w:t>
      </w:r>
      <w:r w:rsidRPr="00E73D2F">
        <w:rPr>
          <w:color w:val="385623" w:themeColor="accent6" w:themeShade="80"/>
        </w:rPr>
        <w:t>-Time Elements</w:t>
      </w:r>
    </w:p>
    <w:p w14:paraId="35AC818A" w14:textId="0B4CCDA3" w:rsidR="008277CD" w:rsidRPr="00E73D2F" w:rsidRDefault="00072A38" w:rsidP="00072A38">
      <w:pPr>
        <w:pStyle w:val="2head"/>
      </w:pPr>
      <w:r w:rsidRPr="00E73D2F">
        <w:t xml:space="preserve">Learning </w:t>
      </w:r>
      <w:r w:rsidR="00933AA9" w:rsidRPr="00E73D2F">
        <w:t>Objective</w:t>
      </w:r>
      <w:r w:rsidRPr="00E73D2F">
        <w:t xml:space="preserve"> 5: Principles of Recognition and Measurement</w:t>
      </w:r>
    </w:p>
    <w:p w14:paraId="50D5D56A" w14:textId="50514352" w:rsidR="00072A38" w:rsidRPr="00E73D2F" w:rsidRDefault="00802CD0" w:rsidP="00F52079">
      <w:pPr>
        <w:pStyle w:val="OutlineI"/>
        <w:numPr>
          <w:ilvl w:val="0"/>
          <w:numId w:val="16"/>
        </w:numPr>
        <w:ind w:left="360" w:hanging="360"/>
      </w:pPr>
      <w:r w:rsidRPr="00E73D2F">
        <w:t>P</w:t>
      </w:r>
      <w:r w:rsidR="00072A38" w:rsidRPr="00E73D2F">
        <w:t xml:space="preserve">rinciples </w:t>
      </w:r>
      <w:r w:rsidRPr="00E73D2F">
        <w:t>of Recognition and Measurement</w:t>
      </w:r>
    </w:p>
    <w:p w14:paraId="405CFBB9" w14:textId="35F26965" w:rsidR="00072A38" w:rsidRPr="00E73D2F" w:rsidRDefault="00072A38" w:rsidP="00072A38">
      <w:pPr>
        <w:pStyle w:val="OutlineA0"/>
      </w:pPr>
      <w:r w:rsidRPr="00E73D2F">
        <w:t>General Recognition Principles</w:t>
      </w:r>
    </w:p>
    <w:p w14:paraId="6D02BB0C" w14:textId="7DED83C4" w:rsidR="00C70754" w:rsidRPr="00E73D2F" w:rsidRDefault="00072A38" w:rsidP="00072A38">
      <w:pPr>
        <w:pStyle w:val="OutlineA0"/>
      </w:pPr>
      <w:r w:rsidRPr="00E73D2F">
        <w:t xml:space="preserve">Revenue </w:t>
      </w:r>
      <w:r w:rsidR="006224C7" w:rsidRPr="00E73D2F">
        <w:t xml:space="preserve">and Expense </w:t>
      </w:r>
      <w:r w:rsidR="00C70754" w:rsidRPr="00E73D2F">
        <w:t>Recognition</w:t>
      </w:r>
    </w:p>
    <w:p w14:paraId="0A60DA36" w14:textId="77777777" w:rsidR="00072A38" w:rsidRPr="00E73D2F" w:rsidRDefault="00072A38" w:rsidP="00072A38">
      <w:pPr>
        <w:pStyle w:val="OutlineA0"/>
      </w:pPr>
      <w:r w:rsidRPr="00E73D2F">
        <w:t>Bases of Measurement</w:t>
      </w:r>
    </w:p>
    <w:p w14:paraId="125DF485" w14:textId="1B576E7B" w:rsidR="00C70754" w:rsidRPr="00E73D2F" w:rsidRDefault="00C70754" w:rsidP="00072A38">
      <w:pPr>
        <w:pStyle w:val="Outline1"/>
      </w:pPr>
      <w:r w:rsidRPr="00E73D2F">
        <w:t>Fair Value Measurement</w:t>
      </w:r>
      <w:r w:rsidR="006224C7" w:rsidRPr="00E73D2F">
        <w:t xml:space="preserve"> and the Fair Value Hierarchy</w:t>
      </w:r>
    </w:p>
    <w:p w14:paraId="49F2DB35" w14:textId="77777777" w:rsidR="00377EC0" w:rsidRPr="00E73D2F" w:rsidRDefault="00377EC0" w:rsidP="00377EC0">
      <w:pPr>
        <w:pStyle w:val="2head"/>
        <w:rPr>
          <w:color w:val="385623" w:themeColor="accent6" w:themeShade="80"/>
        </w:rPr>
      </w:pPr>
      <w:r w:rsidRPr="00E73D2F">
        <w:rPr>
          <w:color w:val="385623" w:themeColor="accent6" w:themeShade="80"/>
        </w:rPr>
        <w:t>IFRS Breakaway</w:t>
      </w:r>
    </w:p>
    <w:p w14:paraId="68F8E7F0" w14:textId="478141B4" w:rsidR="00F257C6" w:rsidRPr="00E73D2F" w:rsidRDefault="005E30E1" w:rsidP="00F257C6">
      <w:pPr>
        <w:pStyle w:val="OutlineA0"/>
        <w:rPr>
          <w:color w:val="385623" w:themeColor="accent6" w:themeShade="80"/>
        </w:rPr>
      </w:pPr>
      <w:r w:rsidRPr="00E73D2F">
        <w:rPr>
          <w:color w:val="385623" w:themeColor="accent6" w:themeShade="80"/>
        </w:rPr>
        <w:t>Recognition and Measurement</w:t>
      </w:r>
    </w:p>
    <w:p w14:paraId="6BA9E7F4" w14:textId="44C25FAC" w:rsidR="00F257C6" w:rsidRPr="00E73D2F" w:rsidRDefault="00F257C6" w:rsidP="00F257C6">
      <w:pPr>
        <w:pStyle w:val="Outline1"/>
        <w:rPr>
          <w:color w:val="385623" w:themeColor="accent6" w:themeShade="80"/>
        </w:rPr>
      </w:pPr>
      <w:r w:rsidRPr="00E73D2F">
        <w:rPr>
          <w:color w:val="385623" w:themeColor="accent6" w:themeShade="80"/>
        </w:rPr>
        <w:t>General</w:t>
      </w:r>
      <w:r w:rsidR="005E30E1" w:rsidRPr="00E73D2F">
        <w:rPr>
          <w:color w:val="385623" w:themeColor="accent6" w:themeShade="80"/>
        </w:rPr>
        <w:t xml:space="preserve"> Recognition Principles</w:t>
      </w:r>
    </w:p>
    <w:p w14:paraId="741C87FD" w14:textId="021ECB3A" w:rsidR="00F257C6" w:rsidRPr="00E73D2F" w:rsidRDefault="00F257C6" w:rsidP="00F257C6">
      <w:pPr>
        <w:pStyle w:val="Outline1"/>
        <w:rPr>
          <w:color w:val="385623" w:themeColor="accent6" w:themeShade="80"/>
        </w:rPr>
      </w:pPr>
      <w:r w:rsidRPr="00E73D2F">
        <w:rPr>
          <w:color w:val="385623" w:themeColor="accent6" w:themeShade="80"/>
        </w:rPr>
        <w:t>Revenue and Expense</w:t>
      </w:r>
      <w:r w:rsidR="005E30E1" w:rsidRPr="00E73D2F">
        <w:rPr>
          <w:color w:val="385623" w:themeColor="accent6" w:themeShade="80"/>
        </w:rPr>
        <w:t xml:space="preserve"> Recognition</w:t>
      </w:r>
    </w:p>
    <w:p w14:paraId="40E5C95D" w14:textId="136069D1" w:rsidR="00F257C6" w:rsidRPr="00E73D2F" w:rsidRDefault="00F257C6" w:rsidP="00F257C6">
      <w:pPr>
        <w:pStyle w:val="Outline1"/>
        <w:rPr>
          <w:color w:val="385623" w:themeColor="accent6" w:themeShade="80"/>
        </w:rPr>
      </w:pPr>
      <w:r w:rsidRPr="00E73D2F">
        <w:rPr>
          <w:color w:val="385623" w:themeColor="accent6" w:themeShade="80"/>
        </w:rPr>
        <w:t xml:space="preserve">Bases of </w:t>
      </w:r>
      <w:r w:rsidR="005E30E1" w:rsidRPr="00E73D2F">
        <w:rPr>
          <w:color w:val="385623" w:themeColor="accent6" w:themeShade="80"/>
        </w:rPr>
        <w:t>Measurement</w:t>
      </w:r>
    </w:p>
    <w:p w14:paraId="3FA15978" w14:textId="6FDD15AF" w:rsidR="00F257C6" w:rsidRPr="00E73D2F" w:rsidRDefault="00F257C6" w:rsidP="00F257C6">
      <w:pPr>
        <w:pStyle w:val="OutlineA0"/>
      </w:pPr>
      <w:r w:rsidRPr="00E73D2F">
        <w:t>Cash v</w:t>
      </w:r>
      <w:r w:rsidR="00A83970" w:rsidRPr="00E73D2F">
        <w:t>ersus</w:t>
      </w:r>
      <w:r w:rsidRPr="00E73D2F">
        <w:t xml:space="preserve"> Accrual Accounting</w:t>
      </w:r>
    </w:p>
    <w:p w14:paraId="4D93E4B9" w14:textId="53A50930" w:rsidR="00F257C6" w:rsidRPr="00E73D2F" w:rsidRDefault="00F257C6" w:rsidP="00F257C6">
      <w:pPr>
        <w:pStyle w:val="Outline1"/>
      </w:pPr>
      <w:r w:rsidRPr="00E73D2F">
        <w:t>Cash</w:t>
      </w:r>
      <w:r w:rsidR="009B1C2D" w:rsidRPr="00E73D2F">
        <w:t>-Basis Accounting</w:t>
      </w:r>
    </w:p>
    <w:p w14:paraId="3E2A2354" w14:textId="692AC341" w:rsidR="00F257C6" w:rsidRPr="00E73D2F" w:rsidRDefault="00F257C6" w:rsidP="00F257C6">
      <w:pPr>
        <w:pStyle w:val="Outline1"/>
      </w:pPr>
      <w:r w:rsidRPr="00E73D2F">
        <w:t>Accrual</w:t>
      </w:r>
      <w:r w:rsidR="009B1C2D" w:rsidRPr="00E73D2F">
        <w:t xml:space="preserve"> Accounting</w:t>
      </w:r>
    </w:p>
    <w:p w14:paraId="2D2E14B1" w14:textId="016747F2" w:rsidR="00072A38" w:rsidRPr="00E73D2F" w:rsidRDefault="00072A38" w:rsidP="005D5420">
      <w:pPr>
        <w:pStyle w:val="2head"/>
      </w:pPr>
      <w:r w:rsidRPr="00E73D2F">
        <w:t xml:space="preserve">Learning </w:t>
      </w:r>
      <w:r w:rsidR="00933AA9" w:rsidRPr="00E73D2F">
        <w:t>Objective</w:t>
      </w:r>
      <w:r w:rsidRPr="00E73D2F">
        <w:t xml:space="preserve"> 6: Assumptions in Financial Reporting</w:t>
      </w:r>
    </w:p>
    <w:p w14:paraId="5BDC880A" w14:textId="77777777" w:rsidR="00072A38" w:rsidRPr="00E73D2F" w:rsidRDefault="00072A38" w:rsidP="00F52079">
      <w:pPr>
        <w:pStyle w:val="OutlineI"/>
        <w:numPr>
          <w:ilvl w:val="0"/>
          <w:numId w:val="17"/>
        </w:numPr>
        <w:ind w:left="360" w:hanging="360"/>
      </w:pPr>
      <w:r w:rsidRPr="00E73D2F">
        <w:t>Assumptions in Financial Reporting</w:t>
      </w:r>
    </w:p>
    <w:p w14:paraId="365BDB40" w14:textId="77777777" w:rsidR="00072A38" w:rsidRPr="00E73D2F" w:rsidRDefault="00072A38" w:rsidP="00072A38">
      <w:pPr>
        <w:pStyle w:val="OutlineA0"/>
      </w:pPr>
      <w:r w:rsidRPr="00E73D2F">
        <w:t>Going Concern Concept</w:t>
      </w:r>
    </w:p>
    <w:p w14:paraId="269B1445" w14:textId="723FBF51" w:rsidR="00072A38" w:rsidRPr="00E73D2F" w:rsidRDefault="00072A38" w:rsidP="00072A38">
      <w:pPr>
        <w:pStyle w:val="OutlineA0"/>
      </w:pPr>
      <w:r w:rsidRPr="00E73D2F">
        <w:t xml:space="preserve">Business </w:t>
      </w:r>
      <w:r w:rsidR="00857B5E" w:rsidRPr="00E73D2F">
        <w:t xml:space="preserve">or </w:t>
      </w:r>
      <w:r w:rsidRPr="00E73D2F">
        <w:t>Economic Entity Concept</w:t>
      </w:r>
    </w:p>
    <w:p w14:paraId="17D9384A" w14:textId="77777777" w:rsidR="00072A38" w:rsidRPr="00E73D2F" w:rsidRDefault="00072A38" w:rsidP="00072A38">
      <w:pPr>
        <w:pStyle w:val="OutlineA0"/>
      </w:pPr>
      <w:r w:rsidRPr="00E73D2F">
        <w:t>Monetary Unit Assumption</w:t>
      </w:r>
    </w:p>
    <w:p w14:paraId="5F06C265" w14:textId="77777777" w:rsidR="00072A38" w:rsidRPr="00E73D2F" w:rsidRDefault="00072A38" w:rsidP="00072A38">
      <w:pPr>
        <w:pStyle w:val="OutlineA0"/>
      </w:pPr>
      <w:r w:rsidRPr="00E73D2F">
        <w:t>Periodicity Assumption</w:t>
      </w:r>
    </w:p>
    <w:p w14:paraId="6E5CA9A3" w14:textId="77777777" w:rsidR="00377EC0" w:rsidRPr="00E73D2F" w:rsidRDefault="00377EC0" w:rsidP="00377EC0">
      <w:pPr>
        <w:pStyle w:val="2head"/>
        <w:rPr>
          <w:color w:val="385623" w:themeColor="accent6" w:themeShade="80"/>
        </w:rPr>
      </w:pPr>
      <w:r w:rsidRPr="00E73D2F">
        <w:rPr>
          <w:color w:val="385623" w:themeColor="accent6" w:themeShade="80"/>
        </w:rPr>
        <w:t>IFRS Breakaway</w:t>
      </w:r>
    </w:p>
    <w:p w14:paraId="7849ADE2" w14:textId="129B6D4E" w:rsidR="00072A38" w:rsidRPr="00471AF2" w:rsidRDefault="00072A38" w:rsidP="00471AF2">
      <w:pPr>
        <w:pStyle w:val="OutlineI"/>
        <w:rPr>
          <w:color w:val="385623" w:themeColor="accent6" w:themeShade="80"/>
        </w:rPr>
      </w:pPr>
      <w:r w:rsidRPr="00471AF2">
        <w:rPr>
          <w:color w:val="385623" w:themeColor="accent6" w:themeShade="80"/>
        </w:rPr>
        <w:t>Assumptions in Financial Reporting</w:t>
      </w:r>
    </w:p>
    <w:p w14:paraId="4B4F1CCA" w14:textId="77777777" w:rsidR="002D45A5" w:rsidRPr="00E73D2F" w:rsidRDefault="002D45A5">
      <w:pPr>
        <w:rPr>
          <w:rFonts w:ascii="Arial" w:hAnsi="Arial" w:cs="Arial"/>
          <w:b/>
          <w:spacing w:val="30"/>
          <w:sz w:val="28"/>
          <w:szCs w:val="24"/>
        </w:rPr>
      </w:pPr>
      <w:r w:rsidRPr="00E73D2F">
        <w:br w:type="page"/>
      </w:r>
    </w:p>
    <w:p w14:paraId="191A4149" w14:textId="26C41465" w:rsidR="00AD675A" w:rsidRPr="00E73D2F" w:rsidRDefault="00FD35C6" w:rsidP="00246572">
      <w:pPr>
        <w:pStyle w:val="1head"/>
        <w:spacing w:after="120"/>
      </w:pPr>
      <w:bookmarkStart w:id="1" w:name="a"/>
      <w:r w:rsidRPr="00E73D2F">
        <w:t>Assignment Grid</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5"/>
        <w:gridCol w:w="3713"/>
        <w:gridCol w:w="1530"/>
        <w:gridCol w:w="1771"/>
        <w:gridCol w:w="1109"/>
      </w:tblGrid>
      <w:tr w:rsidR="00AD675A" w:rsidRPr="00E73D2F" w14:paraId="25E202F2" w14:textId="77777777" w:rsidTr="002D45A5">
        <w:trPr>
          <w:cantSplit/>
          <w:tblHeader/>
        </w:trPr>
        <w:tc>
          <w:tcPr>
            <w:tcW w:w="1435" w:type="dxa"/>
            <w:shd w:val="clear" w:color="auto" w:fill="BFBFBF" w:themeFill="background1" w:themeFillShade="BF"/>
            <w:vAlign w:val="bottom"/>
          </w:tcPr>
          <w:bookmarkEnd w:id="1"/>
          <w:p w14:paraId="0AD2D891" w14:textId="77777777" w:rsidR="00AD675A" w:rsidRPr="00E73D2F" w:rsidRDefault="00AD675A" w:rsidP="00AD675A">
            <w:pPr>
              <w:pStyle w:val="TCH"/>
            </w:pPr>
            <w:r w:rsidRPr="00E73D2F">
              <w:t>Assignment</w:t>
            </w:r>
          </w:p>
        </w:tc>
        <w:tc>
          <w:tcPr>
            <w:tcW w:w="3713" w:type="dxa"/>
            <w:shd w:val="clear" w:color="auto" w:fill="BFBFBF" w:themeFill="background1" w:themeFillShade="BF"/>
            <w:vAlign w:val="bottom"/>
          </w:tcPr>
          <w:p w14:paraId="55CAF882" w14:textId="77777777" w:rsidR="00AD675A" w:rsidRPr="00E73D2F" w:rsidRDefault="00AD675A" w:rsidP="00AD675A">
            <w:pPr>
              <w:pStyle w:val="TCH"/>
            </w:pPr>
            <w:r w:rsidRPr="00E73D2F">
              <w:t>Topic(s)</w:t>
            </w:r>
          </w:p>
        </w:tc>
        <w:tc>
          <w:tcPr>
            <w:tcW w:w="1530" w:type="dxa"/>
            <w:shd w:val="clear" w:color="auto" w:fill="BFBFBF" w:themeFill="background1" w:themeFillShade="BF"/>
            <w:vAlign w:val="bottom"/>
          </w:tcPr>
          <w:p w14:paraId="66AC7827" w14:textId="798EB7A7" w:rsidR="00AD675A" w:rsidRPr="00E73D2F" w:rsidRDefault="00AD675A" w:rsidP="00AD675A">
            <w:pPr>
              <w:pStyle w:val="TCH"/>
            </w:pPr>
            <w:r w:rsidRPr="00E73D2F">
              <w:t xml:space="preserve">Learning </w:t>
            </w:r>
            <w:r w:rsidR="00933AA9" w:rsidRPr="00E73D2F">
              <w:t>Objective</w:t>
            </w:r>
            <w:r w:rsidRPr="00E73D2F">
              <w:t>(s)</w:t>
            </w:r>
          </w:p>
        </w:tc>
        <w:tc>
          <w:tcPr>
            <w:tcW w:w="1771" w:type="dxa"/>
            <w:shd w:val="clear" w:color="auto" w:fill="BFBFBF" w:themeFill="background1" w:themeFillShade="BF"/>
            <w:vAlign w:val="bottom"/>
          </w:tcPr>
          <w:p w14:paraId="018A63B6" w14:textId="77777777" w:rsidR="00AD675A" w:rsidRPr="00E73D2F" w:rsidRDefault="00AD675A" w:rsidP="00AD675A">
            <w:pPr>
              <w:pStyle w:val="TCH"/>
            </w:pPr>
            <w:r w:rsidRPr="00E73D2F">
              <w:t>Estimated Time in Minutes</w:t>
            </w:r>
          </w:p>
        </w:tc>
        <w:tc>
          <w:tcPr>
            <w:tcW w:w="1109" w:type="dxa"/>
            <w:shd w:val="clear" w:color="auto" w:fill="BFBFBF" w:themeFill="background1" w:themeFillShade="BF"/>
            <w:vAlign w:val="bottom"/>
          </w:tcPr>
          <w:p w14:paraId="351FF40A" w14:textId="77777777" w:rsidR="00AD675A" w:rsidRPr="00E73D2F" w:rsidRDefault="00AD675A" w:rsidP="00AD675A">
            <w:pPr>
              <w:pStyle w:val="TCH"/>
            </w:pPr>
            <w:r w:rsidRPr="00E73D2F">
              <w:t>Level of Difficulty</w:t>
            </w:r>
          </w:p>
        </w:tc>
      </w:tr>
      <w:tr w:rsidR="00AD675A" w:rsidRPr="00E73D2F" w14:paraId="5A7B540B" w14:textId="77777777" w:rsidTr="00246572">
        <w:trPr>
          <w:cantSplit/>
        </w:trPr>
        <w:tc>
          <w:tcPr>
            <w:tcW w:w="9558" w:type="dxa"/>
            <w:gridSpan w:val="5"/>
            <w:shd w:val="clear" w:color="auto" w:fill="D9D9D9" w:themeFill="background1" w:themeFillShade="D9"/>
          </w:tcPr>
          <w:p w14:paraId="6A97BEB0" w14:textId="77777777" w:rsidR="00AD675A" w:rsidRPr="00E73D2F" w:rsidRDefault="00AD675A" w:rsidP="00AD675A">
            <w:pPr>
              <w:pStyle w:val="TSH"/>
            </w:pPr>
            <w:r w:rsidRPr="00E73D2F">
              <w:t>Questions</w:t>
            </w:r>
          </w:p>
        </w:tc>
      </w:tr>
      <w:tr w:rsidR="00AD675A" w:rsidRPr="00E73D2F" w14:paraId="0DB11DEB" w14:textId="77777777" w:rsidTr="002D45A5">
        <w:trPr>
          <w:cantSplit/>
        </w:trPr>
        <w:tc>
          <w:tcPr>
            <w:tcW w:w="1435" w:type="dxa"/>
          </w:tcPr>
          <w:p w14:paraId="48541405" w14:textId="77777777" w:rsidR="00AD675A" w:rsidRPr="00E73D2F" w:rsidRDefault="00AD675A" w:rsidP="00AD675A">
            <w:pPr>
              <w:pStyle w:val="TBCentered"/>
            </w:pPr>
            <w:r w:rsidRPr="00E73D2F">
              <w:t>Q2-1</w:t>
            </w:r>
          </w:p>
        </w:tc>
        <w:tc>
          <w:tcPr>
            <w:tcW w:w="3713" w:type="dxa"/>
          </w:tcPr>
          <w:p w14:paraId="5C90DE7A" w14:textId="77777777" w:rsidR="00AD675A" w:rsidRPr="00E73D2F" w:rsidRDefault="00AD675A" w:rsidP="00F765F7">
            <w:pPr>
              <w:pStyle w:val="TBLeft"/>
            </w:pPr>
            <w:r w:rsidRPr="00E73D2F">
              <w:t>Conceptual Framework</w:t>
            </w:r>
          </w:p>
        </w:tc>
        <w:tc>
          <w:tcPr>
            <w:tcW w:w="1530" w:type="dxa"/>
          </w:tcPr>
          <w:p w14:paraId="3CB3E648" w14:textId="77777777" w:rsidR="00AD675A" w:rsidRPr="00E73D2F" w:rsidRDefault="00AD675A" w:rsidP="00AD675A">
            <w:pPr>
              <w:pStyle w:val="TBCentered"/>
            </w:pPr>
            <w:r w:rsidRPr="00E73D2F">
              <w:t>1</w:t>
            </w:r>
          </w:p>
        </w:tc>
        <w:tc>
          <w:tcPr>
            <w:tcW w:w="1771" w:type="dxa"/>
          </w:tcPr>
          <w:p w14:paraId="5C962A93" w14:textId="77777777" w:rsidR="00AD675A" w:rsidRPr="00E73D2F" w:rsidRDefault="00AD675A" w:rsidP="00AD675A">
            <w:pPr>
              <w:pStyle w:val="TBCentered"/>
            </w:pPr>
            <w:r w:rsidRPr="00E73D2F">
              <w:t>10</w:t>
            </w:r>
          </w:p>
        </w:tc>
        <w:tc>
          <w:tcPr>
            <w:tcW w:w="1109" w:type="dxa"/>
          </w:tcPr>
          <w:p w14:paraId="07EC421E" w14:textId="77777777" w:rsidR="00AD675A" w:rsidRPr="00E73D2F" w:rsidRDefault="00AD675A" w:rsidP="00AD675A">
            <w:pPr>
              <w:pStyle w:val="TBCentered"/>
            </w:pPr>
            <w:r w:rsidRPr="00E73D2F">
              <w:t>Easy</w:t>
            </w:r>
          </w:p>
        </w:tc>
      </w:tr>
      <w:tr w:rsidR="00AD675A" w:rsidRPr="00E73D2F" w14:paraId="39697FD0" w14:textId="77777777" w:rsidTr="002D45A5">
        <w:trPr>
          <w:cantSplit/>
        </w:trPr>
        <w:tc>
          <w:tcPr>
            <w:tcW w:w="1435" w:type="dxa"/>
          </w:tcPr>
          <w:p w14:paraId="5ED56981" w14:textId="77777777" w:rsidR="00AD675A" w:rsidRPr="00E73D2F" w:rsidRDefault="00AD675A" w:rsidP="00AD675A">
            <w:pPr>
              <w:pStyle w:val="TBCentered"/>
            </w:pPr>
            <w:r w:rsidRPr="00E73D2F">
              <w:t>Q2-2</w:t>
            </w:r>
          </w:p>
        </w:tc>
        <w:tc>
          <w:tcPr>
            <w:tcW w:w="3713" w:type="dxa"/>
          </w:tcPr>
          <w:p w14:paraId="3C3D6F5A" w14:textId="77777777" w:rsidR="00AD675A" w:rsidRPr="00E73D2F" w:rsidRDefault="00AD675A" w:rsidP="00F765F7">
            <w:pPr>
              <w:pStyle w:val="TBLeft"/>
            </w:pPr>
            <w:r w:rsidRPr="00E73D2F">
              <w:t>FASB and IASB Conceptual Frameworks</w:t>
            </w:r>
          </w:p>
        </w:tc>
        <w:tc>
          <w:tcPr>
            <w:tcW w:w="1530" w:type="dxa"/>
          </w:tcPr>
          <w:p w14:paraId="1BE5A258" w14:textId="77777777" w:rsidR="00AD675A" w:rsidRPr="00E73D2F" w:rsidRDefault="00AD675A" w:rsidP="00AD675A">
            <w:pPr>
              <w:pStyle w:val="TBCentered"/>
            </w:pPr>
            <w:r w:rsidRPr="00E73D2F">
              <w:t>1</w:t>
            </w:r>
          </w:p>
        </w:tc>
        <w:tc>
          <w:tcPr>
            <w:tcW w:w="1771" w:type="dxa"/>
          </w:tcPr>
          <w:p w14:paraId="5391CADB" w14:textId="77777777" w:rsidR="00AD675A" w:rsidRPr="00E73D2F" w:rsidRDefault="00AD675A" w:rsidP="00AD675A">
            <w:pPr>
              <w:pStyle w:val="TBCentered"/>
            </w:pPr>
            <w:r w:rsidRPr="00E73D2F">
              <w:t>10</w:t>
            </w:r>
          </w:p>
        </w:tc>
        <w:tc>
          <w:tcPr>
            <w:tcW w:w="1109" w:type="dxa"/>
          </w:tcPr>
          <w:p w14:paraId="1B2018F0" w14:textId="77777777" w:rsidR="00AD675A" w:rsidRPr="00E73D2F" w:rsidRDefault="00AD675A" w:rsidP="00AD675A">
            <w:pPr>
              <w:pStyle w:val="TBCentered"/>
            </w:pPr>
            <w:r w:rsidRPr="00E73D2F">
              <w:t>Easy</w:t>
            </w:r>
          </w:p>
        </w:tc>
      </w:tr>
      <w:tr w:rsidR="00AD675A" w:rsidRPr="00E73D2F" w14:paraId="2821C6EF" w14:textId="77777777" w:rsidTr="002D45A5">
        <w:tblPrEx>
          <w:shd w:val="clear" w:color="auto" w:fill="BFBFBF" w:themeFill="background1" w:themeFillShade="BF"/>
        </w:tblPrEx>
        <w:trPr>
          <w:cantSplit/>
        </w:trPr>
        <w:tc>
          <w:tcPr>
            <w:tcW w:w="1435" w:type="dxa"/>
            <w:shd w:val="clear" w:color="auto" w:fill="auto"/>
          </w:tcPr>
          <w:p w14:paraId="1F591320" w14:textId="77777777" w:rsidR="00AD675A" w:rsidRPr="00E73D2F" w:rsidRDefault="00AD675A" w:rsidP="00AD675A">
            <w:pPr>
              <w:pStyle w:val="TBCentered"/>
            </w:pPr>
            <w:r w:rsidRPr="00E73D2F">
              <w:t>Q2-3</w:t>
            </w:r>
          </w:p>
        </w:tc>
        <w:tc>
          <w:tcPr>
            <w:tcW w:w="3713" w:type="dxa"/>
            <w:shd w:val="clear" w:color="auto" w:fill="auto"/>
          </w:tcPr>
          <w:p w14:paraId="373F6DD2" w14:textId="77777777" w:rsidR="00AD675A" w:rsidRPr="00E73D2F" w:rsidRDefault="00AD675A" w:rsidP="00F765F7">
            <w:pPr>
              <w:pStyle w:val="TBLeft"/>
            </w:pPr>
            <w:r w:rsidRPr="00E73D2F">
              <w:t>Conceptual Framework</w:t>
            </w:r>
          </w:p>
        </w:tc>
        <w:tc>
          <w:tcPr>
            <w:tcW w:w="1530" w:type="dxa"/>
            <w:shd w:val="clear" w:color="auto" w:fill="auto"/>
          </w:tcPr>
          <w:p w14:paraId="1764D7CD" w14:textId="77777777" w:rsidR="00AD675A" w:rsidRPr="00E73D2F" w:rsidRDefault="00AD675A" w:rsidP="00AD675A">
            <w:pPr>
              <w:pStyle w:val="TBCentered"/>
            </w:pPr>
            <w:r w:rsidRPr="00E73D2F">
              <w:t>1</w:t>
            </w:r>
          </w:p>
        </w:tc>
        <w:tc>
          <w:tcPr>
            <w:tcW w:w="1771" w:type="dxa"/>
            <w:shd w:val="clear" w:color="auto" w:fill="auto"/>
          </w:tcPr>
          <w:p w14:paraId="12B78407" w14:textId="77777777" w:rsidR="00AD675A" w:rsidRPr="00E73D2F" w:rsidRDefault="00AD675A" w:rsidP="00AD675A">
            <w:pPr>
              <w:pStyle w:val="TBCentered"/>
            </w:pPr>
            <w:r w:rsidRPr="00E73D2F">
              <w:t>10</w:t>
            </w:r>
          </w:p>
        </w:tc>
        <w:tc>
          <w:tcPr>
            <w:tcW w:w="1109" w:type="dxa"/>
            <w:shd w:val="clear" w:color="auto" w:fill="auto"/>
          </w:tcPr>
          <w:p w14:paraId="2550CEFF" w14:textId="77777777" w:rsidR="00AD675A" w:rsidRPr="00E73D2F" w:rsidRDefault="00AD675A" w:rsidP="00AD675A">
            <w:pPr>
              <w:pStyle w:val="TBCentered"/>
            </w:pPr>
            <w:r w:rsidRPr="00E73D2F">
              <w:t>Easy</w:t>
            </w:r>
          </w:p>
        </w:tc>
      </w:tr>
      <w:tr w:rsidR="00AD675A" w:rsidRPr="00E73D2F" w14:paraId="2EA7A922" w14:textId="77777777" w:rsidTr="002D45A5">
        <w:tblPrEx>
          <w:shd w:val="clear" w:color="auto" w:fill="BFBFBF" w:themeFill="background1" w:themeFillShade="BF"/>
        </w:tblPrEx>
        <w:trPr>
          <w:cantSplit/>
        </w:trPr>
        <w:tc>
          <w:tcPr>
            <w:tcW w:w="1435" w:type="dxa"/>
            <w:shd w:val="clear" w:color="auto" w:fill="auto"/>
          </w:tcPr>
          <w:p w14:paraId="32D97E71" w14:textId="77777777" w:rsidR="00AD675A" w:rsidRPr="00E73D2F" w:rsidRDefault="00AD675A" w:rsidP="00AD675A">
            <w:pPr>
              <w:pStyle w:val="TBCentered"/>
            </w:pPr>
            <w:r w:rsidRPr="00E73D2F">
              <w:t>Q2-4</w:t>
            </w:r>
          </w:p>
        </w:tc>
        <w:tc>
          <w:tcPr>
            <w:tcW w:w="3713" w:type="dxa"/>
            <w:shd w:val="clear" w:color="auto" w:fill="auto"/>
          </w:tcPr>
          <w:p w14:paraId="5CD470B1" w14:textId="77777777" w:rsidR="00AD675A" w:rsidRPr="00E73D2F" w:rsidRDefault="00AD675A" w:rsidP="00F765F7">
            <w:pPr>
              <w:pStyle w:val="TBLeft"/>
            </w:pPr>
            <w:r w:rsidRPr="00E73D2F">
              <w:t>Users of Financial Statements</w:t>
            </w:r>
          </w:p>
        </w:tc>
        <w:tc>
          <w:tcPr>
            <w:tcW w:w="1530" w:type="dxa"/>
            <w:shd w:val="clear" w:color="auto" w:fill="auto"/>
          </w:tcPr>
          <w:p w14:paraId="5CF4269E" w14:textId="77777777" w:rsidR="00AD675A" w:rsidRPr="00E73D2F" w:rsidRDefault="00AD675A" w:rsidP="00AD675A">
            <w:pPr>
              <w:pStyle w:val="TBCentered"/>
            </w:pPr>
            <w:r w:rsidRPr="00E73D2F">
              <w:t>2</w:t>
            </w:r>
          </w:p>
        </w:tc>
        <w:tc>
          <w:tcPr>
            <w:tcW w:w="1771" w:type="dxa"/>
            <w:shd w:val="clear" w:color="auto" w:fill="auto"/>
          </w:tcPr>
          <w:p w14:paraId="1D7A5FF4" w14:textId="77777777" w:rsidR="00AD675A" w:rsidRPr="00E73D2F" w:rsidRDefault="00AD675A" w:rsidP="00AD675A">
            <w:pPr>
              <w:pStyle w:val="TBCentered"/>
            </w:pPr>
            <w:r w:rsidRPr="00E73D2F">
              <w:t>10</w:t>
            </w:r>
          </w:p>
        </w:tc>
        <w:tc>
          <w:tcPr>
            <w:tcW w:w="1109" w:type="dxa"/>
            <w:shd w:val="clear" w:color="auto" w:fill="auto"/>
          </w:tcPr>
          <w:p w14:paraId="7ABFE456" w14:textId="77777777" w:rsidR="00AD675A" w:rsidRPr="00E73D2F" w:rsidRDefault="00AD675A" w:rsidP="00AD675A">
            <w:pPr>
              <w:pStyle w:val="TBCentered"/>
            </w:pPr>
            <w:r w:rsidRPr="00E73D2F">
              <w:t>Easy</w:t>
            </w:r>
          </w:p>
        </w:tc>
      </w:tr>
      <w:tr w:rsidR="00AD675A" w:rsidRPr="00E73D2F" w14:paraId="50FF34E0" w14:textId="77777777" w:rsidTr="002D45A5">
        <w:tblPrEx>
          <w:shd w:val="clear" w:color="auto" w:fill="BFBFBF" w:themeFill="background1" w:themeFillShade="BF"/>
        </w:tblPrEx>
        <w:trPr>
          <w:cantSplit/>
        </w:trPr>
        <w:tc>
          <w:tcPr>
            <w:tcW w:w="1435" w:type="dxa"/>
            <w:shd w:val="clear" w:color="auto" w:fill="auto"/>
          </w:tcPr>
          <w:p w14:paraId="71105AC9" w14:textId="77777777" w:rsidR="00AD675A" w:rsidRPr="00E73D2F" w:rsidRDefault="00AD675A" w:rsidP="00AD675A">
            <w:pPr>
              <w:pStyle w:val="TBCentered"/>
            </w:pPr>
            <w:r w:rsidRPr="00E73D2F">
              <w:t>Q2-5</w:t>
            </w:r>
          </w:p>
        </w:tc>
        <w:tc>
          <w:tcPr>
            <w:tcW w:w="3713" w:type="dxa"/>
            <w:shd w:val="clear" w:color="auto" w:fill="auto"/>
          </w:tcPr>
          <w:p w14:paraId="1B77BE44" w14:textId="77777777" w:rsidR="00AD675A" w:rsidRPr="00E73D2F" w:rsidRDefault="00AD675A" w:rsidP="00F765F7">
            <w:pPr>
              <w:pStyle w:val="TBLeft"/>
            </w:pPr>
            <w:r w:rsidRPr="00E73D2F">
              <w:t>Relevance</w:t>
            </w:r>
          </w:p>
        </w:tc>
        <w:tc>
          <w:tcPr>
            <w:tcW w:w="1530" w:type="dxa"/>
            <w:shd w:val="clear" w:color="auto" w:fill="auto"/>
          </w:tcPr>
          <w:p w14:paraId="5BCB0A19" w14:textId="77777777" w:rsidR="00AD675A" w:rsidRPr="00E73D2F" w:rsidRDefault="00AD675A" w:rsidP="00AD675A">
            <w:pPr>
              <w:pStyle w:val="TBCentered"/>
            </w:pPr>
            <w:r w:rsidRPr="00E73D2F">
              <w:t>3</w:t>
            </w:r>
          </w:p>
        </w:tc>
        <w:tc>
          <w:tcPr>
            <w:tcW w:w="1771" w:type="dxa"/>
            <w:shd w:val="clear" w:color="auto" w:fill="auto"/>
          </w:tcPr>
          <w:p w14:paraId="174F414B" w14:textId="77777777" w:rsidR="00AD675A" w:rsidRPr="00E73D2F" w:rsidRDefault="00AD675A" w:rsidP="00AD675A">
            <w:pPr>
              <w:pStyle w:val="TBCentered"/>
            </w:pPr>
            <w:r w:rsidRPr="00E73D2F">
              <w:t>10</w:t>
            </w:r>
          </w:p>
        </w:tc>
        <w:tc>
          <w:tcPr>
            <w:tcW w:w="1109" w:type="dxa"/>
            <w:shd w:val="clear" w:color="auto" w:fill="auto"/>
          </w:tcPr>
          <w:p w14:paraId="5688966A" w14:textId="77777777" w:rsidR="00AD675A" w:rsidRPr="00E73D2F" w:rsidRDefault="00AD675A" w:rsidP="00AD675A">
            <w:pPr>
              <w:pStyle w:val="TBCentered"/>
            </w:pPr>
            <w:r w:rsidRPr="00E73D2F">
              <w:t>Easy</w:t>
            </w:r>
          </w:p>
        </w:tc>
      </w:tr>
      <w:tr w:rsidR="00AD675A" w:rsidRPr="00E73D2F" w14:paraId="177A3FAA" w14:textId="77777777" w:rsidTr="002D45A5">
        <w:tblPrEx>
          <w:shd w:val="clear" w:color="auto" w:fill="BFBFBF" w:themeFill="background1" w:themeFillShade="BF"/>
        </w:tblPrEx>
        <w:trPr>
          <w:cantSplit/>
        </w:trPr>
        <w:tc>
          <w:tcPr>
            <w:tcW w:w="1435" w:type="dxa"/>
            <w:shd w:val="clear" w:color="auto" w:fill="auto"/>
          </w:tcPr>
          <w:p w14:paraId="699C6371" w14:textId="77777777" w:rsidR="00AD675A" w:rsidRPr="00E73D2F" w:rsidRDefault="00AD675A" w:rsidP="00AD675A">
            <w:pPr>
              <w:pStyle w:val="TBCentered"/>
            </w:pPr>
            <w:r w:rsidRPr="00E73D2F">
              <w:t>Q2-6</w:t>
            </w:r>
          </w:p>
        </w:tc>
        <w:tc>
          <w:tcPr>
            <w:tcW w:w="3713" w:type="dxa"/>
            <w:shd w:val="clear" w:color="auto" w:fill="auto"/>
          </w:tcPr>
          <w:p w14:paraId="2F9FDFBC" w14:textId="73286CAA" w:rsidR="00AD675A" w:rsidRPr="00E73D2F" w:rsidRDefault="00606783" w:rsidP="00F765F7">
            <w:pPr>
              <w:pStyle w:val="TBLeft"/>
            </w:pPr>
            <w:r w:rsidRPr="00E73D2F">
              <w:t>Relevance</w:t>
            </w:r>
          </w:p>
        </w:tc>
        <w:tc>
          <w:tcPr>
            <w:tcW w:w="1530" w:type="dxa"/>
            <w:shd w:val="clear" w:color="auto" w:fill="auto"/>
          </w:tcPr>
          <w:p w14:paraId="2357088A" w14:textId="77777777" w:rsidR="00AD675A" w:rsidRPr="00E73D2F" w:rsidRDefault="00AD675A" w:rsidP="00AD675A">
            <w:pPr>
              <w:pStyle w:val="TBCentered"/>
            </w:pPr>
            <w:r w:rsidRPr="00E73D2F">
              <w:t>3</w:t>
            </w:r>
          </w:p>
        </w:tc>
        <w:tc>
          <w:tcPr>
            <w:tcW w:w="1771" w:type="dxa"/>
            <w:shd w:val="clear" w:color="auto" w:fill="auto"/>
          </w:tcPr>
          <w:p w14:paraId="5CEF566B" w14:textId="77777777" w:rsidR="00AD675A" w:rsidRPr="00E73D2F" w:rsidRDefault="00AD675A" w:rsidP="00AD675A">
            <w:pPr>
              <w:pStyle w:val="TBCentered"/>
            </w:pPr>
            <w:r w:rsidRPr="00E73D2F">
              <w:t>10</w:t>
            </w:r>
          </w:p>
        </w:tc>
        <w:tc>
          <w:tcPr>
            <w:tcW w:w="1109" w:type="dxa"/>
            <w:shd w:val="clear" w:color="auto" w:fill="auto"/>
          </w:tcPr>
          <w:p w14:paraId="64D3413A" w14:textId="77777777" w:rsidR="00AD675A" w:rsidRPr="00E73D2F" w:rsidRDefault="00AD675A" w:rsidP="00AD675A">
            <w:pPr>
              <w:pStyle w:val="TBCentered"/>
            </w:pPr>
            <w:r w:rsidRPr="00E73D2F">
              <w:t>Easy</w:t>
            </w:r>
          </w:p>
        </w:tc>
      </w:tr>
      <w:tr w:rsidR="00AD675A" w:rsidRPr="00E73D2F" w14:paraId="07ED2F0B" w14:textId="77777777" w:rsidTr="002D45A5">
        <w:tblPrEx>
          <w:shd w:val="clear" w:color="auto" w:fill="BFBFBF" w:themeFill="background1" w:themeFillShade="BF"/>
        </w:tblPrEx>
        <w:trPr>
          <w:cantSplit/>
        </w:trPr>
        <w:tc>
          <w:tcPr>
            <w:tcW w:w="1435" w:type="dxa"/>
            <w:shd w:val="clear" w:color="auto" w:fill="auto"/>
          </w:tcPr>
          <w:p w14:paraId="47E91E52" w14:textId="77777777" w:rsidR="00AD675A" w:rsidRPr="00E73D2F" w:rsidRDefault="00AD675A" w:rsidP="00AD675A">
            <w:pPr>
              <w:pStyle w:val="TBCentered"/>
            </w:pPr>
            <w:r w:rsidRPr="00E73D2F">
              <w:t>Q2-7</w:t>
            </w:r>
          </w:p>
        </w:tc>
        <w:tc>
          <w:tcPr>
            <w:tcW w:w="3713" w:type="dxa"/>
            <w:shd w:val="clear" w:color="auto" w:fill="auto"/>
          </w:tcPr>
          <w:p w14:paraId="553D0728" w14:textId="70DD9E48" w:rsidR="00AD675A" w:rsidRPr="00E73D2F" w:rsidRDefault="00606783" w:rsidP="00F765F7">
            <w:pPr>
              <w:pStyle w:val="TBLeft"/>
            </w:pPr>
            <w:r w:rsidRPr="00E73D2F">
              <w:t>Materiality</w:t>
            </w:r>
          </w:p>
        </w:tc>
        <w:tc>
          <w:tcPr>
            <w:tcW w:w="1530" w:type="dxa"/>
            <w:shd w:val="clear" w:color="auto" w:fill="auto"/>
          </w:tcPr>
          <w:p w14:paraId="21485B6E" w14:textId="77777777" w:rsidR="00AD675A" w:rsidRPr="00E73D2F" w:rsidRDefault="00AD675A" w:rsidP="00AD675A">
            <w:pPr>
              <w:pStyle w:val="TBCentered"/>
            </w:pPr>
            <w:r w:rsidRPr="00E73D2F">
              <w:t>3</w:t>
            </w:r>
          </w:p>
        </w:tc>
        <w:tc>
          <w:tcPr>
            <w:tcW w:w="1771" w:type="dxa"/>
            <w:shd w:val="clear" w:color="auto" w:fill="auto"/>
          </w:tcPr>
          <w:p w14:paraId="6FE852E4" w14:textId="77777777" w:rsidR="00AD675A" w:rsidRPr="00E73D2F" w:rsidRDefault="00AD675A" w:rsidP="00AD675A">
            <w:pPr>
              <w:pStyle w:val="TBCentered"/>
            </w:pPr>
            <w:r w:rsidRPr="00E73D2F">
              <w:t>10</w:t>
            </w:r>
          </w:p>
        </w:tc>
        <w:tc>
          <w:tcPr>
            <w:tcW w:w="1109" w:type="dxa"/>
            <w:shd w:val="clear" w:color="auto" w:fill="auto"/>
          </w:tcPr>
          <w:p w14:paraId="3EC0DD0E" w14:textId="77777777" w:rsidR="00AD675A" w:rsidRPr="00E73D2F" w:rsidRDefault="00AD675A" w:rsidP="00AD675A">
            <w:pPr>
              <w:pStyle w:val="TBCentered"/>
            </w:pPr>
            <w:r w:rsidRPr="00E73D2F">
              <w:t>Easy</w:t>
            </w:r>
          </w:p>
        </w:tc>
      </w:tr>
      <w:tr w:rsidR="00AD675A" w:rsidRPr="00E73D2F" w14:paraId="7EDE57D2" w14:textId="77777777" w:rsidTr="002D45A5">
        <w:tblPrEx>
          <w:shd w:val="clear" w:color="auto" w:fill="BFBFBF" w:themeFill="background1" w:themeFillShade="BF"/>
        </w:tblPrEx>
        <w:trPr>
          <w:cantSplit/>
        </w:trPr>
        <w:tc>
          <w:tcPr>
            <w:tcW w:w="1435" w:type="dxa"/>
            <w:shd w:val="clear" w:color="auto" w:fill="auto"/>
          </w:tcPr>
          <w:p w14:paraId="31325B04" w14:textId="77777777" w:rsidR="00AD675A" w:rsidRPr="00E73D2F" w:rsidRDefault="00AD675A" w:rsidP="00AD675A">
            <w:pPr>
              <w:pStyle w:val="TBCentered"/>
            </w:pPr>
            <w:r w:rsidRPr="00E73D2F">
              <w:t>Q2-8</w:t>
            </w:r>
          </w:p>
        </w:tc>
        <w:tc>
          <w:tcPr>
            <w:tcW w:w="3713" w:type="dxa"/>
            <w:shd w:val="clear" w:color="auto" w:fill="auto"/>
          </w:tcPr>
          <w:p w14:paraId="73DA6DC2" w14:textId="010E18FC" w:rsidR="00AD675A" w:rsidRPr="00E73D2F" w:rsidRDefault="00606783" w:rsidP="00F765F7">
            <w:pPr>
              <w:pStyle w:val="TBLeft"/>
            </w:pPr>
            <w:r w:rsidRPr="00E73D2F">
              <w:t>Predictive Value</w:t>
            </w:r>
          </w:p>
        </w:tc>
        <w:tc>
          <w:tcPr>
            <w:tcW w:w="1530" w:type="dxa"/>
            <w:shd w:val="clear" w:color="auto" w:fill="auto"/>
          </w:tcPr>
          <w:p w14:paraId="1DB1AC5B" w14:textId="77777777" w:rsidR="00AD675A" w:rsidRPr="00E73D2F" w:rsidRDefault="00AD675A" w:rsidP="00AD675A">
            <w:pPr>
              <w:pStyle w:val="TBCentered"/>
            </w:pPr>
            <w:r w:rsidRPr="00E73D2F">
              <w:t>3</w:t>
            </w:r>
          </w:p>
        </w:tc>
        <w:tc>
          <w:tcPr>
            <w:tcW w:w="1771" w:type="dxa"/>
            <w:shd w:val="clear" w:color="auto" w:fill="auto"/>
          </w:tcPr>
          <w:p w14:paraId="442DE2B8" w14:textId="77777777" w:rsidR="00AD675A" w:rsidRPr="00E73D2F" w:rsidRDefault="00AD675A" w:rsidP="00AD675A">
            <w:pPr>
              <w:pStyle w:val="TBCentered"/>
            </w:pPr>
            <w:r w:rsidRPr="00E73D2F">
              <w:t>10</w:t>
            </w:r>
          </w:p>
        </w:tc>
        <w:tc>
          <w:tcPr>
            <w:tcW w:w="1109" w:type="dxa"/>
            <w:shd w:val="clear" w:color="auto" w:fill="auto"/>
          </w:tcPr>
          <w:p w14:paraId="2F5F8782" w14:textId="77777777" w:rsidR="00AD675A" w:rsidRPr="00E73D2F" w:rsidRDefault="00AD675A" w:rsidP="00AD675A">
            <w:pPr>
              <w:pStyle w:val="TBCentered"/>
            </w:pPr>
            <w:r w:rsidRPr="00E73D2F">
              <w:t>Easy</w:t>
            </w:r>
          </w:p>
        </w:tc>
      </w:tr>
      <w:tr w:rsidR="00AD675A" w:rsidRPr="00E73D2F" w14:paraId="4F82A8EA" w14:textId="77777777" w:rsidTr="002D45A5">
        <w:tblPrEx>
          <w:shd w:val="clear" w:color="auto" w:fill="BFBFBF" w:themeFill="background1" w:themeFillShade="BF"/>
        </w:tblPrEx>
        <w:trPr>
          <w:cantSplit/>
        </w:trPr>
        <w:tc>
          <w:tcPr>
            <w:tcW w:w="1435" w:type="dxa"/>
            <w:shd w:val="clear" w:color="auto" w:fill="auto"/>
          </w:tcPr>
          <w:p w14:paraId="32DC0C13" w14:textId="77777777" w:rsidR="00AD675A" w:rsidRPr="00E73D2F" w:rsidRDefault="00AD675A" w:rsidP="00AD675A">
            <w:pPr>
              <w:pStyle w:val="TBCentered"/>
            </w:pPr>
            <w:r w:rsidRPr="00E73D2F">
              <w:t>Q2-9</w:t>
            </w:r>
          </w:p>
        </w:tc>
        <w:tc>
          <w:tcPr>
            <w:tcW w:w="3713" w:type="dxa"/>
            <w:shd w:val="clear" w:color="auto" w:fill="auto"/>
          </w:tcPr>
          <w:p w14:paraId="3EC80740" w14:textId="0654C388" w:rsidR="00AD675A" w:rsidRPr="00E73D2F" w:rsidRDefault="00606783" w:rsidP="00F765F7">
            <w:pPr>
              <w:pStyle w:val="TBLeft"/>
            </w:pPr>
            <w:r w:rsidRPr="00E73D2F">
              <w:t>Predictive Value v</w:t>
            </w:r>
            <w:r w:rsidR="002D45A5" w:rsidRPr="00E73D2F">
              <w:t>ersu</w:t>
            </w:r>
            <w:r w:rsidRPr="00E73D2F">
              <w:t>s Confirmatory Value</w:t>
            </w:r>
          </w:p>
        </w:tc>
        <w:tc>
          <w:tcPr>
            <w:tcW w:w="1530" w:type="dxa"/>
            <w:shd w:val="clear" w:color="auto" w:fill="auto"/>
          </w:tcPr>
          <w:p w14:paraId="1ACAEDA1" w14:textId="7CDDDF07" w:rsidR="00AD675A" w:rsidRPr="00E73D2F" w:rsidRDefault="00231ACE" w:rsidP="00BC3270">
            <w:pPr>
              <w:pStyle w:val="TBCentered"/>
            </w:pPr>
            <w:r w:rsidRPr="00E73D2F">
              <w:t>3</w:t>
            </w:r>
          </w:p>
        </w:tc>
        <w:tc>
          <w:tcPr>
            <w:tcW w:w="1771" w:type="dxa"/>
            <w:shd w:val="clear" w:color="auto" w:fill="auto"/>
          </w:tcPr>
          <w:p w14:paraId="760B08FC" w14:textId="77777777" w:rsidR="00AD675A" w:rsidRPr="00E73D2F" w:rsidRDefault="00AD675A" w:rsidP="00AD675A">
            <w:pPr>
              <w:pStyle w:val="TBCentered"/>
            </w:pPr>
            <w:r w:rsidRPr="00E73D2F">
              <w:t>10</w:t>
            </w:r>
          </w:p>
        </w:tc>
        <w:tc>
          <w:tcPr>
            <w:tcW w:w="1109" w:type="dxa"/>
            <w:shd w:val="clear" w:color="auto" w:fill="auto"/>
          </w:tcPr>
          <w:p w14:paraId="2064A109" w14:textId="77777777" w:rsidR="00AD675A" w:rsidRPr="00E73D2F" w:rsidRDefault="00AD675A" w:rsidP="00AD675A">
            <w:pPr>
              <w:pStyle w:val="TBCentered"/>
            </w:pPr>
            <w:r w:rsidRPr="00E73D2F">
              <w:t>Easy</w:t>
            </w:r>
          </w:p>
        </w:tc>
      </w:tr>
      <w:tr w:rsidR="00AD675A" w:rsidRPr="00E73D2F" w14:paraId="4570EC27" w14:textId="77777777" w:rsidTr="002D45A5">
        <w:tblPrEx>
          <w:shd w:val="clear" w:color="auto" w:fill="BFBFBF" w:themeFill="background1" w:themeFillShade="BF"/>
        </w:tblPrEx>
        <w:trPr>
          <w:cantSplit/>
        </w:trPr>
        <w:tc>
          <w:tcPr>
            <w:tcW w:w="1435" w:type="dxa"/>
            <w:shd w:val="clear" w:color="auto" w:fill="auto"/>
          </w:tcPr>
          <w:p w14:paraId="62970042" w14:textId="77777777" w:rsidR="00AD675A" w:rsidRPr="00E73D2F" w:rsidRDefault="00AD675A" w:rsidP="00AD675A">
            <w:pPr>
              <w:pStyle w:val="TBCentered"/>
            </w:pPr>
            <w:r w:rsidRPr="00E73D2F">
              <w:t>Q2-10</w:t>
            </w:r>
          </w:p>
        </w:tc>
        <w:tc>
          <w:tcPr>
            <w:tcW w:w="3713" w:type="dxa"/>
            <w:shd w:val="clear" w:color="auto" w:fill="auto"/>
          </w:tcPr>
          <w:p w14:paraId="55F1C95B" w14:textId="66C214F3" w:rsidR="00AD675A" w:rsidRPr="00E73D2F" w:rsidRDefault="00606783" w:rsidP="00F765F7">
            <w:pPr>
              <w:pStyle w:val="TBLeft"/>
            </w:pPr>
            <w:r w:rsidRPr="00E73D2F">
              <w:t>Understandability</w:t>
            </w:r>
          </w:p>
        </w:tc>
        <w:tc>
          <w:tcPr>
            <w:tcW w:w="1530" w:type="dxa"/>
            <w:shd w:val="clear" w:color="auto" w:fill="auto"/>
          </w:tcPr>
          <w:p w14:paraId="37C678AF" w14:textId="3EAAAB2F" w:rsidR="00AD675A" w:rsidRPr="00E73D2F" w:rsidRDefault="00231ACE" w:rsidP="00657A32">
            <w:pPr>
              <w:pStyle w:val="TBCentered"/>
            </w:pPr>
            <w:r w:rsidRPr="00E73D2F">
              <w:t>3</w:t>
            </w:r>
          </w:p>
        </w:tc>
        <w:tc>
          <w:tcPr>
            <w:tcW w:w="1771" w:type="dxa"/>
            <w:shd w:val="clear" w:color="auto" w:fill="auto"/>
          </w:tcPr>
          <w:p w14:paraId="54109622" w14:textId="77777777" w:rsidR="00AD675A" w:rsidRPr="00E73D2F" w:rsidRDefault="00AD675A" w:rsidP="00AD675A">
            <w:pPr>
              <w:pStyle w:val="TBCentered"/>
            </w:pPr>
            <w:r w:rsidRPr="00E73D2F">
              <w:t>10</w:t>
            </w:r>
          </w:p>
        </w:tc>
        <w:tc>
          <w:tcPr>
            <w:tcW w:w="1109" w:type="dxa"/>
            <w:shd w:val="clear" w:color="auto" w:fill="auto"/>
          </w:tcPr>
          <w:p w14:paraId="1B5C77E9" w14:textId="77777777" w:rsidR="00AD675A" w:rsidRPr="00E73D2F" w:rsidRDefault="00AD675A" w:rsidP="00AD675A">
            <w:pPr>
              <w:pStyle w:val="TBCentered"/>
            </w:pPr>
            <w:r w:rsidRPr="00E73D2F">
              <w:t>Easy</w:t>
            </w:r>
          </w:p>
        </w:tc>
      </w:tr>
      <w:tr w:rsidR="00231ACE" w:rsidRPr="00E73D2F" w14:paraId="58F07F63" w14:textId="77777777" w:rsidTr="002D45A5">
        <w:tblPrEx>
          <w:shd w:val="clear" w:color="auto" w:fill="BFBFBF" w:themeFill="background1" w:themeFillShade="BF"/>
        </w:tblPrEx>
        <w:trPr>
          <w:cantSplit/>
        </w:trPr>
        <w:tc>
          <w:tcPr>
            <w:tcW w:w="1435" w:type="dxa"/>
            <w:shd w:val="clear" w:color="auto" w:fill="auto"/>
          </w:tcPr>
          <w:p w14:paraId="5DDC7072" w14:textId="050BDC7B" w:rsidR="00231ACE" w:rsidRPr="00E73D2F" w:rsidRDefault="00231ACE" w:rsidP="00231ACE">
            <w:pPr>
              <w:pStyle w:val="TBCentered"/>
            </w:pPr>
            <w:r w:rsidRPr="00E73D2F">
              <w:t>Q2-11</w:t>
            </w:r>
          </w:p>
        </w:tc>
        <w:tc>
          <w:tcPr>
            <w:tcW w:w="3713" w:type="dxa"/>
            <w:shd w:val="clear" w:color="auto" w:fill="auto"/>
          </w:tcPr>
          <w:p w14:paraId="6CD2B3EE" w14:textId="3396B9E1" w:rsidR="00231ACE" w:rsidRPr="00E73D2F" w:rsidRDefault="00606783" w:rsidP="00231ACE">
            <w:pPr>
              <w:pStyle w:val="TBLeft"/>
            </w:pPr>
            <w:r w:rsidRPr="00E73D2F">
              <w:t>Point</w:t>
            </w:r>
            <w:r w:rsidR="004B1D1A" w:rsidRPr="00E73D2F">
              <w:t>-</w:t>
            </w:r>
            <w:r w:rsidRPr="00E73D2F">
              <w:t>in</w:t>
            </w:r>
            <w:r w:rsidR="004B1D1A" w:rsidRPr="00E73D2F">
              <w:t>-</w:t>
            </w:r>
            <w:r w:rsidR="002D45A5" w:rsidRPr="00E73D2F">
              <w:t>T</w:t>
            </w:r>
            <w:r w:rsidRPr="00E73D2F">
              <w:t>ime v</w:t>
            </w:r>
            <w:r w:rsidR="002D45A5" w:rsidRPr="00E73D2F">
              <w:t>ersu</w:t>
            </w:r>
            <w:r w:rsidRPr="00E73D2F">
              <w:t>s Period</w:t>
            </w:r>
            <w:r w:rsidR="004B1D1A" w:rsidRPr="00E73D2F">
              <w:t>-of-</w:t>
            </w:r>
            <w:r w:rsidR="002D45A5" w:rsidRPr="00E73D2F">
              <w:t>T</w:t>
            </w:r>
            <w:r w:rsidRPr="00E73D2F">
              <w:t>ime</w:t>
            </w:r>
            <w:r w:rsidR="004B1D1A" w:rsidRPr="00E73D2F">
              <w:t xml:space="preserve"> Elements</w:t>
            </w:r>
          </w:p>
        </w:tc>
        <w:tc>
          <w:tcPr>
            <w:tcW w:w="1530" w:type="dxa"/>
            <w:shd w:val="clear" w:color="auto" w:fill="auto"/>
          </w:tcPr>
          <w:p w14:paraId="6A4DAE97" w14:textId="6FF73B55" w:rsidR="00231ACE" w:rsidRPr="00E73D2F" w:rsidRDefault="00231ACE" w:rsidP="00231ACE">
            <w:pPr>
              <w:pStyle w:val="TBCentered"/>
            </w:pPr>
            <w:r w:rsidRPr="00E73D2F">
              <w:t>4</w:t>
            </w:r>
          </w:p>
        </w:tc>
        <w:tc>
          <w:tcPr>
            <w:tcW w:w="1771" w:type="dxa"/>
            <w:shd w:val="clear" w:color="auto" w:fill="auto"/>
          </w:tcPr>
          <w:p w14:paraId="412FBDE2" w14:textId="1DB24685" w:rsidR="00231ACE" w:rsidRPr="00E73D2F" w:rsidRDefault="00231ACE" w:rsidP="00231ACE">
            <w:pPr>
              <w:pStyle w:val="TBCentered"/>
            </w:pPr>
            <w:r w:rsidRPr="00E73D2F">
              <w:t>10</w:t>
            </w:r>
          </w:p>
        </w:tc>
        <w:tc>
          <w:tcPr>
            <w:tcW w:w="1109" w:type="dxa"/>
            <w:shd w:val="clear" w:color="auto" w:fill="auto"/>
          </w:tcPr>
          <w:p w14:paraId="5F945793" w14:textId="6A323939" w:rsidR="00231ACE" w:rsidRPr="00E73D2F" w:rsidRDefault="00231ACE" w:rsidP="00231ACE">
            <w:pPr>
              <w:pStyle w:val="TBCentered"/>
            </w:pPr>
            <w:r w:rsidRPr="00E73D2F">
              <w:t>Easy</w:t>
            </w:r>
          </w:p>
        </w:tc>
      </w:tr>
      <w:tr w:rsidR="00231ACE" w:rsidRPr="00E73D2F" w14:paraId="65DF10C9" w14:textId="77777777" w:rsidTr="002D45A5">
        <w:tblPrEx>
          <w:shd w:val="clear" w:color="auto" w:fill="BFBFBF" w:themeFill="background1" w:themeFillShade="BF"/>
        </w:tblPrEx>
        <w:trPr>
          <w:cantSplit/>
        </w:trPr>
        <w:tc>
          <w:tcPr>
            <w:tcW w:w="1435" w:type="dxa"/>
            <w:shd w:val="clear" w:color="auto" w:fill="auto"/>
          </w:tcPr>
          <w:p w14:paraId="1D53E2C4" w14:textId="5EEA9EE8" w:rsidR="00231ACE" w:rsidRPr="00E73D2F" w:rsidRDefault="00231ACE" w:rsidP="00231ACE">
            <w:pPr>
              <w:pStyle w:val="TBCentered"/>
            </w:pPr>
            <w:r w:rsidRPr="00E73D2F">
              <w:t>Q2-12</w:t>
            </w:r>
          </w:p>
        </w:tc>
        <w:tc>
          <w:tcPr>
            <w:tcW w:w="3713" w:type="dxa"/>
            <w:shd w:val="clear" w:color="auto" w:fill="auto"/>
          </w:tcPr>
          <w:p w14:paraId="362F3EF6" w14:textId="26ED3E3D" w:rsidR="00231ACE" w:rsidRPr="00E73D2F" w:rsidRDefault="00606783" w:rsidP="00231ACE">
            <w:pPr>
              <w:pStyle w:val="TBLeft"/>
            </w:pPr>
            <w:r w:rsidRPr="00E73D2F">
              <w:t>Elements of Financial Reporting</w:t>
            </w:r>
          </w:p>
        </w:tc>
        <w:tc>
          <w:tcPr>
            <w:tcW w:w="1530" w:type="dxa"/>
            <w:shd w:val="clear" w:color="auto" w:fill="auto"/>
          </w:tcPr>
          <w:p w14:paraId="4D8F4154" w14:textId="0C2ACBF0" w:rsidR="00231ACE" w:rsidRPr="00E73D2F" w:rsidRDefault="00231ACE" w:rsidP="00231ACE">
            <w:pPr>
              <w:pStyle w:val="TBCentered"/>
            </w:pPr>
            <w:r w:rsidRPr="00E73D2F">
              <w:t>4</w:t>
            </w:r>
          </w:p>
        </w:tc>
        <w:tc>
          <w:tcPr>
            <w:tcW w:w="1771" w:type="dxa"/>
            <w:shd w:val="clear" w:color="auto" w:fill="auto"/>
          </w:tcPr>
          <w:p w14:paraId="0BCA04D1" w14:textId="01ED79F9" w:rsidR="00231ACE" w:rsidRPr="00E73D2F" w:rsidRDefault="00231ACE" w:rsidP="00231ACE">
            <w:pPr>
              <w:pStyle w:val="TBCentered"/>
            </w:pPr>
            <w:r w:rsidRPr="00E73D2F">
              <w:t>10</w:t>
            </w:r>
          </w:p>
        </w:tc>
        <w:tc>
          <w:tcPr>
            <w:tcW w:w="1109" w:type="dxa"/>
            <w:shd w:val="clear" w:color="auto" w:fill="auto"/>
          </w:tcPr>
          <w:p w14:paraId="60277C79" w14:textId="4B518C03" w:rsidR="00231ACE" w:rsidRPr="00E73D2F" w:rsidRDefault="00231ACE" w:rsidP="00231ACE">
            <w:pPr>
              <w:pStyle w:val="TBCentered"/>
            </w:pPr>
            <w:r w:rsidRPr="00E73D2F">
              <w:t>Easy</w:t>
            </w:r>
          </w:p>
        </w:tc>
      </w:tr>
      <w:tr w:rsidR="00231ACE" w:rsidRPr="00E73D2F" w14:paraId="2AF57BF1" w14:textId="77777777" w:rsidTr="002D45A5">
        <w:tblPrEx>
          <w:shd w:val="clear" w:color="auto" w:fill="BFBFBF" w:themeFill="background1" w:themeFillShade="BF"/>
        </w:tblPrEx>
        <w:trPr>
          <w:cantSplit/>
        </w:trPr>
        <w:tc>
          <w:tcPr>
            <w:tcW w:w="1435" w:type="dxa"/>
            <w:shd w:val="clear" w:color="auto" w:fill="auto"/>
          </w:tcPr>
          <w:p w14:paraId="28EFFEDB" w14:textId="6398866F" w:rsidR="00231ACE" w:rsidRPr="00E73D2F" w:rsidRDefault="00231ACE" w:rsidP="00231ACE">
            <w:pPr>
              <w:pStyle w:val="TBCentered"/>
            </w:pPr>
            <w:r w:rsidRPr="00E73D2F">
              <w:t>Q2-13</w:t>
            </w:r>
          </w:p>
        </w:tc>
        <w:tc>
          <w:tcPr>
            <w:tcW w:w="3713" w:type="dxa"/>
            <w:shd w:val="clear" w:color="auto" w:fill="auto"/>
          </w:tcPr>
          <w:p w14:paraId="1A10D8D3" w14:textId="3865C8AD" w:rsidR="00231ACE" w:rsidRPr="00E73D2F" w:rsidRDefault="00C32E62" w:rsidP="00231ACE">
            <w:pPr>
              <w:pStyle w:val="TBLeft"/>
            </w:pPr>
            <w:r w:rsidRPr="00E73D2F">
              <w:t xml:space="preserve">Definition of an </w:t>
            </w:r>
            <w:r w:rsidR="002D45A5" w:rsidRPr="00E73D2F">
              <w:t>A</w:t>
            </w:r>
            <w:r w:rsidRPr="00E73D2F">
              <w:t>sset</w:t>
            </w:r>
          </w:p>
        </w:tc>
        <w:tc>
          <w:tcPr>
            <w:tcW w:w="1530" w:type="dxa"/>
            <w:shd w:val="clear" w:color="auto" w:fill="auto"/>
          </w:tcPr>
          <w:p w14:paraId="135AD226" w14:textId="1C81E50C" w:rsidR="00231ACE" w:rsidRPr="00E73D2F" w:rsidRDefault="00231ACE" w:rsidP="00231ACE">
            <w:pPr>
              <w:pStyle w:val="TBCentered"/>
            </w:pPr>
            <w:r w:rsidRPr="00E73D2F">
              <w:t>4</w:t>
            </w:r>
          </w:p>
        </w:tc>
        <w:tc>
          <w:tcPr>
            <w:tcW w:w="1771" w:type="dxa"/>
            <w:shd w:val="clear" w:color="auto" w:fill="auto"/>
          </w:tcPr>
          <w:p w14:paraId="1E3CB7D3" w14:textId="0F2A70E5" w:rsidR="00231ACE" w:rsidRPr="00E73D2F" w:rsidRDefault="00C32E62" w:rsidP="00231ACE">
            <w:pPr>
              <w:pStyle w:val="TBCentered"/>
            </w:pPr>
            <w:r w:rsidRPr="00E73D2F">
              <w:t>10</w:t>
            </w:r>
          </w:p>
        </w:tc>
        <w:tc>
          <w:tcPr>
            <w:tcW w:w="1109" w:type="dxa"/>
            <w:shd w:val="clear" w:color="auto" w:fill="auto"/>
          </w:tcPr>
          <w:p w14:paraId="1A64E016" w14:textId="5AD503FD" w:rsidR="00231ACE" w:rsidRPr="00E73D2F" w:rsidRDefault="00C32E62" w:rsidP="00231ACE">
            <w:pPr>
              <w:pStyle w:val="TBCentered"/>
            </w:pPr>
            <w:r w:rsidRPr="00E73D2F">
              <w:t>Easy</w:t>
            </w:r>
          </w:p>
        </w:tc>
      </w:tr>
      <w:tr w:rsidR="00231ACE" w:rsidRPr="00E73D2F" w14:paraId="43F31381" w14:textId="77777777" w:rsidTr="002D45A5">
        <w:tblPrEx>
          <w:shd w:val="clear" w:color="auto" w:fill="BFBFBF" w:themeFill="background1" w:themeFillShade="BF"/>
        </w:tblPrEx>
        <w:trPr>
          <w:cantSplit/>
        </w:trPr>
        <w:tc>
          <w:tcPr>
            <w:tcW w:w="1435" w:type="dxa"/>
            <w:shd w:val="clear" w:color="auto" w:fill="auto"/>
          </w:tcPr>
          <w:p w14:paraId="18206B16" w14:textId="33D069D1" w:rsidR="00231ACE" w:rsidRPr="00E73D2F" w:rsidRDefault="00231ACE" w:rsidP="00231ACE">
            <w:pPr>
              <w:pStyle w:val="TBCentered"/>
            </w:pPr>
            <w:r w:rsidRPr="00E73D2F">
              <w:t>Q2-14</w:t>
            </w:r>
          </w:p>
        </w:tc>
        <w:tc>
          <w:tcPr>
            <w:tcW w:w="3713" w:type="dxa"/>
            <w:shd w:val="clear" w:color="auto" w:fill="auto"/>
          </w:tcPr>
          <w:p w14:paraId="2EB8F972" w14:textId="77777777" w:rsidR="00231ACE" w:rsidRPr="00E73D2F" w:rsidRDefault="00231ACE" w:rsidP="00231ACE">
            <w:pPr>
              <w:pStyle w:val="TBLeft"/>
            </w:pPr>
            <w:r w:rsidRPr="00E73D2F">
              <w:t>Recognition Principle</w:t>
            </w:r>
          </w:p>
        </w:tc>
        <w:tc>
          <w:tcPr>
            <w:tcW w:w="1530" w:type="dxa"/>
            <w:shd w:val="clear" w:color="auto" w:fill="auto"/>
          </w:tcPr>
          <w:p w14:paraId="094644B6" w14:textId="77777777" w:rsidR="00231ACE" w:rsidRPr="00E73D2F" w:rsidRDefault="00231ACE" w:rsidP="00231ACE">
            <w:pPr>
              <w:pStyle w:val="TBCentered"/>
            </w:pPr>
            <w:r w:rsidRPr="00E73D2F">
              <w:t>5</w:t>
            </w:r>
          </w:p>
        </w:tc>
        <w:tc>
          <w:tcPr>
            <w:tcW w:w="1771" w:type="dxa"/>
            <w:shd w:val="clear" w:color="auto" w:fill="auto"/>
          </w:tcPr>
          <w:p w14:paraId="67C6B9BB" w14:textId="77777777" w:rsidR="00231ACE" w:rsidRPr="00E73D2F" w:rsidRDefault="00231ACE" w:rsidP="00231ACE">
            <w:pPr>
              <w:pStyle w:val="TBCentered"/>
            </w:pPr>
            <w:r w:rsidRPr="00E73D2F">
              <w:t>10</w:t>
            </w:r>
          </w:p>
        </w:tc>
        <w:tc>
          <w:tcPr>
            <w:tcW w:w="1109" w:type="dxa"/>
            <w:shd w:val="clear" w:color="auto" w:fill="auto"/>
          </w:tcPr>
          <w:p w14:paraId="4DD01CF0" w14:textId="77777777" w:rsidR="00231ACE" w:rsidRPr="00E73D2F" w:rsidRDefault="00231ACE" w:rsidP="00231ACE">
            <w:pPr>
              <w:pStyle w:val="TBCentered"/>
            </w:pPr>
            <w:r w:rsidRPr="00E73D2F">
              <w:t>Easy</w:t>
            </w:r>
          </w:p>
        </w:tc>
      </w:tr>
      <w:tr w:rsidR="00231ACE" w:rsidRPr="00E73D2F" w14:paraId="01179C45" w14:textId="77777777" w:rsidTr="002D45A5">
        <w:tblPrEx>
          <w:shd w:val="clear" w:color="auto" w:fill="BFBFBF" w:themeFill="background1" w:themeFillShade="BF"/>
        </w:tblPrEx>
        <w:trPr>
          <w:cantSplit/>
        </w:trPr>
        <w:tc>
          <w:tcPr>
            <w:tcW w:w="1435" w:type="dxa"/>
            <w:shd w:val="clear" w:color="auto" w:fill="auto"/>
          </w:tcPr>
          <w:p w14:paraId="5F40206A" w14:textId="5D785004" w:rsidR="00231ACE" w:rsidRPr="00E73D2F" w:rsidRDefault="00231ACE" w:rsidP="00231ACE">
            <w:pPr>
              <w:pStyle w:val="TBCentered"/>
            </w:pPr>
            <w:r w:rsidRPr="00E73D2F">
              <w:t>Q2-15</w:t>
            </w:r>
          </w:p>
        </w:tc>
        <w:tc>
          <w:tcPr>
            <w:tcW w:w="3713" w:type="dxa"/>
            <w:shd w:val="clear" w:color="auto" w:fill="auto"/>
          </w:tcPr>
          <w:p w14:paraId="3A287992" w14:textId="77777777" w:rsidR="00231ACE" w:rsidRPr="00E73D2F" w:rsidRDefault="00231ACE" w:rsidP="00231ACE">
            <w:pPr>
              <w:pStyle w:val="TBLeft"/>
            </w:pPr>
            <w:r w:rsidRPr="00E73D2F">
              <w:t>Revenue Recognition Principle</w:t>
            </w:r>
          </w:p>
        </w:tc>
        <w:tc>
          <w:tcPr>
            <w:tcW w:w="1530" w:type="dxa"/>
            <w:shd w:val="clear" w:color="auto" w:fill="auto"/>
          </w:tcPr>
          <w:p w14:paraId="3DCCA191" w14:textId="77777777" w:rsidR="00231ACE" w:rsidRPr="00E73D2F" w:rsidRDefault="00231ACE" w:rsidP="00231ACE">
            <w:pPr>
              <w:pStyle w:val="TBCentered"/>
            </w:pPr>
            <w:r w:rsidRPr="00E73D2F">
              <w:t>5</w:t>
            </w:r>
          </w:p>
        </w:tc>
        <w:tc>
          <w:tcPr>
            <w:tcW w:w="1771" w:type="dxa"/>
            <w:shd w:val="clear" w:color="auto" w:fill="auto"/>
          </w:tcPr>
          <w:p w14:paraId="6E5F151C" w14:textId="77777777" w:rsidR="00231ACE" w:rsidRPr="00E73D2F" w:rsidRDefault="00231ACE" w:rsidP="00231ACE">
            <w:pPr>
              <w:pStyle w:val="TBCentered"/>
            </w:pPr>
            <w:r w:rsidRPr="00E73D2F">
              <w:t>10</w:t>
            </w:r>
          </w:p>
        </w:tc>
        <w:tc>
          <w:tcPr>
            <w:tcW w:w="1109" w:type="dxa"/>
            <w:shd w:val="clear" w:color="auto" w:fill="auto"/>
          </w:tcPr>
          <w:p w14:paraId="50B9C06B" w14:textId="77777777" w:rsidR="00231ACE" w:rsidRPr="00E73D2F" w:rsidRDefault="00231ACE" w:rsidP="00231ACE">
            <w:pPr>
              <w:pStyle w:val="TBCentered"/>
            </w:pPr>
            <w:r w:rsidRPr="00E73D2F">
              <w:t>Easy</w:t>
            </w:r>
          </w:p>
        </w:tc>
      </w:tr>
      <w:tr w:rsidR="00231ACE" w:rsidRPr="00E73D2F" w14:paraId="3C84CAAE" w14:textId="77777777" w:rsidTr="002D45A5">
        <w:tblPrEx>
          <w:shd w:val="clear" w:color="auto" w:fill="BFBFBF" w:themeFill="background1" w:themeFillShade="BF"/>
        </w:tblPrEx>
        <w:trPr>
          <w:cantSplit/>
        </w:trPr>
        <w:tc>
          <w:tcPr>
            <w:tcW w:w="1435" w:type="dxa"/>
            <w:shd w:val="clear" w:color="auto" w:fill="auto"/>
          </w:tcPr>
          <w:p w14:paraId="01D2BCEA" w14:textId="6BA2822A" w:rsidR="00231ACE" w:rsidRPr="00E73D2F" w:rsidRDefault="00231ACE" w:rsidP="00231ACE">
            <w:pPr>
              <w:pStyle w:val="TBCentered"/>
            </w:pPr>
            <w:r w:rsidRPr="00E73D2F">
              <w:t>Q2-16</w:t>
            </w:r>
          </w:p>
        </w:tc>
        <w:tc>
          <w:tcPr>
            <w:tcW w:w="3713" w:type="dxa"/>
            <w:shd w:val="clear" w:color="auto" w:fill="auto"/>
          </w:tcPr>
          <w:p w14:paraId="0CA6192E" w14:textId="73E1B056" w:rsidR="00231ACE" w:rsidRPr="00E73D2F" w:rsidRDefault="00231ACE" w:rsidP="00231ACE">
            <w:pPr>
              <w:pStyle w:val="TBLeft"/>
            </w:pPr>
            <w:r w:rsidRPr="00E73D2F">
              <w:t>Expense Recognition</w:t>
            </w:r>
            <w:r w:rsidR="0073759C" w:rsidRPr="00E73D2F">
              <w:t xml:space="preserve"> under U.S. GAAP</w:t>
            </w:r>
          </w:p>
        </w:tc>
        <w:tc>
          <w:tcPr>
            <w:tcW w:w="1530" w:type="dxa"/>
            <w:shd w:val="clear" w:color="auto" w:fill="auto"/>
          </w:tcPr>
          <w:p w14:paraId="5B20B337" w14:textId="77777777" w:rsidR="00231ACE" w:rsidRPr="00E73D2F" w:rsidRDefault="00231ACE" w:rsidP="00231ACE">
            <w:pPr>
              <w:pStyle w:val="TBCentered"/>
            </w:pPr>
            <w:r w:rsidRPr="00E73D2F">
              <w:t>5</w:t>
            </w:r>
          </w:p>
        </w:tc>
        <w:tc>
          <w:tcPr>
            <w:tcW w:w="1771" w:type="dxa"/>
            <w:shd w:val="clear" w:color="auto" w:fill="auto"/>
          </w:tcPr>
          <w:p w14:paraId="10882AB5" w14:textId="77777777" w:rsidR="00231ACE" w:rsidRPr="00E73D2F" w:rsidRDefault="00231ACE" w:rsidP="00231ACE">
            <w:pPr>
              <w:pStyle w:val="TBCentered"/>
            </w:pPr>
            <w:r w:rsidRPr="00E73D2F">
              <w:t>10</w:t>
            </w:r>
          </w:p>
        </w:tc>
        <w:tc>
          <w:tcPr>
            <w:tcW w:w="1109" w:type="dxa"/>
            <w:shd w:val="clear" w:color="auto" w:fill="auto"/>
          </w:tcPr>
          <w:p w14:paraId="52DB2770" w14:textId="77777777" w:rsidR="00231ACE" w:rsidRPr="00E73D2F" w:rsidRDefault="00231ACE" w:rsidP="00231ACE">
            <w:pPr>
              <w:pStyle w:val="TBCentered"/>
            </w:pPr>
            <w:r w:rsidRPr="00E73D2F">
              <w:t>Easy</w:t>
            </w:r>
          </w:p>
        </w:tc>
      </w:tr>
      <w:tr w:rsidR="00231ACE" w:rsidRPr="00E73D2F" w14:paraId="15498EDF" w14:textId="77777777" w:rsidTr="002D45A5">
        <w:tblPrEx>
          <w:shd w:val="clear" w:color="auto" w:fill="BFBFBF" w:themeFill="background1" w:themeFillShade="BF"/>
        </w:tblPrEx>
        <w:trPr>
          <w:cantSplit/>
        </w:trPr>
        <w:tc>
          <w:tcPr>
            <w:tcW w:w="1435" w:type="dxa"/>
            <w:shd w:val="clear" w:color="auto" w:fill="auto"/>
          </w:tcPr>
          <w:p w14:paraId="4D604AA1" w14:textId="546887DB" w:rsidR="00231ACE" w:rsidRPr="00E73D2F" w:rsidRDefault="00231ACE" w:rsidP="00231ACE">
            <w:pPr>
              <w:pStyle w:val="TBCentered"/>
              <w:rPr>
                <w:color w:val="385623" w:themeColor="accent6" w:themeShade="80"/>
              </w:rPr>
            </w:pPr>
            <w:r w:rsidRPr="00E73D2F">
              <w:rPr>
                <w:color w:val="385623" w:themeColor="accent6" w:themeShade="80"/>
              </w:rPr>
              <w:t>Q2-17</w:t>
            </w:r>
          </w:p>
        </w:tc>
        <w:tc>
          <w:tcPr>
            <w:tcW w:w="3713" w:type="dxa"/>
            <w:shd w:val="clear" w:color="auto" w:fill="auto"/>
          </w:tcPr>
          <w:p w14:paraId="021BDF07" w14:textId="77777777" w:rsidR="00231ACE" w:rsidRPr="00E73D2F" w:rsidRDefault="00231ACE" w:rsidP="00231ACE">
            <w:pPr>
              <w:pStyle w:val="TBLeft"/>
              <w:rPr>
                <w:color w:val="385623" w:themeColor="accent6" w:themeShade="80"/>
              </w:rPr>
            </w:pPr>
            <w:r w:rsidRPr="00E73D2F">
              <w:rPr>
                <w:color w:val="385623" w:themeColor="accent6" w:themeShade="80"/>
              </w:rPr>
              <w:t>Expense Recognition under IFRS</w:t>
            </w:r>
          </w:p>
        </w:tc>
        <w:tc>
          <w:tcPr>
            <w:tcW w:w="1530" w:type="dxa"/>
            <w:shd w:val="clear" w:color="auto" w:fill="auto"/>
          </w:tcPr>
          <w:p w14:paraId="0247CF89" w14:textId="77777777" w:rsidR="00231ACE" w:rsidRPr="00E73D2F" w:rsidRDefault="00231ACE" w:rsidP="00231ACE">
            <w:pPr>
              <w:pStyle w:val="TBCentered"/>
              <w:rPr>
                <w:color w:val="385623" w:themeColor="accent6" w:themeShade="80"/>
              </w:rPr>
            </w:pPr>
            <w:r w:rsidRPr="00E73D2F">
              <w:rPr>
                <w:color w:val="385623" w:themeColor="accent6" w:themeShade="80"/>
              </w:rPr>
              <w:t>5</w:t>
            </w:r>
          </w:p>
        </w:tc>
        <w:tc>
          <w:tcPr>
            <w:tcW w:w="1771" w:type="dxa"/>
            <w:shd w:val="clear" w:color="auto" w:fill="auto"/>
          </w:tcPr>
          <w:p w14:paraId="17F172E5" w14:textId="77777777" w:rsidR="00231ACE" w:rsidRPr="00E73D2F" w:rsidRDefault="00231ACE" w:rsidP="00231ACE">
            <w:pPr>
              <w:pStyle w:val="TBCentered"/>
              <w:rPr>
                <w:color w:val="385623" w:themeColor="accent6" w:themeShade="80"/>
              </w:rPr>
            </w:pPr>
            <w:r w:rsidRPr="00E73D2F">
              <w:rPr>
                <w:color w:val="385623" w:themeColor="accent6" w:themeShade="80"/>
              </w:rPr>
              <w:t>10</w:t>
            </w:r>
          </w:p>
        </w:tc>
        <w:tc>
          <w:tcPr>
            <w:tcW w:w="1109" w:type="dxa"/>
            <w:shd w:val="clear" w:color="auto" w:fill="auto"/>
          </w:tcPr>
          <w:p w14:paraId="24D1878A" w14:textId="77777777" w:rsidR="00231ACE" w:rsidRPr="00E73D2F" w:rsidRDefault="00231ACE" w:rsidP="00231ACE">
            <w:pPr>
              <w:pStyle w:val="TBCentered"/>
              <w:rPr>
                <w:color w:val="385623" w:themeColor="accent6" w:themeShade="80"/>
              </w:rPr>
            </w:pPr>
            <w:r w:rsidRPr="00E73D2F">
              <w:rPr>
                <w:color w:val="385623" w:themeColor="accent6" w:themeShade="80"/>
              </w:rPr>
              <w:t>Easy</w:t>
            </w:r>
          </w:p>
        </w:tc>
      </w:tr>
      <w:tr w:rsidR="00231ACE" w:rsidRPr="00E73D2F" w14:paraId="0FD952F0" w14:textId="77777777" w:rsidTr="002D45A5">
        <w:tblPrEx>
          <w:shd w:val="clear" w:color="auto" w:fill="BFBFBF" w:themeFill="background1" w:themeFillShade="BF"/>
        </w:tblPrEx>
        <w:trPr>
          <w:cantSplit/>
        </w:trPr>
        <w:tc>
          <w:tcPr>
            <w:tcW w:w="1435" w:type="dxa"/>
            <w:shd w:val="clear" w:color="auto" w:fill="auto"/>
          </w:tcPr>
          <w:p w14:paraId="41FACB3A" w14:textId="4930CD7A" w:rsidR="00231ACE" w:rsidRPr="00E73D2F" w:rsidRDefault="00231ACE" w:rsidP="00231ACE">
            <w:pPr>
              <w:pStyle w:val="TBCentered"/>
            </w:pPr>
            <w:r w:rsidRPr="00E73D2F">
              <w:t>Q2-18</w:t>
            </w:r>
          </w:p>
        </w:tc>
        <w:tc>
          <w:tcPr>
            <w:tcW w:w="3713" w:type="dxa"/>
            <w:shd w:val="clear" w:color="auto" w:fill="auto"/>
          </w:tcPr>
          <w:p w14:paraId="4D5359D5" w14:textId="77777777" w:rsidR="00231ACE" w:rsidRPr="00E73D2F" w:rsidRDefault="00231ACE" w:rsidP="00231ACE">
            <w:pPr>
              <w:pStyle w:val="TBLeft"/>
            </w:pPr>
            <w:r w:rsidRPr="00E73D2F">
              <w:t>Accrual Accounting Transactions</w:t>
            </w:r>
          </w:p>
        </w:tc>
        <w:tc>
          <w:tcPr>
            <w:tcW w:w="1530" w:type="dxa"/>
            <w:shd w:val="clear" w:color="auto" w:fill="auto"/>
          </w:tcPr>
          <w:p w14:paraId="11AA15E0" w14:textId="77777777" w:rsidR="00231ACE" w:rsidRPr="00E73D2F" w:rsidRDefault="00231ACE" w:rsidP="00231ACE">
            <w:pPr>
              <w:pStyle w:val="TBCentered"/>
            </w:pPr>
            <w:r w:rsidRPr="00E73D2F">
              <w:t>5</w:t>
            </w:r>
          </w:p>
        </w:tc>
        <w:tc>
          <w:tcPr>
            <w:tcW w:w="1771" w:type="dxa"/>
            <w:shd w:val="clear" w:color="auto" w:fill="auto"/>
          </w:tcPr>
          <w:p w14:paraId="4515EF84" w14:textId="77777777" w:rsidR="00231ACE" w:rsidRPr="00E73D2F" w:rsidRDefault="00231ACE" w:rsidP="00231ACE">
            <w:pPr>
              <w:pStyle w:val="TBCentered"/>
            </w:pPr>
            <w:r w:rsidRPr="00E73D2F">
              <w:t>10</w:t>
            </w:r>
          </w:p>
        </w:tc>
        <w:tc>
          <w:tcPr>
            <w:tcW w:w="1109" w:type="dxa"/>
            <w:shd w:val="clear" w:color="auto" w:fill="auto"/>
          </w:tcPr>
          <w:p w14:paraId="75927D2E" w14:textId="77777777" w:rsidR="00231ACE" w:rsidRPr="00E73D2F" w:rsidRDefault="00231ACE" w:rsidP="00231ACE">
            <w:pPr>
              <w:pStyle w:val="TBCentered"/>
            </w:pPr>
            <w:r w:rsidRPr="00E73D2F">
              <w:t>Easy</w:t>
            </w:r>
          </w:p>
        </w:tc>
      </w:tr>
      <w:tr w:rsidR="00231ACE" w:rsidRPr="00E73D2F" w14:paraId="737D3B09" w14:textId="77777777" w:rsidTr="002D45A5">
        <w:tblPrEx>
          <w:shd w:val="clear" w:color="auto" w:fill="BFBFBF" w:themeFill="background1" w:themeFillShade="BF"/>
        </w:tblPrEx>
        <w:trPr>
          <w:cantSplit/>
        </w:trPr>
        <w:tc>
          <w:tcPr>
            <w:tcW w:w="1435" w:type="dxa"/>
            <w:shd w:val="clear" w:color="auto" w:fill="auto"/>
          </w:tcPr>
          <w:p w14:paraId="5BFF901F" w14:textId="3032EB5A" w:rsidR="00231ACE" w:rsidRPr="00E73D2F" w:rsidRDefault="00231ACE" w:rsidP="00231ACE">
            <w:pPr>
              <w:pStyle w:val="TBCentered"/>
            </w:pPr>
            <w:r w:rsidRPr="00E73D2F">
              <w:t>Q2-19</w:t>
            </w:r>
          </w:p>
        </w:tc>
        <w:tc>
          <w:tcPr>
            <w:tcW w:w="3713" w:type="dxa"/>
            <w:shd w:val="clear" w:color="auto" w:fill="auto"/>
          </w:tcPr>
          <w:p w14:paraId="7648D132" w14:textId="693191A3" w:rsidR="00231ACE" w:rsidRPr="00E73D2F" w:rsidRDefault="00C32E62" w:rsidP="00231ACE">
            <w:pPr>
              <w:pStyle w:val="TBLeft"/>
            </w:pPr>
            <w:r w:rsidRPr="00E73D2F">
              <w:t>Historical Cost</w:t>
            </w:r>
          </w:p>
        </w:tc>
        <w:tc>
          <w:tcPr>
            <w:tcW w:w="1530" w:type="dxa"/>
            <w:shd w:val="clear" w:color="auto" w:fill="auto"/>
          </w:tcPr>
          <w:p w14:paraId="628E667F" w14:textId="316152DB" w:rsidR="00231ACE" w:rsidRPr="00E73D2F" w:rsidRDefault="00231ACE" w:rsidP="00231ACE">
            <w:pPr>
              <w:pStyle w:val="TBCentered"/>
            </w:pPr>
            <w:r w:rsidRPr="00E73D2F">
              <w:t>5</w:t>
            </w:r>
          </w:p>
        </w:tc>
        <w:tc>
          <w:tcPr>
            <w:tcW w:w="1771" w:type="dxa"/>
            <w:shd w:val="clear" w:color="auto" w:fill="auto"/>
          </w:tcPr>
          <w:p w14:paraId="0BFEEF61" w14:textId="4257DA07" w:rsidR="00231ACE" w:rsidRPr="00E73D2F" w:rsidRDefault="00C32E62" w:rsidP="00231ACE">
            <w:pPr>
              <w:pStyle w:val="TBCentered"/>
            </w:pPr>
            <w:r w:rsidRPr="00E73D2F">
              <w:t>10</w:t>
            </w:r>
          </w:p>
        </w:tc>
        <w:tc>
          <w:tcPr>
            <w:tcW w:w="1109" w:type="dxa"/>
            <w:shd w:val="clear" w:color="auto" w:fill="auto"/>
          </w:tcPr>
          <w:p w14:paraId="4E321C87" w14:textId="2D8AD407" w:rsidR="00231ACE" w:rsidRPr="00E73D2F" w:rsidRDefault="00C32E62" w:rsidP="00231ACE">
            <w:pPr>
              <w:pStyle w:val="TBCentered"/>
            </w:pPr>
            <w:r w:rsidRPr="00E73D2F">
              <w:t>Easy</w:t>
            </w:r>
          </w:p>
        </w:tc>
      </w:tr>
      <w:tr w:rsidR="00231ACE" w:rsidRPr="00E73D2F" w14:paraId="705A0E71" w14:textId="77777777" w:rsidTr="002D45A5">
        <w:tblPrEx>
          <w:shd w:val="clear" w:color="auto" w:fill="BFBFBF" w:themeFill="background1" w:themeFillShade="BF"/>
        </w:tblPrEx>
        <w:trPr>
          <w:cantSplit/>
        </w:trPr>
        <w:tc>
          <w:tcPr>
            <w:tcW w:w="1435" w:type="dxa"/>
            <w:shd w:val="clear" w:color="auto" w:fill="auto"/>
          </w:tcPr>
          <w:p w14:paraId="1F4F7304" w14:textId="704790E4" w:rsidR="00231ACE" w:rsidRPr="00E73D2F" w:rsidRDefault="00231ACE" w:rsidP="00231ACE">
            <w:pPr>
              <w:pStyle w:val="TBCentered"/>
            </w:pPr>
            <w:r w:rsidRPr="00E73D2F">
              <w:t>Q2-20</w:t>
            </w:r>
          </w:p>
        </w:tc>
        <w:tc>
          <w:tcPr>
            <w:tcW w:w="3713" w:type="dxa"/>
            <w:shd w:val="clear" w:color="auto" w:fill="auto"/>
          </w:tcPr>
          <w:p w14:paraId="45FC3246" w14:textId="048E774A" w:rsidR="00231ACE" w:rsidRPr="00E73D2F" w:rsidRDefault="00C32E62" w:rsidP="00231ACE">
            <w:pPr>
              <w:pStyle w:val="TBLeft"/>
            </w:pPr>
            <w:r w:rsidRPr="00E73D2F">
              <w:t>Going Concern</w:t>
            </w:r>
          </w:p>
        </w:tc>
        <w:tc>
          <w:tcPr>
            <w:tcW w:w="1530" w:type="dxa"/>
            <w:shd w:val="clear" w:color="auto" w:fill="auto"/>
          </w:tcPr>
          <w:p w14:paraId="77218EC1" w14:textId="5CCE7E15" w:rsidR="00231ACE" w:rsidRPr="00E73D2F" w:rsidRDefault="00231ACE" w:rsidP="00231ACE">
            <w:pPr>
              <w:pStyle w:val="TBCentered"/>
            </w:pPr>
            <w:r w:rsidRPr="00E73D2F">
              <w:t>6</w:t>
            </w:r>
          </w:p>
        </w:tc>
        <w:tc>
          <w:tcPr>
            <w:tcW w:w="1771" w:type="dxa"/>
            <w:shd w:val="clear" w:color="auto" w:fill="auto"/>
          </w:tcPr>
          <w:p w14:paraId="5D6E6E75" w14:textId="77777777" w:rsidR="00231ACE" w:rsidRPr="00E73D2F" w:rsidRDefault="00231ACE" w:rsidP="00231ACE">
            <w:pPr>
              <w:pStyle w:val="TBCentered"/>
            </w:pPr>
            <w:r w:rsidRPr="00E73D2F">
              <w:t>10</w:t>
            </w:r>
          </w:p>
        </w:tc>
        <w:tc>
          <w:tcPr>
            <w:tcW w:w="1109" w:type="dxa"/>
            <w:shd w:val="clear" w:color="auto" w:fill="auto"/>
          </w:tcPr>
          <w:p w14:paraId="7090715E" w14:textId="77777777" w:rsidR="00231ACE" w:rsidRPr="00E73D2F" w:rsidRDefault="00231ACE" w:rsidP="00231ACE">
            <w:pPr>
              <w:pStyle w:val="TBCentered"/>
            </w:pPr>
            <w:r w:rsidRPr="00E73D2F">
              <w:t>Easy</w:t>
            </w:r>
          </w:p>
        </w:tc>
      </w:tr>
      <w:tr w:rsidR="00231ACE" w:rsidRPr="00E73D2F" w14:paraId="42AF3E96" w14:textId="77777777" w:rsidTr="00246572">
        <w:trPr>
          <w:cantSplit/>
        </w:trPr>
        <w:tc>
          <w:tcPr>
            <w:tcW w:w="9558" w:type="dxa"/>
            <w:gridSpan w:val="5"/>
            <w:shd w:val="clear" w:color="auto" w:fill="D9D9D9" w:themeFill="background1" w:themeFillShade="D9"/>
          </w:tcPr>
          <w:p w14:paraId="738EA725" w14:textId="6882FA1E" w:rsidR="00231ACE" w:rsidRPr="00E73D2F" w:rsidRDefault="00231ACE" w:rsidP="00231ACE">
            <w:pPr>
              <w:pStyle w:val="TSH"/>
            </w:pPr>
            <w:r w:rsidRPr="00E73D2F">
              <w:t>Brief Exercises</w:t>
            </w:r>
            <w:r w:rsidRPr="00E73D2F">
              <w:tab/>
            </w:r>
          </w:p>
        </w:tc>
      </w:tr>
      <w:tr w:rsidR="006C6B05" w:rsidRPr="00E73D2F" w14:paraId="6BF0BD23" w14:textId="77777777" w:rsidTr="002D45A5">
        <w:trPr>
          <w:cantSplit/>
        </w:trPr>
        <w:tc>
          <w:tcPr>
            <w:tcW w:w="1435" w:type="dxa"/>
          </w:tcPr>
          <w:p w14:paraId="0819D9E4" w14:textId="01166F04" w:rsidR="006C6B05" w:rsidRPr="00E73D2F" w:rsidRDefault="006C6B05" w:rsidP="00231ACE">
            <w:pPr>
              <w:pStyle w:val="TBCentered"/>
            </w:pPr>
            <w:r w:rsidRPr="00E73D2F">
              <w:t>BE2-1</w:t>
            </w:r>
          </w:p>
        </w:tc>
        <w:tc>
          <w:tcPr>
            <w:tcW w:w="3713" w:type="dxa"/>
          </w:tcPr>
          <w:p w14:paraId="62C8A1FE" w14:textId="786511B1" w:rsidR="006C6B05" w:rsidRPr="00E73D2F" w:rsidRDefault="006C6B05" w:rsidP="00231ACE">
            <w:pPr>
              <w:pStyle w:val="TBLeft"/>
            </w:pPr>
            <w:r w:rsidRPr="00E73D2F">
              <w:t xml:space="preserve">Components of </w:t>
            </w:r>
            <w:r w:rsidR="009523DD" w:rsidRPr="00E73D2F">
              <w:t xml:space="preserve">the </w:t>
            </w:r>
            <w:r w:rsidRPr="00E73D2F">
              <w:t>Conceptual Framework</w:t>
            </w:r>
          </w:p>
        </w:tc>
        <w:tc>
          <w:tcPr>
            <w:tcW w:w="1530" w:type="dxa"/>
          </w:tcPr>
          <w:p w14:paraId="45FB86E2" w14:textId="76845D10" w:rsidR="006C6B05" w:rsidRPr="00E73D2F" w:rsidRDefault="006C6B05" w:rsidP="00231ACE">
            <w:pPr>
              <w:pStyle w:val="TBCentered"/>
            </w:pPr>
            <w:r w:rsidRPr="00E73D2F">
              <w:t>1</w:t>
            </w:r>
          </w:p>
        </w:tc>
        <w:tc>
          <w:tcPr>
            <w:tcW w:w="1771" w:type="dxa"/>
          </w:tcPr>
          <w:p w14:paraId="5D725E5F" w14:textId="03C23F7F" w:rsidR="006C6B05" w:rsidRPr="00E73D2F" w:rsidRDefault="006C6B05" w:rsidP="00231ACE">
            <w:pPr>
              <w:pStyle w:val="TBCentered"/>
            </w:pPr>
            <w:r w:rsidRPr="00E73D2F">
              <w:t>5</w:t>
            </w:r>
            <w:r w:rsidR="009523DD" w:rsidRPr="00E73D2F">
              <w:t>–</w:t>
            </w:r>
            <w:r w:rsidRPr="00E73D2F">
              <w:t>10</w:t>
            </w:r>
          </w:p>
        </w:tc>
        <w:tc>
          <w:tcPr>
            <w:tcW w:w="1109" w:type="dxa"/>
          </w:tcPr>
          <w:p w14:paraId="079B4D4A" w14:textId="1DF36DA9" w:rsidR="006C6B05" w:rsidRPr="00E73D2F" w:rsidRDefault="006C6B05" w:rsidP="00231ACE">
            <w:pPr>
              <w:pStyle w:val="TBCentered"/>
            </w:pPr>
            <w:r w:rsidRPr="00E73D2F">
              <w:t>Easy</w:t>
            </w:r>
          </w:p>
        </w:tc>
      </w:tr>
      <w:tr w:rsidR="00231ACE" w:rsidRPr="00E73D2F" w14:paraId="2A0C41B7" w14:textId="77777777" w:rsidTr="002D45A5">
        <w:trPr>
          <w:cantSplit/>
        </w:trPr>
        <w:tc>
          <w:tcPr>
            <w:tcW w:w="1435" w:type="dxa"/>
          </w:tcPr>
          <w:p w14:paraId="5800DBFA" w14:textId="4E0AA282" w:rsidR="00231ACE" w:rsidRPr="00E73D2F" w:rsidRDefault="00231ACE" w:rsidP="00231ACE">
            <w:pPr>
              <w:pStyle w:val="TBCentered"/>
            </w:pPr>
            <w:r w:rsidRPr="00E73D2F">
              <w:t>BE2-</w:t>
            </w:r>
            <w:r w:rsidR="006C6B05" w:rsidRPr="00E73D2F">
              <w:t>2</w:t>
            </w:r>
          </w:p>
        </w:tc>
        <w:tc>
          <w:tcPr>
            <w:tcW w:w="3713" w:type="dxa"/>
          </w:tcPr>
          <w:p w14:paraId="3403FDB5" w14:textId="77777777" w:rsidR="00231ACE" w:rsidRPr="00E73D2F" w:rsidRDefault="00231ACE" w:rsidP="00231ACE">
            <w:pPr>
              <w:pStyle w:val="TBLeft"/>
            </w:pPr>
            <w:r w:rsidRPr="00E73D2F">
              <w:t>Users of Financial Information</w:t>
            </w:r>
          </w:p>
        </w:tc>
        <w:tc>
          <w:tcPr>
            <w:tcW w:w="1530" w:type="dxa"/>
          </w:tcPr>
          <w:p w14:paraId="1828D436" w14:textId="090937FC" w:rsidR="00231ACE" w:rsidRPr="00E73D2F" w:rsidRDefault="006C6B05" w:rsidP="00231ACE">
            <w:pPr>
              <w:pStyle w:val="TBCentered"/>
            </w:pPr>
            <w:r w:rsidRPr="00E73D2F">
              <w:t>2</w:t>
            </w:r>
          </w:p>
        </w:tc>
        <w:tc>
          <w:tcPr>
            <w:tcW w:w="1771" w:type="dxa"/>
          </w:tcPr>
          <w:p w14:paraId="7161CBB8" w14:textId="78C7D9B2" w:rsidR="00231ACE" w:rsidRPr="00E73D2F" w:rsidRDefault="00231ACE" w:rsidP="00231ACE">
            <w:pPr>
              <w:pStyle w:val="TBCentered"/>
            </w:pPr>
            <w:r w:rsidRPr="00E73D2F">
              <w:t>5–10</w:t>
            </w:r>
          </w:p>
        </w:tc>
        <w:tc>
          <w:tcPr>
            <w:tcW w:w="1109" w:type="dxa"/>
          </w:tcPr>
          <w:p w14:paraId="4FD14336" w14:textId="77777777" w:rsidR="00231ACE" w:rsidRPr="00E73D2F" w:rsidRDefault="00231ACE" w:rsidP="00231ACE">
            <w:pPr>
              <w:pStyle w:val="TBCentered"/>
            </w:pPr>
            <w:r w:rsidRPr="00E73D2F">
              <w:t>Easy</w:t>
            </w:r>
          </w:p>
        </w:tc>
      </w:tr>
      <w:tr w:rsidR="00231ACE" w:rsidRPr="00E73D2F" w14:paraId="5D629DC5" w14:textId="77777777" w:rsidTr="002D45A5">
        <w:trPr>
          <w:cantSplit/>
        </w:trPr>
        <w:tc>
          <w:tcPr>
            <w:tcW w:w="1435" w:type="dxa"/>
          </w:tcPr>
          <w:p w14:paraId="3341CDD1" w14:textId="41B58175" w:rsidR="00231ACE" w:rsidRPr="00E73D2F" w:rsidRDefault="00231ACE" w:rsidP="00231ACE">
            <w:pPr>
              <w:pStyle w:val="TBCentered"/>
            </w:pPr>
            <w:r w:rsidRPr="00E73D2F">
              <w:t>BE2-</w:t>
            </w:r>
            <w:r w:rsidR="006C6B05" w:rsidRPr="00E73D2F">
              <w:t>3</w:t>
            </w:r>
          </w:p>
        </w:tc>
        <w:tc>
          <w:tcPr>
            <w:tcW w:w="3713" w:type="dxa"/>
          </w:tcPr>
          <w:p w14:paraId="7E819793" w14:textId="77777777" w:rsidR="00231ACE" w:rsidRPr="00E73D2F" w:rsidRDefault="00231ACE" w:rsidP="00231ACE">
            <w:pPr>
              <w:pStyle w:val="TBLeft"/>
            </w:pPr>
            <w:r w:rsidRPr="00E73D2F">
              <w:t xml:space="preserve">Objective of Financial Reporting </w:t>
            </w:r>
          </w:p>
        </w:tc>
        <w:tc>
          <w:tcPr>
            <w:tcW w:w="1530" w:type="dxa"/>
          </w:tcPr>
          <w:p w14:paraId="4CA0DBA3" w14:textId="77777777" w:rsidR="00231ACE" w:rsidRPr="00E73D2F" w:rsidRDefault="00231ACE" w:rsidP="00231ACE">
            <w:pPr>
              <w:pStyle w:val="TBCentered"/>
            </w:pPr>
            <w:r w:rsidRPr="00E73D2F">
              <w:t>2</w:t>
            </w:r>
          </w:p>
        </w:tc>
        <w:tc>
          <w:tcPr>
            <w:tcW w:w="1771" w:type="dxa"/>
          </w:tcPr>
          <w:p w14:paraId="5216D202" w14:textId="25F77B59" w:rsidR="00231ACE" w:rsidRPr="00E73D2F" w:rsidRDefault="00231ACE" w:rsidP="00231ACE">
            <w:pPr>
              <w:pStyle w:val="TBCentered"/>
            </w:pPr>
            <w:r w:rsidRPr="00E73D2F">
              <w:t>5–10</w:t>
            </w:r>
          </w:p>
        </w:tc>
        <w:tc>
          <w:tcPr>
            <w:tcW w:w="1109" w:type="dxa"/>
          </w:tcPr>
          <w:p w14:paraId="50836FBE" w14:textId="77777777" w:rsidR="00231ACE" w:rsidRPr="00E73D2F" w:rsidRDefault="00231ACE" w:rsidP="00231ACE">
            <w:pPr>
              <w:pStyle w:val="TBCentered"/>
            </w:pPr>
            <w:r w:rsidRPr="00E73D2F">
              <w:t>Easy</w:t>
            </w:r>
          </w:p>
        </w:tc>
      </w:tr>
      <w:tr w:rsidR="00231ACE" w:rsidRPr="00E73D2F" w14:paraId="4C48BA25" w14:textId="77777777" w:rsidTr="002D45A5">
        <w:trPr>
          <w:cantSplit/>
        </w:trPr>
        <w:tc>
          <w:tcPr>
            <w:tcW w:w="1435" w:type="dxa"/>
          </w:tcPr>
          <w:p w14:paraId="2B4B6EED" w14:textId="6B344735" w:rsidR="00231ACE" w:rsidRPr="00E73D2F" w:rsidRDefault="00231ACE" w:rsidP="00231ACE">
            <w:pPr>
              <w:pStyle w:val="TBCentered"/>
            </w:pPr>
            <w:r w:rsidRPr="00E73D2F">
              <w:t>BE2-</w:t>
            </w:r>
            <w:r w:rsidR="006C6B05" w:rsidRPr="00E73D2F">
              <w:t>4</w:t>
            </w:r>
          </w:p>
        </w:tc>
        <w:tc>
          <w:tcPr>
            <w:tcW w:w="3713" w:type="dxa"/>
          </w:tcPr>
          <w:p w14:paraId="07EB4435" w14:textId="77777777" w:rsidR="00231ACE" w:rsidRPr="00E73D2F" w:rsidRDefault="00231ACE" w:rsidP="00231ACE">
            <w:pPr>
              <w:pStyle w:val="TBLeft"/>
            </w:pPr>
            <w:r w:rsidRPr="00E73D2F">
              <w:t>Relevant and Faithful Representation</w:t>
            </w:r>
          </w:p>
        </w:tc>
        <w:tc>
          <w:tcPr>
            <w:tcW w:w="1530" w:type="dxa"/>
          </w:tcPr>
          <w:p w14:paraId="67A44B04" w14:textId="77777777" w:rsidR="00231ACE" w:rsidRPr="00E73D2F" w:rsidRDefault="00231ACE" w:rsidP="00231ACE">
            <w:pPr>
              <w:pStyle w:val="TBCentered"/>
            </w:pPr>
            <w:r w:rsidRPr="00E73D2F">
              <w:t>3</w:t>
            </w:r>
          </w:p>
        </w:tc>
        <w:tc>
          <w:tcPr>
            <w:tcW w:w="1771" w:type="dxa"/>
          </w:tcPr>
          <w:p w14:paraId="24DEC746" w14:textId="2243DE93" w:rsidR="00231ACE" w:rsidRPr="00E73D2F" w:rsidRDefault="00231ACE" w:rsidP="00231ACE">
            <w:pPr>
              <w:pStyle w:val="TBCentered"/>
            </w:pPr>
            <w:r w:rsidRPr="00E73D2F">
              <w:t>10–15</w:t>
            </w:r>
          </w:p>
        </w:tc>
        <w:tc>
          <w:tcPr>
            <w:tcW w:w="1109" w:type="dxa"/>
          </w:tcPr>
          <w:p w14:paraId="118F94B6" w14:textId="77777777" w:rsidR="00231ACE" w:rsidRPr="00E73D2F" w:rsidRDefault="00231ACE" w:rsidP="00231ACE">
            <w:pPr>
              <w:pStyle w:val="TBCentered"/>
            </w:pPr>
            <w:r w:rsidRPr="00E73D2F">
              <w:t>Easy</w:t>
            </w:r>
          </w:p>
        </w:tc>
      </w:tr>
      <w:tr w:rsidR="00231ACE" w:rsidRPr="00E73D2F" w14:paraId="3B3964DB" w14:textId="77777777" w:rsidTr="002D45A5">
        <w:trPr>
          <w:cantSplit/>
        </w:trPr>
        <w:tc>
          <w:tcPr>
            <w:tcW w:w="1435" w:type="dxa"/>
          </w:tcPr>
          <w:p w14:paraId="1D1A07D8" w14:textId="4F9CB710" w:rsidR="00231ACE" w:rsidRPr="00E73D2F" w:rsidRDefault="00231ACE" w:rsidP="00231ACE">
            <w:pPr>
              <w:pStyle w:val="TBCentered"/>
            </w:pPr>
            <w:r w:rsidRPr="00E73D2F">
              <w:t>BE2-</w:t>
            </w:r>
            <w:r w:rsidR="006C6B05" w:rsidRPr="00E73D2F">
              <w:t>5</w:t>
            </w:r>
          </w:p>
        </w:tc>
        <w:tc>
          <w:tcPr>
            <w:tcW w:w="3713" w:type="dxa"/>
          </w:tcPr>
          <w:p w14:paraId="0AAB9A40" w14:textId="77777777" w:rsidR="00231ACE" w:rsidRPr="00E73D2F" w:rsidRDefault="00231ACE" w:rsidP="00231ACE">
            <w:pPr>
              <w:pStyle w:val="TBLeft"/>
            </w:pPr>
            <w:r w:rsidRPr="00E73D2F">
              <w:t>Fundamental and Enhancing Characteristics</w:t>
            </w:r>
          </w:p>
        </w:tc>
        <w:tc>
          <w:tcPr>
            <w:tcW w:w="1530" w:type="dxa"/>
          </w:tcPr>
          <w:p w14:paraId="7449463D" w14:textId="77777777" w:rsidR="00231ACE" w:rsidRPr="00E73D2F" w:rsidRDefault="00231ACE" w:rsidP="00231ACE">
            <w:pPr>
              <w:pStyle w:val="TBCentered"/>
            </w:pPr>
            <w:r w:rsidRPr="00E73D2F">
              <w:t>3</w:t>
            </w:r>
          </w:p>
        </w:tc>
        <w:tc>
          <w:tcPr>
            <w:tcW w:w="1771" w:type="dxa"/>
          </w:tcPr>
          <w:p w14:paraId="3A188CD2" w14:textId="20BE6DB1" w:rsidR="00231ACE" w:rsidRPr="00E73D2F" w:rsidRDefault="00231ACE" w:rsidP="00231ACE">
            <w:pPr>
              <w:pStyle w:val="TBCentered"/>
            </w:pPr>
            <w:r w:rsidRPr="00E73D2F">
              <w:t>10–15</w:t>
            </w:r>
          </w:p>
        </w:tc>
        <w:tc>
          <w:tcPr>
            <w:tcW w:w="1109" w:type="dxa"/>
          </w:tcPr>
          <w:p w14:paraId="5ADF151A" w14:textId="77777777" w:rsidR="00231ACE" w:rsidRPr="00E73D2F" w:rsidRDefault="00231ACE" w:rsidP="00231ACE">
            <w:pPr>
              <w:pStyle w:val="TBCentered"/>
            </w:pPr>
            <w:r w:rsidRPr="00E73D2F">
              <w:t>Easy</w:t>
            </w:r>
          </w:p>
        </w:tc>
      </w:tr>
      <w:tr w:rsidR="00231ACE" w:rsidRPr="00E73D2F" w14:paraId="188788CD" w14:textId="77777777" w:rsidTr="002D45A5">
        <w:trPr>
          <w:cantSplit/>
        </w:trPr>
        <w:tc>
          <w:tcPr>
            <w:tcW w:w="1435" w:type="dxa"/>
          </w:tcPr>
          <w:p w14:paraId="23DEFA4E" w14:textId="4A27AF90" w:rsidR="00231ACE" w:rsidRPr="00E73D2F" w:rsidRDefault="00231ACE" w:rsidP="00231ACE">
            <w:pPr>
              <w:pStyle w:val="TBCentered"/>
            </w:pPr>
            <w:r w:rsidRPr="00E73D2F">
              <w:t>BE2-</w:t>
            </w:r>
            <w:r w:rsidR="006C6B05" w:rsidRPr="00E73D2F">
              <w:t>6</w:t>
            </w:r>
          </w:p>
        </w:tc>
        <w:tc>
          <w:tcPr>
            <w:tcW w:w="3713" w:type="dxa"/>
          </w:tcPr>
          <w:p w14:paraId="3C354685" w14:textId="77777777" w:rsidR="00231ACE" w:rsidRPr="00E73D2F" w:rsidRDefault="00231ACE" w:rsidP="00231ACE">
            <w:pPr>
              <w:pStyle w:val="TBLeft"/>
            </w:pPr>
            <w:r w:rsidRPr="00E73D2F">
              <w:t>Faithful Representation</w:t>
            </w:r>
          </w:p>
        </w:tc>
        <w:tc>
          <w:tcPr>
            <w:tcW w:w="1530" w:type="dxa"/>
          </w:tcPr>
          <w:p w14:paraId="62DF4165" w14:textId="77777777" w:rsidR="00231ACE" w:rsidRPr="00E73D2F" w:rsidRDefault="00231ACE" w:rsidP="00231ACE">
            <w:pPr>
              <w:pStyle w:val="TBCentered"/>
            </w:pPr>
            <w:r w:rsidRPr="00E73D2F">
              <w:t>3</w:t>
            </w:r>
          </w:p>
        </w:tc>
        <w:tc>
          <w:tcPr>
            <w:tcW w:w="1771" w:type="dxa"/>
          </w:tcPr>
          <w:p w14:paraId="29DC9ACE" w14:textId="4482F34C" w:rsidR="00231ACE" w:rsidRPr="00E73D2F" w:rsidRDefault="00231ACE" w:rsidP="00231ACE">
            <w:pPr>
              <w:pStyle w:val="TBCentered"/>
            </w:pPr>
            <w:r w:rsidRPr="00E73D2F">
              <w:t>15–20</w:t>
            </w:r>
          </w:p>
        </w:tc>
        <w:tc>
          <w:tcPr>
            <w:tcW w:w="1109" w:type="dxa"/>
          </w:tcPr>
          <w:p w14:paraId="0F2BA5E2" w14:textId="77777777" w:rsidR="00231ACE" w:rsidRPr="00E73D2F" w:rsidRDefault="00231ACE" w:rsidP="00231ACE">
            <w:pPr>
              <w:pStyle w:val="TBCentered"/>
            </w:pPr>
            <w:r w:rsidRPr="00E73D2F">
              <w:t>Medium</w:t>
            </w:r>
          </w:p>
        </w:tc>
      </w:tr>
      <w:tr w:rsidR="00231ACE" w:rsidRPr="00E73D2F" w14:paraId="59C55584" w14:textId="77777777" w:rsidTr="002D45A5">
        <w:trPr>
          <w:cantSplit/>
        </w:trPr>
        <w:tc>
          <w:tcPr>
            <w:tcW w:w="1435" w:type="dxa"/>
          </w:tcPr>
          <w:p w14:paraId="2297CEB5" w14:textId="6F86FD7A" w:rsidR="00231ACE" w:rsidRPr="00E73D2F" w:rsidRDefault="00231ACE" w:rsidP="00231ACE">
            <w:pPr>
              <w:pStyle w:val="TBCentered"/>
            </w:pPr>
            <w:r w:rsidRPr="00E73D2F">
              <w:t>BE2-</w:t>
            </w:r>
            <w:r w:rsidR="006C6B05" w:rsidRPr="00E73D2F">
              <w:t>7</w:t>
            </w:r>
          </w:p>
        </w:tc>
        <w:tc>
          <w:tcPr>
            <w:tcW w:w="3713" w:type="dxa"/>
          </w:tcPr>
          <w:p w14:paraId="34E1AC01" w14:textId="77777777" w:rsidR="00231ACE" w:rsidRPr="00E73D2F" w:rsidRDefault="00231ACE" w:rsidP="00231ACE">
            <w:pPr>
              <w:pStyle w:val="TBLeft"/>
            </w:pPr>
            <w:r w:rsidRPr="00E73D2F">
              <w:t>Costs and Benefits of Financial Reporting</w:t>
            </w:r>
          </w:p>
        </w:tc>
        <w:tc>
          <w:tcPr>
            <w:tcW w:w="1530" w:type="dxa"/>
          </w:tcPr>
          <w:p w14:paraId="50906952" w14:textId="77777777" w:rsidR="00231ACE" w:rsidRPr="00E73D2F" w:rsidRDefault="00231ACE" w:rsidP="00231ACE">
            <w:pPr>
              <w:pStyle w:val="TBCentered"/>
            </w:pPr>
            <w:r w:rsidRPr="00E73D2F">
              <w:t>3</w:t>
            </w:r>
          </w:p>
        </w:tc>
        <w:tc>
          <w:tcPr>
            <w:tcW w:w="1771" w:type="dxa"/>
          </w:tcPr>
          <w:p w14:paraId="4F254927" w14:textId="28B72D2E" w:rsidR="00231ACE" w:rsidRPr="00E73D2F" w:rsidRDefault="00231ACE" w:rsidP="00231ACE">
            <w:pPr>
              <w:pStyle w:val="TBCentered"/>
            </w:pPr>
            <w:r w:rsidRPr="00E73D2F">
              <w:t>10–15</w:t>
            </w:r>
          </w:p>
        </w:tc>
        <w:tc>
          <w:tcPr>
            <w:tcW w:w="1109" w:type="dxa"/>
          </w:tcPr>
          <w:p w14:paraId="64743941" w14:textId="77777777" w:rsidR="00231ACE" w:rsidRPr="00E73D2F" w:rsidRDefault="00231ACE" w:rsidP="00231ACE">
            <w:pPr>
              <w:pStyle w:val="TBCentered"/>
            </w:pPr>
            <w:r w:rsidRPr="00E73D2F">
              <w:t>Easy</w:t>
            </w:r>
          </w:p>
        </w:tc>
      </w:tr>
      <w:tr w:rsidR="00231ACE" w:rsidRPr="00E73D2F" w14:paraId="51B98EB2" w14:textId="77777777" w:rsidTr="002D45A5">
        <w:trPr>
          <w:cantSplit/>
        </w:trPr>
        <w:tc>
          <w:tcPr>
            <w:tcW w:w="1435" w:type="dxa"/>
          </w:tcPr>
          <w:p w14:paraId="026EA02B" w14:textId="164CFAEE" w:rsidR="00231ACE" w:rsidRPr="00E73D2F" w:rsidRDefault="00231ACE" w:rsidP="00231ACE">
            <w:pPr>
              <w:pStyle w:val="TBCentered"/>
            </w:pPr>
            <w:r w:rsidRPr="00E73D2F">
              <w:t>BE2-</w:t>
            </w:r>
            <w:r w:rsidR="006C6B05" w:rsidRPr="00E73D2F">
              <w:t>8</w:t>
            </w:r>
          </w:p>
        </w:tc>
        <w:tc>
          <w:tcPr>
            <w:tcW w:w="3713" w:type="dxa"/>
          </w:tcPr>
          <w:p w14:paraId="690344B8" w14:textId="77777777" w:rsidR="00231ACE" w:rsidRPr="00E73D2F" w:rsidRDefault="00231ACE" w:rsidP="00231ACE">
            <w:pPr>
              <w:pStyle w:val="TBLeft"/>
            </w:pPr>
            <w:r w:rsidRPr="00E73D2F">
              <w:t>Historical Cost</w:t>
            </w:r>
          </w:p>
        </w:tc>
        <w:tc>
          <w:tcPr>
            <w:tcW w:w="1530" w:type="dxa"/>
          </w:tcPr>
          <w:p w14:paraId="3D704267" w14:textId="415A68D5" w:rsidR="00231ACE" w:rsidRPr="00E73D2F" w:rsidRDefault="00231ACE" w:rsidP="00231ACE">
            <w:pPr>
              <w:pStyle w:val="TBCentered"/>
            </w:pPr>
            <w:r w:rsidRPr="00E73D2F">
              <w:t>3</w:t>
            </w:r>
            <w:r w:rsidR="006C6B05" w:rsidRPr="00E73D2F">
              <w:t>,</w:t>
            </w:r>
            <w:r w:rsidR="00E179AF" w:rsidRPr="00E73D2F">
              <w:t xml:space="preserve"> </w:t>
            </w:r>
            <w:r w:rsidR="006C6B05" w:rsidRPr="00E73D2F">
              <w:t>5</w:t>
            </w:r>
          </w:p>
        </w:tc>
        <w:tc>
          <w:tcPr>
            <w:tcW w:w="1771" w:type="dxa"/>
          </w:tcPr>
          <w:p w14:paraId="16B0480E" w14:textId="4F017AAB" w:rsidR="00231ACE" w:rsidRPr="00E73D2F" w:rsidRDefault="00231ACE" w:rsidP="00231ACE">
            <w:pPr>
              <w:pStyle w:val="TBCentered"/>
            </w:pPr>
            <w:r w:rsidRPr="00E73D2F">
              <w:t>15–20</w:t>
            </w:r>
          </w:p>
        </w:tc>
        <w:tc>
          <w:tcPr>
            <w:tcW w:w="1109" w:type="dxa"/>
          </w:tcPr>
          <w:p w14:paraId="03C90460" w14:textId="77777777" w:rsidR="00231ACE" w:rsidRPr="00E73D2F" w:rsidRDefault="00231ACE" w:rsidP="00231ACE">
            <w:pPr>
              <w:pStyle w:val="TBCentered"/>
            </w:pPr>
            <w:r w:rsidRPr="00E73D2F">
              <w:t>Medium</w:t>
            </w:r>
          </w:p>
        </w:tc>
      </w:tr>
      <w:tr w:rsidR="00231ACE" w:rsidRPr="00E73D2F" w14:paraId="62D033FE" w14:textId="77777777" w:rsidTr="002D45A5">
        <w:trPr>
          <w:cantSplit/>
        </w:trPr>
        <w:tc>
          <w:tcPr>
            <w:tcW w:w="1435" w:type="dxa"/>
          </w:tcPr>
          <w:p w14:paraId="56A428DD" w14:textId="22433F4D" w:rsidR="00231ACE" w:rsidRPr="00E73D2F" w:rsidRDefault="00231ACE" w:rsidP="00231ACE">
            <w:pPr>
              <w:pStyle w:val="TBCentered"/>
            </w:pPr>
            <w:r w:rsidRPr="00E73D2F">
              <w:t>BE2-</w:t>
            </w:r>
            <w:r w:rsidR="006C6B05" w:rsidRPr="00E73D2F">
              <w:t>9</w:t>
            </w:r>
          </w:p>
        </w:tc>
        <w:tc>
          <w:tcPr>
            <w:tcW w:w="3713" w:type="dxa"/>
          </w:tcPr>
          <w:p w14:paraId="72C09D32" w14:textId="77777777" w:rsidR="00231ACE" w:rsidRPr="00E73D2F" w:rsidRDefault="00231ACE" w:rsidP="00231ACE">
            <w:pPr>
              <w:pStyle w:val="TBLeft"/>
            </w:pPr>
            <w:r w:rsidRPr="00E73D2F">
              <w:t>Fundamental and Enhancing Characteristics</w:t>
            </w:r>
          </w:p>
        </w:tc>
        <w:tc>
          <w:tcPr>
            <w:tcW w:w="1530" w:type="dxa"/>
          </w:tcPr>
          <w:p w14:paraId="625B6B1E" w14:textId="77777777" w:rsidR="00231ACE" w:rsidRPr="00E73D2F" w:rsidRDefault="00231ACE" w:rsidP="00231ACE">
            <w:pPr>
              <w:pStyle w:val="TBCentered"/>
            </w:pPr>
            <w:r w:rsidRPr="00E73D2F">
              <w:t>3</w:t>
            </w:r>
          </w:p>
        </w:tc>
        <w:tc>
          <w:tcPr>
            <w:tcW w:w="1771" w:type="dxa"/>
          </w:tcPr>
          <w:p w14:paraId="68294393" w14:textId="06CBC991" w:rsidR="00231ACE" w:rsidRPr="00E73D2F" w:rsidRDefault="00231ACE" w:rsidP="00231ACE">
            <w:pPr>
              <w:pStyle w:val="TBCentered"/>
            </w:pPr>
            <w:r w:rsidRPr="00E73D2F">
              <w:t>10–15</w:t>
            </w:r>
          </w:p>
        </w:tc>
        <w:tc>
          <w:tcPr>
            <w:tcW w:w="1109" w:type="dxa"/>
          </w:tcPr>
          <w:p w14:paraId="12124AE7" w14:textId="77777777" w:rsidR="00231ACE" w:rsidRPr="00E73D2F" w:rsidRDefault="00231ACE" w:rsidP="00231ACE">
            <w:pPr>
              <w:pStyle w:val="TBCentered"/>
            </w:pPr>
            <w:r w:rsidRPr="00E73D2F">
              <w:t>Easy</w:t>
            </w:r>
          </w:p>
        </w:tc>
      </w:tr>
      <w:tr w:rsidR="00231ACE" w:rsidRPr="00E73D2F" w14:paraId="04091E59" w14:textId="77777777" w:rsidTr="002D45A5">
        <w:trPr>
          <w:cantSplit/>
        </w:trPr>
        <w:tc>
          <w:tcPr>
            <w:tcW w:w="1435" w:type="dxa"/>
          </w:tcPr>
          <w:p w14:paraId="68677A54" w14:textId="08E0215A" w:rsidR="00231ACE" w:rsidRPr="00E73D2F" w:rsidRDefault="00231ACE" w:rsidP="00231ACE">
            <w:pPr>
              <w:pStyle w:val="TBCentered"/>
            </w:pPr>
            <w:r w:rsidRPr="00E73D2F">
              <w:t>BE2-</w:t>
            </w:r>
            <w:r w:rsidR="006C6B05" w:rsidRPr="00E73D2F">
              <w:t>10</w:t>
            </w:r>
          </w:p>
        </w:tc>
        <w:tc>
          <w:tcPr>
            <w:tcW w:w="3713" w:type="dxa"/>
          </w:tcPr>
          <w:p w14:paraId="64CCC74C" w14:textId="77777777" w:rsidR="00231ACE" w:rsidRPr="00E73D2F" w:rsidRDefault="00231ACE" w:rsidP="00231ACE">
            <w:pPr>
              <w:pStyle w:val="TBLeft"/>
            </w:pPr>
            <w:r w:rsidRPr="00E73D2F">
              <w:t>Faithful Representation</w:t>
            </w:r>
          </w:p>
        </w:tc>
        <w:tc>
          <w:tcPr>
            <w:tcW w:w="1530" w:type="dxa"/>
          </w:tcPr>
          <w:p w14:paraId="1F06A632" w14:textId="77777777" w:rsidR="00231ACE" w:rsidRPr="00E73D2F" w:rsidRDefault="00231ACE" w:rsidP="00231ACE">
            <w:pPr>
              <w:pStyle w:val="TBCentered"/>
            </w:pPr>
            <w:r w:rsidRPr="00E73D2F">
              <w:t>3</w:t>
            </w:r>
          </w:p>
        </w:tc>
        <w:tc>
          <w:tcPr>
            <w:tcW w:w="1771" w:type="dxa"/>
          </w:tcPr>
          <w:p w14:paraId="5D22A21B" w14:textId="5300722D" w:rsidR="00231ACE" w:rsidRPr="00E73D2F" w:rsidRDefault="00231ACE" w:rsidP="00231ACE">
            <w:pPr>
              <w:pStyle w:val="TBCentered"/>
            </w:pPr>
            <w:r w:rsidRPr="00E73D2F">
              <w:t>10–15</w:t>
            </w:r>
          </w:p>
        </w:tc>
        <w:tc>
          <w:tcPr>
            <w:tcW w:w="1109" w:type="dxa"/>
          </w:tcPr>
          <w:p w14:paraId="14B1CCC3" w14:textId="77777777" w:rsidR="00231ACE" w:rsidRPr="00E73D2F" w:rsidRDefault="00231ACE" w:rsidP="00231ACE">
            <w:pPr>
              <w:pStyle w:val="TBCentered"/>
            </w:pPr>
            <w:r w:rsidRPr="00E73D2F">
              <w:t>Easy</w:t>
            </w:r>
          </w:p>
        </w:tc>
      </w:tr>
      <w:tr w:rsidR="00231ACE" w:rsidRPr="00E73D2F" w14:paraId="22ACA5D9" w14:textId="77777777" w:rsidTr="002D45A5">
        <w:trPr>
          <w:cantSplit/>
        </w:trPr>
        <w:tc>
          <w:tcPr>
            <w:tcW w:w="1435" w:type="dxa"/>
          </w:tcPr>
          <w:p w14:paraId="6CDDF713" w14:textId="196C2BE6" w:rsidR="00231ACE" w:rsidRPr="00E73D2F" w:rsidRDefault="00231ACE" w:rsidP="00231ACE">
            <w:pPr>
              <w:pStyle w:val="TBCentered"/>
            </w:pPr>
            <w:r w:rsidRPr="00E73D2F">
              <w:t>BE2-1</w:t>
            </w:r>
            <w:r w:rsidR="006C6B05" w:rsidRPr="00E73D2F">
              <w:t>1</w:t>
            </w:r>
          </w:p>
        </w:tc>
        <w:tc>
          <w:tcPr>
            <w:tcW w:w="3713" w:type="dxa"/>
          </w:tcPr>
          <w:p w14:paraId="1A5C7D54" w14:textId="77777777" w:rsidR="00231ACE" w:rsidRPr="00E73D2F" w:rsidRDefault="00231ACE" w:rsidP="00231ACE">
            <w:pPr>
              <w:pStyle w:val="TBLeft"/>
            </w:pPr>
            <w:r w:rsidRPr="00E73D2F">
              <w:t>Enhancing Characteristics</w:t>
            </w:r>
          </w:p>
        </w:tc>
        <w:tc>
          <w:tcPr>
            <w:tcW w:w="1530" w:type="dxa"/>
          </w:tcPr>
          <w:p w14:paraId="6940C8DE" w14:textId="77777777" w:rsidR="00231ACE" w:rsidRPr="00E73D2F" w:rsidRDefault="00231ACE" w:rsidP="00231ACE">
            <w:pPr>
              <w:pStyle w:val="TBCentered"/>
            </w:pPr>
            <w:r w:rsidRPr="00E73D2F">
              <w:t>3</w:t>
            </w:r>
          </w:p>
        </w:tc>
        <w:tc>
          <w:tcPr>
            <w:tcW w:w="1771" w:type="dxa"/>
          </w:tcPr>
          <w:p w14:paraId="7566E62E" w14:textId="53291285" w:rsidR="00231ACE" w:rsidRPr="00E73D2F" w:rsidRDefault="00231ACE" w:rsidP="00231ACE">
            <w:pPr>
              <w:pStyle w:val="TBCentered"/>
            </w:pPr>
            <w:r w:rsidRPr="00E73D2F">
              <w:t>10–15</w:t>
            </w:r>
          </w:p>
        </w:tc>
        <w:tc>
          <w:tcPr>
            <w:tcW w:w="1109" w:type="dxa"/>
          </w:tcPr>
          <w:p w14:paraId="07996462" w14:textId="77777777" w:rsidR="00231ACE" w:rsidRPr="00E73D2F" w:rsidRDefault="00231ACE" w:rsidP="00231ACE">
            <w:pPr>
              <w:pStyle w:val="TBCentered"/>
            </w:pPr>
            <w:r w:rsidRPr="00E73D2F">
              <w:t>Easy</w:t>
            </w:r>
          </w:p>
        </w:tc>
      </w:tr>
      <w:tr w:rsidR="00231ACE" w:rsidRPr="00E73D2F" w14:paraId="5C3085AC" w14:textId="77777777" w:rsidTr="002D45A5">
        <w:trPr>
          <w:cantSplit/>
        </w:trPr>
        <w:tc>
          <w:tcPr>
            <w:tcW w:w="1435" w:type="dxa"/>
          </w:tcPr>
          <w:p w14:paraId="546329AE" w14:textId="65DCE4DA" w:rsidR="00231ACE" w:rsidRPr="00E73D2F" w:rsidRDefault="00231ACE" w:rsidP="00231ACE">
            <w:pPr>
              <w:pStyle w:val="TBCentered"/>
            </w:pPr>
            <w:r w:rsidRPr="00E73D2F">
              <w:t>BE2-1</w:t>
            </w:r>
            <w:r w:rsidR="006C6B05" w:rsidRPr="00E73D2F">
              <w:t>2</w:t>
            </w:r>
          </w:p>
        </w:tc>
        <w:tc>
          <w:tcPr>
            <w:tcW w:w="3713" w:type="dxa"/>
          </w:tcPr>
          <w:p w14:paraId="7B42ECB9" w14:textId="77777777" w:rsidR="00231ACE" w:rsidRPr="00E73D2F" w:rsidRDefault="00231ACE" w:rsidP="00231ACE">
            <w:pPr>
              <w:pStyle w:val="TBLeft"/>
            </w:pPr>
            <w:r w:rsidRPr="00E73D2F">
              <w:t>Revenues and Gains</w:t>
            </w:r>
          </w:p>
        </w:tc>
        <w:tc>
          <w:tcPr>
            <w:tcW w:w="1530" w:type="dxa"/>
          </w:tcPr>
          <w:p w14:paraId="5180605B" w14:textId="77777777" w:rsidR="00231ACE" w:rsidRPr="00E73D2F" w:rsidRDefault="00231ACE" w:rsidP="00231ACE">
            <w:pPr>
              <w:pStyle w:val="TBCentered"/>
            </w:pPr>
            <w:r w:rsidRPr="00E73D2F">
              <w:t>4</w:t>
            </w:r>
          </w:p>
        </w:tc>
        <w:tc>
          <w:tcPr>
            <w:tcW w:w="1771" w:type="dxa"/>
          </w:tcPr>
          <w:p w14:paraId="44FD5328" w14:textId="69B860EA" w:rsidR="00231ACE" w:rsidRPr="00E73D2F" w:rsidRDefault="00231ACE" w:rsidP="00231ACE">
            <w:pPr>
              <w:pStyle w:val="TBCentered"/>
            </w:pPr>
            <w:r w:rsidRPr="00E73D2F">
              <w:t>10–15</w:t>
            </w:r>
          </w:p>
        </w:tc>
        <w:tc>
          <w:tcPr>
            <w:tcW w:w="1109" w:type="dxa"/>
          </w:tcPr>
          <w:p w14:paraId="456C060A" w14:textId="77777777" w:rsidR="00231ACE" w:rsidRPr="00E73D2F" w:rsidRDefault="00231ACE" w:rsidP="00231ACE">
            <w:pPr>
              <w:pStyle w:val="TBCentered"/>
            </w:pPr>
            <w:r w:rsidRPr="00E73D2F">
              <w:t>Easy</w:t>
            </w:r>
          </w:p>
        </w:tc>
      </w:tr>
      <w:tr w:rsidR="00231ACE" w:rsidRPr="00E73D2F" w14:paraId="5E8D8F5A" w14:textId="77777777" w:rsidTr="002D45A5">
        <w:trPr>
          <w:cantSplit/>
        </w:trPr>
        <w:tc>
          <w:tcPr>
            <w:tcW w:w="1435" w:type="dxa"/>
          </w:tcPr>
          <w:p w14:paraId="4C8501BB" w14:textId="66447847" w:rsidR="00231ACE" w:rsidRPr="00785E75" w:rsidRDefault="00231ACE" w:rsidP="00231ACE">
            <w:pPr>
              <w:pStyle w:val="TBCentered"/>
              <w:rPr>
                <w:color w:val="385623" w:themeColor="accent6" w:themeShade="80"/>
              </w:rPr>
            </w:pPr>
            <w:r w:rsidRPr="00785E75">
              <w:rPr>
                <w:color w:val="385623" w:themeColor="accent6" w:themeShade="80"/>
              </w:rPr>
              <w:t>BE2-1</w:t>
            </w:r>
            <w:r w:rsidR="006C6B05" w:rsidRPr="00785E75">
              <w:rPr>
                <w:color w:val="385623" w:themeColor="accent6" w:themeShade="80"/>
              </w:rPr>
              <w:t>3</w:t>
            </w:r>
          </w:p>
        </w:tc>
        <w:tc>
          <w:tcPr>
            <w:tcW w:w="3713" w:type="dxa"/>
          </w:tcPr>
          <w:p w14:paraId="25A05281" w14:textId="4F6EA64C" w:rsidR="00231ACE" w:rsidRPr="00785E75" w:rsidRDefault="00231ACE" w:rsidP="00231ACE">
            <w:pPr>
              <w:pStyle w:val="TBLeft"/>
              <w:rPr>
                <w:color w:val="385623" w:themeColor="accent6" w:themeShade="80"/>
              </w:rPr>
            </w:pPr>
            <w:r w:rsidRPr="00785E75">
              <w:rPr>
                <w:color w:val="385623" w:themeColor="accent6" w:themeShade="80"/>
              </w:rPr>
              <w:t>Capital Maintenance Adjustments</w:t>
            </w:r>
            <w:r w:rsidR="007B22C0" w:rsidRPr="00785E75">
              <w:rPr>
                <w:color w:val="385623" w:themeColor="accent6" w:themeShade="80"/>
              </w:rPr>
              <w:t>, IFRS</w:t>
            </w:r>
          </w:p>
        </w:tc>
        <w:tc>
          <w:tcPr>
            <w:tcW w:w="1530" w:type="dxa"/>
          </w:tcPr>
          <w:p w14:paraId="1289E41A" w14:textId="77777777" w:rsidR="00231ACE" w:rsidRPr="00785E75" w:rsidRDefault="00231ACE" w:rsidP="00231ACE">
            <w:pPr>
              <w:pStyle w:val="TBCentered"/>
              <w:rPr>
                <w:color w:val="385623" w:themeColor="accent6" w:themeShade="80"/>
              </w:rPr>
            </w:pPr>
            <w:r w:rsidRPr="00785E75">
              <w:rPr>
                <w:color w:val="385623" w:themeColor="accent6" w:themeShade="80"/>
              </w:rPr>
              <w:t>4</w:t>
            </w:r>
          </w:p>
        </w:tc>
        <w:tc>
          <w:tcPr>
            <w:tcW w:w="1771" w:type="dxa"/>
          </w:tcPr>
          <w:p w14:paraId="4F0066A0" w14:textId="616AE0B9" w:rsidR="00231ACE" w:rsidRPr="00785E75" w:rsidRDefault="00231ACE" w:rsidP="00231ACE">
            <w:pPr>
              <w:pStyle w:val="TBCentered"/>
              <w:rPr>
                <w:color w:val="385623" w:themeColor="accent6" w:themeShade="80"/>
              </w:rPr>
            </w:pPr>
            <w:r w:rsidRPr="00785E75">
              <w:rPr>
                <w:color w:val="385623" w:themeColor="accent6" w:themeShade="80"/>
              </w:rPr>
              <w:t>15–20</w:t>
            </w:r>
          </w:p>
        </w:tc>
        <w:tc>
          <w:tcPr>
            <w:tcW w:w="1109" w:type="dxa"/>
          </w:tcPr>
          <w:p w14:paraId="5D6DF645" w14:textId="77777777" w:rsidR="00231ACE" w:rsidRPr="00785E75" w:rsidRDefault="00231ACE" w:rsidP="00231ACE">
            <w:pPr>
              <w:pStyle w:val="TBCentered"/>
              <w:rPr>
                <w:color w:val="385623" w:themeColor="accent6" w:themeShade="80"/>
              </w:rPr>
            </w:pPr>
            <w:r w:rsidRPr="00785E75">
              <w:rPr>
                <w:color w:val="385623" w:themeColor="accent6" w:themeShade="80"/>
              </w:rPr>
              <w:t>Medium</w:t>
            </w:r>
          </w:p>
        </w:tc>
      </w:tr>
      <w:tr w:rsidR="00231ACE" w:rsidRPr="00E73D2F" w14:paraId="70134E1B" w14:textId="77777777" w:rsidTr="002D45A5">
        <w:trPr>
          <w:cantSplit/>
        </w:trPr>
        <w:tc>
          <w:tcPr>
            <w:tcW w:w="1435" w:type="dxa"/>
          </w:tcPr>
          <w:p w14:paraId="77C16B2D" w14:textId="6BC72A03" w:rsidR="00231ACE" w:rsidRPr="00E73D2F" w:rsidRDefault="00231ACE" w:rsidP="00231ACE">
            <w:pPr>
              <w:pStyle w:val="TBCentered"/>
            </w:pPr>
            <w:r w:rsidRPr="00E73D2F">
              <w:t>BE2-1</w:t>
            </w:r>
            <w:r w:rsidR="006C6B05" w:rsidRPr="00E73D2F">
              <w:t>4</w:t>
            </w:r>
          </w:p>
        </w:tc>
        <w:tc>
          <w:tcPr>
            <w:tcW w:w="3713" w:type="dxa"/>
          </w:tcPr>
          <w:p w14:paraId="52398460" w14:textId="77777777" w:rsidR="00231ACE" w:rsidRPr="00E73D2F" w:rsidRDefault="00231ACE" w:rsidP="00231ACE">
            <w:pPr>
              <w:pStyle w:val="TBLeft"/>
            </w:pPr>
            <w:r w:rsidRPr="00E73D2F">
              <w:t>Expense Recognition</w:t>
            </w:r>
          </w:p>
        </w:tc>
        <w:tc>
          <w:tcPr>
            <w:tcW w:w="1530" w:type="dxa"/>
          </w:tcPr>
          <w:p w14:paraId="0398276D" w14:textId="5C3C12BD" w:rsidR="00231ACE" w:rsidRPr="00E73D2F" w:rsidRDefault="00231ACE" w:rsidP="00231ACE">
            <w:pPr>
              <w:pStyle w:val="TBCentered"/>
            </w:pPr>
            <w:r w:rsidRPr="00E73D2F">
              <w:t>5</w:t>
            </w:r>
          </w:p>
        </w:tc>
        <w:tc>
          <w:tcPr>
            <w:tcW w:w="1771" w:type="dxa"/>
          </w:tcPr>
          <w:p w14:paraId="7F2D3E2F" w14:textId="52A39659" w:rsidR="00231ACE" w:rsidRPr="00E73D2F" w:rsidRDefault="00231ACE" w:rsidP="00231ACE">
            <w:pPr>
              <w:pStyle w:val="TBCentered"/>
            </w:pPr>
            <w:r w:rsidRPr="00E73D2F">
              <w:t>10–15</w:t>
            </w:r>
          </w:p>
        </w:tc>
        <w:tc>
          <w:tcPr>
            <w:tcW w:w="1109" w:type="dxa"/>
          </w:tcPr>
          <w:p w14:paraId="05B79D1E" w14:textId="77777777" w:rsidR="00231ACE" w:rsidRPr="00E73D2F" w:rsidRDefault="00231ACE" w:rsidP="00231ACE">
            <w:pPr>
              <w:pStyle w:val="TBCentered"/>
            </w:pPr>
            <w:r w:rsidRPr="00E73D2F">
              <w:t>Easy</w:t>
            </w:r>
          </w:p>
        </w:tc>
      </w:tr>
      <w:tr w:rsidR="00231ACE" w:rsidRPr="00E73D2F" w14:paraId="49157B3C" w14:textId="77777777" w:rsidTr="002D45A5">
        <w:trPr>
          <w:cantSplit/>
        </w:trPr>
        <w:tc>
          <w:tcPr>
            <w:tcW w:w="1435" w:type="dxa"/>
          </w:tcPr>
          <w:p w14:paraId="2FA84337" w14:textId="68CBA57A" w:rsidR="00231ACE" w:rsidRPr="00E73D2F" w:rsidRDefault="00231ACE" w:rsidP="00231ACE">
            <w:pPr>
              <w:pStyle w:val="TBCentered"/>
            </w:pPr>
            <w:r w:rsidRPr="00E73D2F">
              <w:t>BE2-1</w:t>
            </w:r>
            <w:r w:rsidR="006C6B05" w:rsidRPr="00E73D2F">
              <w:t>5</w:t>
            </w:r>
          </w:p>
        </w:tc>
        <w:tc>
          <w:tcPr>
            <w:tcW w:w="3713" w:type="dxa"/>
          </w:tcPr>
          <w:p w14:paraId="652773EA" w14:textId="77777777" w:rsidR="00231ACE" w:rsidRPr="00E73D2F" w:rsidRDefault="00231ACE" w:rsidP="00231ACE">
            <w:pPr>
              <w:pStyle w:val="TBLeft"/>
            </w:pPr>
            <w:r w:rsidRPr="00E73D2F">
              <w:t>Element Definitions</w:t>
            </w:r>
          </w:p>
        </w:tc>
        <w:tc>
          <w:tcPr>
            <w:tcW w:w="1530" w:type="dxa"/>
          </w:tcPr>
          <w:p w14:paraId="3596B72B" w14:textId="77777777" w:rsidR="00231ACE" w:rsidRPr="00E73D2F" w:rsidRDefault="00231ACE" w:rsidP="00231ACE">
            <w:pPr>
              <w:pStyle w:val="TBCentered"/>
            </w:pPr>
            <w:r w:rsidRPr="00E73D2F">
              <w:t>4</w:t>
            </w:r>
          </w:p>
        </w:tc>
        <w:tc>
          <w:tcPr>
            <w:tcW w:w="1771" w:type="dxa"/>
          </w:tcPr>
          <w:p w14:paraId="71FDBA52" w14:textId="4BA3350C" w:rsidR="00231ACE" w:rsidRPr="00E73D2F" w:rsidRDefault="00231ACE" w:rsidP="00231ACE">
            <w:pPr>
              <w:pStyle w:val="TBCentered"/>
            </w:pPr>
            <w:r w:rsidRPr="00E73D2F">
              <w:t>10–15</w:t>
            </w:r>
          </w:p>
        </w:tc>
        <w:tc>
          <w:tcPr>
            <w:tcW w:w="1109" w:type="dxa"/>
          </w:tcPr>
          <w:p w14:paraId="2DE1C37E" w14:textId="77777777" w:rsidR="00231ACE" w:rsidRPr="00E73D2F" w:rsidRDefault="00231ACE" w:rsidP="00231ACE">
            <w:pPr>
              <w:pStyle w:val="TBCentered"/>
            </w:pPr>
            <w:r w:rsidRPr="00E73D2F">
              <w:t>Easy</w:t>
            </w:r>
          </w:p>
        </w:tc>
      </w:tr>
      <w:tr w:rsidR="00231ACE" w:rsidRPr="00E73D2F" w14:paraId="1C54B964" w14:textId="77777777" w:rsidTr="002D45A5">
        <w:trPr>
          <w:cantSplit/>
        </w:trPr>
        <w:tc>
          <w:tcPr>
            <w:tcW w:w="1435" w:type="dxa"/>
          </w:tcPr>
          <w:p w14:paraId="58258B0E" w14:textId="67982EA8" w:rsidR="00231ACE" w:rsidRPr="00E73D2F" w:rsidRDefault="00231ACE" w:rsidP="00231ACE">
            <w:pPr>
              <w:pStyle w:val="TBCentered"/>
            </w:pPr>
            <w:r w:rsidRPr="00E73D2F">
              <w:t>BE2-1</w:t>
            </w:r>
            <w:r w:rsidR="006C6B05" w:rsidRPr="00E73D2F">
              <w:t>6</w:t>
            </w:r>
          </w:p>
        </w:tc>
        <w:tc>
          <w:tcPr>
            <w:tcW w:w="3713" w:type="dxa"/>
          </w:tcPr>
          <w:p w14:paraId="33548542" w14:textId="77777777" w:rsidR="00231ACE" w:rsidRPr="00E73D2F" w:rsidRDefault="00231ACE" w:rsidP="00231ACE">
            <w:pPr>
              <w:pStyle w:val="TBLeft"/>
            </w:pPr>
            <w:r w:rsidRPr="00E73D2F">
              <w:t>Element Definitions</w:t>
            </w:r>
          </w:p>
        </w:tc>
        <w:tc>
          <w:tcPr>
            <w:tcW w:w="1530" w:type="dxa"/>
          </w:tcPr>
          <w:p w14:paraId="4C890167" w14:textId="77777777" w:rsidR="00231ACE" w:rsidRPr="00E73D2F" w:rsidRDefault="00231ACE" w:rsidP="00231ACE">
            <w:pPr>
              <w:pStyle w:val="TBCentered"/>
            </w:pPr>
            <w:r w:rsidRPr="00E73D2F">
              <w:t>4</w:t>
            </w:r>
          </w:p>
        </w:tc>
        <w:tc>
          <w:tcPr>
            <w:tcW w:w="1771" w:type="dxa"/>
          </w:tcPr>
          <w:p w14:paraId="3F07B0BF" w14:textId="4F36E09B" w:rsidR="00231ACE" w:rsidRPr="00E73D2F" w:rsidRDefault="00231ACE" w:rsidP="00231ACE">
            <w:pPr>
              <w:pStyle w:val="TBCentered"/>
            </w:pPr>
            <w:r w:rsidRPr="00E73D2F">
              <w:t>10–15</w:t>
            </w:r>
          </w:p>
        </w:tc>
        <w:tc>
          <w:tcPr>
            <w:tcW w:w="1109" w:type="dxa"/>
          </w:tcPr>
          <w:p w14:paraId="2514718B" w14:textId="77777777" w:rsidR="00231ACE" w:rsidRPr="00E73D2F" w:rsidRDefault="00231ACE" w:rsidP="00231ACE">
            <w:pPr>
              <w:pStyle w:val="TBCentered"/>
            </w:pPr>
            <w:r w:rsidRPr="00E73D2F">
              <w:t>Medium</w:t>
            </w:r>
          </w:p>
        </w:tc>
      </w:tr>
      <w:tr w:rsidR="00F41909" w:rsidRPr="00F41909" w14:paraId="272DFFD5" w14:textId="77777777" w:rsidTr="002D45A5">
        <w:trPr>
          <w:cantSplit/>
        </w:trPr>
        <w:tc>
          <w:tcPr>
            <w:tcW w:w="1435" w:type="dxa"/>
          </w:tcPr>
          <w:p w14:paraId="7958E746" w14:textId="5442CE1A" w:rsidR="00231ACE" w:rsidRPr="00F41909" w:rsidRDefault="00231ACE" w:rsidP="00231ACE">
            <w:pPr>
              <w:pStyle w:val="TBCentered"/>
              <w:rPr>
                <w:color w:val="385623" w:themeColor="accent6" w:themeShade="80"/>
              </w:rPr>
            </w:pPr>
            <w:r w:rsidRPr="00F41909">
              <w:rPr>
                <w:color w:val="385623" w:themeColor="accent6" w:themeShade="80"/>
              </w:rPr>
              <w:t>BE2-1</w:t>
            </w:r>
            <w:r w:rsidR="006C6B05" w:rsidRPr="00F41909">
              <w:rPr>
                <w:color w:val="385623" w:themeColor="accent6" w:themeShade="80"/>
              </w:rPr>
              <w:t>7</w:t>
            </w:r>
          </w:p>
        </w:tc>
        <w:tc>
          <w:tcPr>
            <w:tcW w:w="3713" w:type="dxa"/>
          </w:tcPr>
          <w:p w14:paraId="62AD603D" w14:textId="229DFCF7" w:rsidR="00231ACE" w:rsidRPr="00F41909" w:rsidRDefault="00231ACE" w:rsidP="00231ACE">
            <w:pPr>
              <w:pStyle w:val="TBLeft"/>
              <w:rPr>
                <w:color w:val="385623" w:themeColor="accent6" w:themeShade="80"/>
              </w:rPr>
            </w:pPr>
            <w:r w:rsidRPr="00F41909">
              <w:rPr>
                <w:color w:val="385623" w:themeColor="accent6" w:themeShade="80"/>
              </w:rPr>
              <w:t>Element Definitions</w:t>
            </w:r>
            <w:r w:rsidR="007C49D5" w:rsidRPr="00F41909">
              <w:rPr>
                <w:color w:val="385623" w:themeColor="accent6" w:themeShade="80"/>
              </w:rPr>
              <w:t>, U.S. GAAP, IFRS</w:t>
            </w:r>
          </w:p>
        </w:tc>
        <w:tc>
          <w:tcPr>
            <w:tcW w:w="1530" w:type="dxa"/>
          </w:tcPr>
          <w:p w14:paraId="3051EF16" w14:textId="77777777" w:rsidR="00231ACE" w:rsidRPr="00F41909" w:rsidRDefault="00231ACE" w:rsidP="00231ACE">
            <w:pPr>
              <w:pStyle w:val="TBCentered"/>
              <w:rPr>
                <w:color w:val="385623" w:themeColor="accent6" w:themeShade="80"/>
              </w:rPr>
            </w:pPr>
            <w:r w:rsidRPr="00F41909">
              <w:rPr>
                <w:color w:val="385623" w:themeColor="accent6" w:themeShade="80"/>
              </w:rPr>
              <w:t>4</w:t>
            </w:r>
          </w:p>
        </w:tc>
        <w:tc>
          <w:tcPr>
            <w:tcW w:w="1771" w:type="dxa"/>
          </w:tcPr>
          <w:p w14:paraId="524DDA2F" w14:textId="07536C95" w:rsidR="00231ACE" w:rsidRPr="00F41909" w:rsidRDefault="00231ACE" w:rsidP="00231ACE">
            <w:pPr>
              <w:pStyle w:val="TBCentered"/>
              <w:rPr>
                <w:color w:val="385623" w:themeColor="accent6" w:themeShade="80"/>
              </w:rPr>
            </w:pPr>
            <w:r w:rsidRPr="00F41909">
              <w:rPr>
                <w:color w:val="385623" w:themeColor="accent6" w:themeShade="80"/>
              </w:rPr>
              <w:t>15–20</w:t>
            </w:r>
          </w:p>
        </w:tc>
        <w:tc>
          <w:tcPr>
            <w:tcW w:w="1109" w:type="dxa"/>
          </w:tcPr>
          <w:p w14:paraId="0FB829F3" w14:textId="77777777" w:rsidR="00231ACE" w:rsidRPr="00F41909" w:rsidRDefault="00231ACE" w:rsidP="00231ACE">
            <w:pPr>
              <w:pStyle w:val="TBCentered"/>
              <w:rPr>
                <w:color w:val="385623" w:themeColor="accent6" w:themeShade="80"/>
              </w:rPr>
            </w:pPr>
            <w:r w:rsidRPr="00F41909">
              <w:rPr>
                <w:color w:val="385623" w:themeColor="accent6" w:themeShade="80"/>
              </w:rPr>
              <w:t>Medium</w:t>
            </w:r>
          </w:p>
        </w:tc>
      </w:tr>
      <w:tr w:rsidR="00F41909" w:rsidRPr="00F41909" w14:paraId="5BA9D725" w14:textId="77777777" w:rsidTr="002D45A5">
        <w:trPr>
          <w:cantSplit/>
        </w:trPr>
        <w:tc>
          <w:tcPr>
            <w:tcW w:w="1435" w:type="dxa"/>
          </w:tcPr>
          <w:p w14:paraId="2ABC5CD5" w14:textId="21E9AAF1" w:rsidR="00231ACE" w:rsidRPr="00F41909" w:rsidRDefault="00231ACE" w:rsidP="00231ACE">
            <w:pPr>
              <w:pStyle w:val="TBCentered"/>
              <w:rPr>
                <w:color w:val="385623" w:themeColor="accent6" w:themeShade="80"/>
              </w:rPr>
            </w:pPr>
            <w:r w:rsidRPr="00F41909">
              <w:rPr>
                <w:color w:val="385623" w:themeColor="accent6" w:themeShade="80"/>
              </w:rPr>
              <w:t>BE2-1</w:t>
            </w:r>
            <w:r w:rsidR="006C6B05" w:rsidRPr="00F41909">
              <w:rPr>
                <w:color w:val="385623" w:themeColor="accent6" w:themeShade="80"/>
              </w:rPr>
              <w:t>8</w:t>
            </w:r>
          </w:p>
        </w:tc>
        <w:tc>
          <w:tcPr>
            <w:tcW w:w="3713" w:type="dxa"/>
          </w:tcPr>
          <w:p w14:paraId="174211AD" w14:textId="1C4F9DD2" w:rsidR="00231ACE" w:rsidRPr="00F41909" w:rsidRDefault="00231ACE" w:rsidP="00231ACE">
            <w:pPr>
              <w:pStyle w:val="TBLeft"/>
              <w:rPr>
                <w:color w:val="385623" w:themeColor="accent6" w:themeShade="80"/>
              </w:rPr>
            </w:pPr>
            <w:r w:rsidRPr="00F41909">
              <w:rPr>
                <w:color w:val="385623" w:themeColor="accent6" w:themeShade="80"/>
              </w:rPr>
              <w:t>Recognition</w:t>
            </w:r>
            <w:r w:rsidR="007C49D5" w:rsidRPr="00F41909">
              <w:rPr>
                <w:color w:val="385623" w:themeColor="accent6" w:themeShade="80"/>
              </w:rPr>
              <w:t>, U.S. GAAP, IFRS</w:t>
            </w:r>
          </w:p>
        </w:tc>
        <w:tc>
          <w:tcPr>
            <w:tcW w:w="1530" w:type="dxa"/>
          </w:tcPr>
          <w:p w14:paraId="5CACD976" w14:textId="77777777" w:rsidR="00231ACE" w:rsidRPr="00F41909" w:rsidRDefault="00231ACE" w:rsidP="00231ACE">
            <w:pPr>
              <w:pStyle w:val="TBCentered"/>
              <w:rPr>
                <w:color w:val="385623" w:themeColor="accent6" w:themeShade="80"/>
              </w:rPr>
            </w:pPr>
            <w:r w:rsidRPr="00F41909">
              <w:rPr>
                <w:color w:val="385623" w:themeColor="accent6" w:themeShade="80"/>
              </w:rPr>
              <w:t>5</w:t>
            </w:r>
          </w:p>
        </w:tc>
        <w:tc>
          <w:tcPr>
            <w:tcW w:w="1771" w:type="dxa"/>
          </w:tcPr>
          <w:p w14:paraId="6E1F65DF" w14:textId="2679548A" w:rsidR="00231ACE" w:rsidRPr="00F41909" w:rsidRDefault="00231ACE" w:rsidP="00231ACE">
            <w:pPr>
              <w:pStyle w:val="TBCentered"/>
              <w:rPr>
                <w:color w:val="385623" w:themeColor="accent6" w:themeShade="80"/>
              </w:rPr>
            </w:pPr>
            <w:r w:rsidRPr="00F41909">
              <w:rPr>
                <w:color w:val="385623" w:themeColor="accent6" w:themeShade="80"/>
              </w:rPr>
              <w:t>10–15</w:t>
            </w:r>
          </w:p>
        </w:tc>
        <w:tc>
          <w:tcPr>
            <w:tcW w:w="1109" w:type="dxa"/>
          </w:tcPr>
          <w:p w14:paraId="45940C54" w14:textId="77777777" w:rsidR="00231ACE" w:rsidRPr="00F41909" w:rsidRDefault="00231ACE" w:rsidP="00231ACE">
            <w:pPr>
              <w:pStyle w:val="TBCentered"/>
              <w:rPr>
                <w:color w:val="385623" w:themeColor="accent6" w:themeShade="80"/>
              </w:rPr>
            </w:pPr>
            <w:r w:rsidRPr="00F41909">
              <w:rPr>
                <w:color w:val="385623" w:themeColor="accent6" w:themeShade="80"/>
              </w:rPr>
              <w:t>Easy</w:t>
            </w:r>
          </w:p>
        </w:tc>
      </w:tr>
      <w:tr w:rsidR="00231ACE" w:rsidRPr="00E73D2F" w14:paraId="00650361" w14:textId="77777777" w:rsidTr="002D45A5">
        <w:trPr>
          <w:cantSplit/>
        </w:trPr>
        <w:tc>
          <w:tcPr>
            <w:tcW w:w="1435" w:type="dxa"/>
          </w:tcPr>
          <w:p w14:paraId="1DAF7E1C" w14:textId="35663298" w:rsidR="00231ACE" w:rsidRPr="00E73D2F" w:rsidRDefault="00231ACE" w:rsidP="00231ACE">
            <w:pPr>
              <w:pStyle w:val="TBCentered"/>
            </w:pPr>
            <w:r w:rsidRPr="00E73D2F">
              <w:t>BE2-1</w:t>
            </w:r>
            <w:r w:rsidR="006C6B05" w:rsidRPr="00E73D2F">
              <w:t>9</w:t>
            </w:r>
          </w:p>
        </w:tc>
        <w:tc>
          <w:tcPr>
            <w:tcW w:w="3713" w:type="dxa"/>
          </w:tcPr>
          <w:p w14:paraId="7085BF93" w14:textId="77777777" w:rsidR="00231ACE" w:rsidRPr="00E73D2F" w:rsidRDefault="00231ACE" w:rsidP="00231ACE">
            <w:pPr>
              <w:pStyle w:val="TBLeft"/>
            </w:pPr>
            <w:r w:rsidRPr="00E73D2F">
              <w:t>Measurement Bases</w:t>
            </w:r>
          </w:p>
        </w:tc>
        <w:tc>
          <w:tcPr>
            <w:tcW w:w="1530" w:type="dxa"/>
          </w:tcPr>
          <w:p w14:paraId="56136E93" w14:textId="77777777" w:rsidR="00231ACE" w:rsidRPr="00E73D2F" w:rsidRDefault="00231ACE" w:rsidP="00231ACE">
            <w:pPr>
              <w:pStyle w:val="TBCentered"/>
            </w:pPr>
            <w:r w:rsidRPr="00E73D2F">
              <w:t>5</w:t>
            </w:r>
          </w:p>
        </w:tc>
        <w:tc>
          <w:tcPr>
            <w:tcW w:w="1771" w:type="dxa"/>
          </w:tcPr>
          <w:p w14:paraId="4285E720" w14:textId="17AD05C1" w:rsidR="00231ACE" w:rsidRPr="00E73D2F" w:rsidRDefault="00231ACE" w:rsidP="00231ACE">
            <w:pPr>
              <w:pStyle w:val="TBCentered"/>
            </w:pPr>
            <w:r w:rsidRPr="00E73D2F">
              <w:t xml:space="preserve">10–15 </w:t>
            </w:r>
          </w:p>
        </w:tc>
        <w:tc>
          <w:tcPr>
            <w:tcW w:w="1109" w:type="dxa"/>
          </w:tcPr>
          <w:p w14:paraId="26009BC8" w14:textId="77777777" w:rsidR="00231ACE" w:rsidRPr="00E73D2F" w:rsidRDefault="00231ACE" w:rsidP="00231ACE">
            <w:pPr>
              <w:pStyle w:val="TBCentered"/>
            </w:pPr>
            <w:r w:rsidRPr="00E73D2F">
              <w:t>Easy</w:t>
            </w:r>
          </w:p>
        </w:tc>
      </w:tr>
      <w:tr w:rsidR="00231ACE" w:rsidRPr="00E73D2F" w14:paraId="2E8BE67D" w14:textId="77777777" w:rsidTr="002D45A5">
        <w:trPr>
          <w:cantSplit/>
        </w:trPr>
        <w:tc>
          <w:tcPr>
            <w:tcW w:w="1435" w:type="dxa"/>
          </w:tcPr>
          <w:p w14:paraId="3E3F4ACC" w14:textId="2CAFB8A0" w:rsidR="00231ACE" w:rsidRPr="00E73D2F" w:rsidRDefault="00231ACE" w:rsidP="00231ACE">
            <w:pPr>
              <w:pStyle w:val="TBCentered"/>
            </w:pPr>
            <w:r w:rsidRPr="00E73D2F">
              <w:t>BE2-</w:t>
            </w:r>
            <w:r w:rsidR="006C6B05" w:rsidRPr="00E73D2F">
              <w:t>20</w:t>
            </w:r>
          </w:p>
        </w:tc>
        <w:tc>
          <w:tcPr>
            <w:tcW w:w="3713" w:type="dxa"/>
          </w:tcPr>
          <w:p w14:paraId="1D25548C" w14:textId="77777777" w:rsidR="00231ACE" w:rsidRPr="00E73D2F" w:rsidRDefault="00231ACE" w:rsidP="00231ACE">
            <w:pPr>
              <w:pStyle w:val="TBLeft"/>
            </w:pPr>
            <w:r w:rsidRPr="00E73D2F">
              <w:t>Cash versus Accrual Bases of Accounting</w:t>
            </w:r>
          </w:p>
        </w:tc>
        <w:tc>
          <w:tcPr>
            <w:tcW w:w="1530" w:type="dxa"/>
          </w:tcPr>
          <w:p w14:paraId="3C2937F5" w14:textId="77777777" w:rsidR="00231ACE" w:rsidRPr="00E73D2F" w:rsidRDefault="00231ACE" w:rsidP="00231ACE">
            <w:pPr>
              <w:pStyle w:val="TBCentered"/>
            </w:pPr>
            <w:r w:rsidRPr="00E73D2F">
              <w:t>5</w:t>
            </w:r>
          </w:p>
        </w:tc>
        <w:tc>
          <w:tcPr>
            <w:tcW w:w="1771" w:type="dxa"/>
          </w:tcPr>
          <w:p w14:paraId="14547538" w14:textId="63C28BDC" w:rsidR="00231ACE" w:rsidRPr="00E73D2F" w:rsidRDefault="00231ACE" w:rsidP="00231ACE">
            <w:pPr>
              <w:pStyle w:val="TBCentered"/>
            </w:pPr>
            <w:r w:rsidRPr="00E73D2F">
              <w:t>15–20</w:t>
            </w:r>
          </w:p>
        </w:tc>
        <w:tc>
          <w:tcPr>
            <w:tcW w:w="1109" w:type="dxa"/>
          </w:tcPr>
          <w:p w14:paraId="07219633" w14:textId="77777777" w:rsidR="00231ACE" w:rsidRPr="00E73D2F" w:rsidRDefault="00231ACE" w:rsidP="00231ACE">
            <w:pPr>
              <w:pStyle w:val="TBCentered"/>
            </w:pPr>
            <w:r w:rsidRPr="00E73D2F">
              <w:t>Medium</w:t>
            </w:r>
          </w:p>
        </w:tc>
      </w:tr>
      <w:tr w:rsidR="00231ACE" w:rsidRPr="00E73D2F" w14:paraId="15B5E054" w14:textId="77777777" w:rsidTr="002D45A5">
        <w:trPr>
          <w:cantSplit/>
        </w:trPr>
        <w:tc>
          <w:tcPr>
            <w:tcW w:w="1435" w:type="dxa"/>
          </w:tcPr>
          <w:p w14:paraId="48161995" w14:textId="6C4AAFEF" w:rsidR="00231ACE" w:rsidRPr="00E73D2F" w:rsidRDefault="00231ACE" w:rsidP="00231ACE">
            <w:pPr>
              <w:pStyle w:val="TBCentered"/>
            </w:pPr>
            <w:r w:rsidRPr="00E73D2F">
              <w:t>BE2-2</w:t>
            </w:r>
            <w:r w:rsidR="006C6B05" w:rsidRPr="00E73D2F">
              <w:t>1</w:t>
            </w:r>
          </w:p>
        </w:tc>
        <w:tc>
          <w:tcPr>
            <w:tcW w:w="3713" w:type="dxa"/>
          </w:tcPr>
          <w:p w14:paraId="12E0509C" w14:textId="77777777" w:rsidR="00231ACE" w:rsidRPr="00E73D2F" w:rsidRDefault="00231ACE" w:rsidP="00231ACE">
            <w:pPr>
              <w:pStyle w:val="TBLeft"/>
            </w:pPr>
            <w:r w:rsidRPr="00E73D2F">
              <w:t>Assumptions in Financial Reporting</w:t>
            </w:r>
          </w:p>
        </w:tc>
        <w:tc>
          <w:tcPr>
            <w:tcW w:w="1530" w:type="dxa"/>
          </w:tcPr>
          <w:p w14:paraId="42811E3A" w14:textId="77777777" w:rsidR="00231ACE" w:rsidRPr="00E73D2F" w:rsidRDefault="00231ACE" w:rsidP="00231ACE">
            <w:pPr>
              <w:pStyle w:val="TBCentered"/>
            </w:pPr>
            <w:r w:rsidRPr="00E73D2F">
              <w:t>6</w:t>
            </w:r>
          </w:p>
        </w:tc>
        <w:tc>
          <w:tcPr>
            <w:tcW w:w="1771" w:type="dxa"/>
          </w:tcPr>
          <w:p w14:paraId="6E7181B1" w14:textId="397C7374" w:rsidR="00231ACE" w:rsidRPr="00E73D2F" w:rsidRDefault="00231ACE" w:rsidP="00231ACE">
            <w:pPr>
              <w:pStyle w:val="TBCentered"/>
            </w:pPr>
            <w:r w:rsidRPr="00E73D2F">
              <w:t>15–20</w:t>
            </w:r>
          </w:p>
        </w:tc>
        <w:tc>
          <w:tcPr>
            <w:tcW w:w="1109" w:type="dxa"/>
          </w:tcPr>
          <w:p w14:paraId="13894F5A" w14:textId="77777777" w:rsidR="00231ACE" w:rsidRPr="00E73D2F" w:rsidRDefault="00231ACE" w:rsidP="00231ACE">
            <w:pPr>
              <w:pStyle w:val="TBCentered"/>
            </w:pPr>
            <w:r w:rsidRPr="00E73D2F">
              <w:t>Medium</w:t>
            </w:r>
          </w:p>
        </w:tc>
      </w:tr>
      <w:tr w:rsidR="00231ACE" w:rsidRPr="00E73D2F" w14:paraId="25BBAE94" w14:textId="77777777" w:rsidTr="00246572">
        <w:trPr>
          <w:cantSplit/>
        </w:trPr>
        <w:tc>
          <w:tcPr>
            <w:tcW w:w="9558" w:type="dxa"/>
            <w:gridSpan w:val="5"/>
            <w:shd w:val="clear" w:color="auto" w:fill="D9D9D9" w:themeFill="background1" w:themeFillShade="D9"/>
          </w:tcPr>
          <w:p w14:paraId="7D6BA591" w14:textId="77777777" w:rsidR="00231ACE" w:rsidRPr="00E73D2F" w:rsidRDefault="00231ACE" w:rsidP="00231ACE">
            <w:pPr>
              <w:pStyle w:val="TSH"/>
            </w:pPr>
            <w:r w:rsidRPr="00E73D2F">
              <w:t>Brief Exercises</w:t>
            </w:r>
          </w:p>
        </w:tc>
      </w:tr>
      <w:tr w:rsidR="00231ACE" w:rsidRPr="00E73D2F" w14:paraId="0603E9B0" w14:textId="77777777" w:rsidTr="002D45A5">
        <w:trPr>
          <w:cantSplit/>
        </w:trPr>
        <w:tc>
          <w:tcPr>
            <w:tcW w:w="1435" w:type="dxa"/>
          </w:tcPr>
          <w:p w14:paraId="2C2523D5" w14:textId="1EB03E4A" w:rsidR="00231ACE" w:rsidRPr="00E73D2F" w:rsidRDefault="00231ACE" w:rsidP="00231ACE">
            <w:pPr>
              <w:pStyle w:val="TBCentered"/>
            </w:pPr>
            <w:r w:rsidRPr="00E73D2F">
              <w:t>E2-1</w:t>
            </w:r>
          </w:p>
        </w:tc>
        <w:tc>
          <w:tcPr>
            <w:tcW w:w="3713" w:type="dxa"/>
          </w:tcPr>
          <w:p w14:paraId="27DC6178" w14:textId="77777777" w:rsidR="00231ACE" w:rsidRPr="00E73D2F" w:rsidRDefault="00231ACE" w:rsidP="00231ACE">
            <w:pPr>
              <w:pStyle w:val="TBLeft"/>
            </w:pPr>
            <w:r w:rsidRPr="00E73D2F">
              <w:t>Conceptual Framework</w:t>
            </w:r>
          </w:p>
        </w:tc>
        <w:tc>
          <w:tcPr>
            <w:tcW w:w="1530" w:type="dxa"/>
          </w:tcPr>
          <w:p w14:paraId="4C94102F" w14:textId="7665FEA1" w:rsidR="00231ACE" w:rsidRPr="00E73D2F" w:rsidRDefault="00231ACE" w:rsidP="00231ACE">
            <w:pPr>
              <w:pStyle w:val="TBCentered"/>
            </w:pPr>
            <w:r w:rsidRPr="00E73D2F">
              <w:t>3, 5, 6</w:t>
            </w:r>
          </w:p>
        </w:tc>
        <w:tc>
          <w:tcPr>
            <w:tcW w:w="1771" w:type="dxa"/>
          </w:tcPr>
          <w:p w14:paraId="673DC1E0" w14:textId="41E6705B" w:rsidR="00231ACE" w:rsidRPr="00E73D2F" w:rsidRDefault="00231ACE" w:rsidP="00231ACE">
            <w:pPr>
              <w:pStyle w:val="TBCentered"/>
            </w:pPr>
            <w:r w:rsidRPr="00E73D2F">
              <w:t>15–20</w:t>
            </w:r>
          </w:p>
        </w:tc>
        <w:tc>
          <w:tcPr>
            <w:tcW w:w="1109" w:type="dxa"/>
          </w:tcPr>
          <w:p w14:paraId="4743904E" w14:textId="77777777" w:rsidR="00231ACE" w:rsidRPr="00E73D2F" w:rsidRDefault="00231ACE" w:rsidP="00231ACE">
            <w:pPr>
              <w:pStyle w:val="TBCentered"/>
            </w:pPr>
            <w:r w:rsidRPr="00E73D2F">
              <w:t>Medium</w:t>
            </w:r>
          </w:p>
        </w:tc>
      </w:tr>
      <w:tr w:rsidR="00231ACE" w:rsidRPr="00E73D2F" w14:paraId="1EA0469D" w14:textId="77777777" w:rsidTr="002D45A5">
        <w:trPr>
          <w:cantSplit/>
        </w:trPr>
        <w:tc>
          <w:tcPr>
            <w:tcW w:w="1435" w:type="dxa"/>
          </w:tcPr>
          <w:p w14:paraId="5F28C73F" w14:textId="6A526A5B" w:rsidR="00231ACE" w:rsidRPr="00E73D2F" w:rsidRDefault="00231ACE" w:rsidP="00231ACE">
            <w:pPr>
              <w:pStyle w:val="TBCentered"/>
            </w:pPr>
            <w:r w:rsidRPr="00E73D2F">
              <w:t>E2-2</w:t>
            </w:r>
          </w:p>
        </w:tc>
        <w:tc>
          <w:tcPr>
            <w:tcW w:w="3713" w:type="dxa"/>
          </w:tcPr>
          <w:p w14:paraId="3A70B293" w14:textId="77777777" w:rsidR="00231ACE" w:rsidRPr="00E73D2F" w:rsidRDefault="00231ACE" w:rsidP="00231ACE">
            <w:pPr>
              <w:pStyle w:val="TBLeft"/>
            </w:pPr>
            <w:r w:rsidRPr="00E73D2F">
              <w:t xml:space="preserve">Qualitative Characteristics </w:t>
            </w:r>
          </w:p>
        </w:tc>
        <w:tc>
          <w:tcPr>
            <w:tcW w:w="1530" w:type="dxa"/>
          </w:tcPr>
          <w:p w14:paraId="107F8074" w14:textId="4071354A" w:rsidR="00231ACE" w:rsidRPr="00E73D2F" w:rsidRDefault="00231ACE" w:rsidP="00231ACE">
            <w:pPr>
              <w:pStyle w:val="TBCentered"/>
            </w:pPr>
            <w:r w:rsidRPr="00E73D2F">
              <w:t>3</w:t>
            </w:r>
          </w:p>
        </w:tc>
        <w:tc>
          <w:tcPr>
            <w:tcW w:w="1771" w:type="dxa"/>
          </w:tcPr>
          <w:p w14:paraId="066FADD2" w14:textId="521636BE" w:rsidR="00231ACE" w:rsidRPr="00E73D2F" w:rsidRDefault="00231ACE" w:rsidP="00231ACE">
            <w:pPr>
              <w:pStyle w:val="TBCentered"/>
            </w:pPr>
            <w:r w:rsidRPr="00E73D2F">
              <w:t>15–20</w:t>
            </w:r>
          </w:p>
        </w:tc>
        <w:tc>
          <w:tcPr>
            <w:tcW w:w="1109" w:type="dxa"/>
          </w:tcPr>
          <w:p w14:paraId="056C164D" w14:textId="77777777" w:rsidR="00231ACE" w:rsidRPr="00E73D2F" w:rsidRDefault="00231ACE" w:rsidP="00231ACE">
            <w:pPr>
              <w:pStyle w:val="TBCentered"/>
            </w:pPr>
            <w:r w:rsidRPr="00E73D2F">
              <w:t>Medium</w:t>
            </w:r>
          </w:p>
        </w:tc>
      </w:tr>
      <w:tr w:rsidR="00231ACE" w:rsidRPr="00E73D2F" w14:paraId="71E26740" w14:textId="77777777" w:rsidTr="002D45A5">
        <w:trPr>
          <w:cantSplit/>
        </w:trPr>
        <w:tc>
          <w:tcPr>
            <w:tcW w:w="1435" w:type="dxa"/>
          </w:tcPr>
          <w:p w14:paraId="05C1C92F" w14:textId="76C71E37" w:rsidR="00231ACE" w:rsidRPr="00E73D2F" w:rsidRDefault="00231ACE" w:rsidP="00231ACE">
            <w:pPr>
              <w:pStyle w:val="TBCentered"/>
            </w:pPr>
            <w:r w:rsidRPr="00E73D2F">
              <w:t>E2-3</w:t>
            </w:r>
          </w:p>
        </w:tc>
        <w:tc>
          <w:tcPr>
            <w:tcW w:w="3713" w:type="dxa"/>
          </w:tcPr>
          <w:p w14:paraId="764FC2DF" w14:textId="77777777" w:rsidR="00231ACE" w:rsidRPr="00E73D2F" w:rsidRDefault="00231ACE" w:rsidP="00231ACE">
            <w:pPr>
              <w:pStyle w:val="TBLeft"/>
            </w:pPr>
            <w:r w:rsidRPr="00E73D2F">
              <w:t>Enhancing Characteristics</w:t>
            </w:r>
          </w:p>
        </w:tc>
        <w:tc>
          <w:tcPr>
            <w:tcW w:w="1530" w:type="dxa"/>
          </w:tcPr>
          <w:p w14:paraId="6CF3EB0E" w14:textId="393EEF37" w:rsidR="00231ACE" w:rsidRPr="00E73D2F" w:rsidRDefault="00231ACE" w:rsidP="00231ACE">
            <w:pPr>
              <w:pStyle w:val="TBCentered"/>
            </w:pPr>
            <w:r w:rsidRPr="00E73D2F">
              <w:t>3</w:t>
            </w:r>
          </w:p>
        </w:tc>
        <w:tc>
          <w:tcPr>
            <w:tcW w:w="1771" w:type="dxa"/>
          </w:tcPr>
          <w:p w14:paraId="648D76A3" w14:textId="3E6BE2CD" w:rsidR="00231ACE" w:rsidRPr="00E73D2F" w:rsidRDefault="00231ACE" w:rsidP="00231ACE">
            <w:pPr>
              <w:pStyle w:val="TBCentered"/>
            </w:pPr>
            <w:r w:rsidRPr="00E73D2F">
              <w:t>15–20</w:t>
            </w:r>
          </w:p>
        </w:tc>
        <w:tc>
          <w:tcPr>
            <w:tcW w:w="1109" w:type="dxa"/>
          </w:tcPr>
          <w:p w14:paraId="220D437A" w14:textId="77777777" w:rsidR="00231ACE" w:rsidRPr="00E73D2F" w:rsidRDefault="00231ACE" w:rsidP="00231ACE">
            <w:pPr>
              <w:pStyle w:val="TBCentered"/>
            </w:pPr>
            <w:r w:rsidRPr="00E73D2F">
              <w:t>Medium</w:t>
            </w:r>
          </w:p>
        </w:tc>
      </w:tr>
      <w:tr w:rsidR="004D751A" w:rsidRPr="00E73D2F" w14:paraId="45953B77" w14:textId="77777777" w:rsidTr="002D45A5">
        <w:trPr>
          <w:cantSplit/>
        </w:trPr>
        <w:tc>
          <w:tcPr>
            <w:tcW w:w="1435" w:type="dxa"/>
          </w:tcPr>
          <w:p w14:paraId="0C001236" w14:textId="48124FC9" w:rsidR="004D751A" w:rsidRPr="00E73D2F" w:rsidRDefault="004D751A" w:rsidP="00231ACE">
            <w:pPr>
              <w:pStyle w:val="TBCentered"/>
            </w:pPr>
            <w:r w:rsidRPr="00E73D2F">
              <w:t>E2-4</w:t>
            </w:r>
          </w:p>
        </w:tc>
        <w:tc>
          <w:tcPr>
            <w:tcW w:w="3713" w:type="dxa"/>
          </w:tcPr>
          <w:p w14:paraId="79C760EE" w14:textId="02C18F42" w:rsidR="004D751A" w:rsidRPr="00E73D2F" w:rsidRDefault="004D751A" w:rsidP="00231ACE">
            <w:pPr>
              <w:pStyle w:val="TBLeft"/>
            </w:pPr>
            <w:r w:rsidRPr="00E73D2F">
              <w:t>Concepts</w:t>
            </w:r>
          </w:p>
        </w:tc>
        <w:tc>
          <w:tcPr>
            <w:tcW w:w="1530" w:type="dxa"/>
          </w:tcPr>
          <w:p w14:paraId="70DE76F4" w14:textId="1BCA63C8" w:rsidR="004D751A" w:rsidRPr="00E73D2F" w:rsidRDefault="004D751A" w:rsidP="00231ACE">
            <w:pPr>
              <w:pStyle w:val="TBCentered"/>
            </w:pPr>
            <w:r w:rsidRPr="00E73D2F">
              <w:t>3,</w:t>
            </w:r>
            <w:r w:rsidR="00E179AF" w:rsidRPr="00E73D2F">
              <w:t xml:space="preserve"> </w:t>
            </w:r>
            <w:r w:rsidRPr="00E73D2F">
              <w:t>5,</w:t>
            </w:r>
            <w:r w:rsidR="00E179AF" w:rsidRPr="00E73D2F">
              <w:t xml:space="preserve"> </w:t>
            </w:r>
            <w:r w:rsidRPr="00E73D2F">
              <w:t>6</w:t>
            </w:r>
          </w:p>
        </w:tc>
        <w:tc>
          <w:tcPr>
            <w:tcW w:w="1771" w:type="dxa"/>
          </w:tcPr>
          <w:p w14:paraId="21866F72" w14:textId="084C4D8D" w:rsidR="004D751A" w:rsidRPr="00E73D2F" w:rsidRDefault="004D751A" w:rsidP="00231ACE">
            <w:pPr>
              <w:pStyle w:val="TBCentered"/>
            </w:pPr>
            <w:r w:rsidRPr="00E73D2F">
              <w:t>15</w:t>
            </w:r>
            <w:r w:rsidR="00E179AF" w:rsidRPr="00E73D2F">
              <w:t>–</w:t>
            </w:r>
            <w:r w:rsidRPr="00E73D2F">
              <w:t>20</w:t>
            </w:r>
          </w:p>
        </w:tc>
        <w:tc>
          <w:tcPr>
            <w:tcW w:w="1109" w:type="dxa"/>
          </w:tcPr>
          <w:p w14:paraId="3D6E252E" w14:textId="118592C5" w:rsidR="004D751A" w:rsidRPr="00E73D2F" w:rsidRDefault="004D751A" w:rsidP="00231ACE">
            <w:pPr>
              <w:pStyle w:val="TBCentered"/>
            </w:pPr>
            <w:r w:rsidRPr="00E73D2F">
              <w:t>Medium</w:t>
            </w:r>
          </w:p>
        </w:tc>
      </w:tr>
      <w:tr w:rsidR="00124626" w:rsidRPr="00E73D2F" w14:paraId="0283980B" w14:textId="77777777" w:rsidTr="002D45A5">
        <w:trPr>
          <w:cantSplit/>
        </w:trPr>
        <w:tc>
          <w:tcPr>
            <w:tcW w:w="1435" w:type="dxa"/>
          </w:tcPr>
          <w:p w14:paraId="4EBA6468" w14:textId="50FC444B" w:rsidR="00124626" w:rsidRPr="00E73D2F" w:rsidRDefault="00124626" w:rsidP="00231ACE">
            <w:pPr>
              <w:pStyle w:val="TBCentered"/>
            </w:pPr>
            <w:r w:rsidRPr="00E73D2F">
              <w:t>E2-5</w:t>
            </w:r>
          </w:p>
        </w:tc>
        <w:tc>
          <w:tcPr>
            <w:tcW w:w="3713" w:type="dxa"/>
          </w:tcPr>
          <w:p w14:paraId="5FAAD90C" w14:textId="6127C1C0" w:rsidR="00124626" w:rsidRPr="00E73D2F" w:rsidRDefault="00124626" w:rsidP="00231ACE">
            <w:pPr>
              <w:pStyle w:val="TBLeft"/>
            </w:pPr>
            <w:r w:rsidRPr="00E73D2F">
              <w:t>Terms and Concepts</w:t>
            </w:r>
          </w:p>
        </w:tc>
        <w:tc>
          <w:tcPr>
            <w:tcW w:w="1530" w:type="dxa"/>
          </w:tcPr>
          <w:p w14:paraId="38559772" w14:textId="49600A0B" w:rsidR="00124626" w:rsidRPr="00E73D2F" w:rsidRDefault="00124626" w:rsidP="00BC3270">
            <w:pPr>
              <w:pStyle w:val="TBCentered"/>
            </w:pPr>
            <w:r w:rsidRPr="00E73D2F">
              <w:t>1,</w:t>
            </w:r>
            <w:r w:rsidR="00BC3270" w:rsidRPr="00E73D2F" w:rsidDel="00BC3270">
              <w:t xml:space="preserve"> </w:t>
            </w:r>
            <w:r w:rsidRPr="00E73D2F">
              <w:t>3,</w:t>
            </w:r>
            <w:r w:rsidR="00E179AF" w:rsidRPr="00E73D2F">
              <w:t xml:space="preserve"> </w:t>
            </w:r>
            <w:r w:rsidRPr="00E73D2F">
              <w:t>4,</w:t>
            </w:r>
            <w:r w:rsidR="00E179AF" w:rsidRPr="00E73D2F">
              <w:t xml:space="preserve"> </w:t>
            </w:r>
            <w:r w:rsidRPr="00E73D2F">
              <w:t>5,</w:t>
            </w:r>
            <w:r w:rsidR="00E179AF" w:rsidRPr="00E73D2F">
              <w:t xml:space="preserve"> </w:t>
            </w:r>
            <w:r w:rsidRPr="00E73D2F">
              <w:t>6</w:t>
            </w:r>
          </w:p>
        </w:tc>
        <w:tc>
          <w:tcPr>
            <w:tcW w:w="1771" w:type="dxa"/>
          </w:tcPr>
          <w:p w14:paraId="469FD471" w14:textId="046E14F4" w:rsidR="00124626" w:rsidRPr="00E73D2F" w:rsidRDefault="00124626" w:rsidP="00231ACE">
            <w:pPr>
              <w:pStyle w:val="TBCentered"/>
            </w:pPr>
            <w:r w:rsidRPr="00E73D2F">
              <w:t>15</w:t>
            </w:r>
            <w:r w:rsidR="00E179AF" w:rsidRPr="00E73D2F">
              <w:t>–</w:t>
            </w:r>
            <w:r w:rsidRPr="00E73D2F">
              <w:t>20</w:t>
            </w:r>
          </w:p>
        </w:tc>
        <w:tc>
          <w:tcPr>
            <w:tcW w:w="1109" w:type="dxa"/>
          </w:tcPr>
          <w:p w14:paraId="7CA5DFB2" w14:textId="2249D5D3" w:rsidR="00124626" w:rsidRPr="00E73D2F" w:rsidRDefault="00124626" w:rsidP="00231ACE">
            <w:pPr>
              <w:pStyle w:val="TBCentered"/>
            </w:pPr>
            <w:r w:rsidRPr="00E73D2F">
              <w:t>Medium</w:t>
            </w:r>
          </w:p>
        </w:tc>
      </w:tr>
      <w:tr w:rsidR="00124626" w:rsidRPr="00E73D2F" w14:paraId="2746F1C8" w14:textId="77777777" w:rsidTr="002D45A5">
        <w:trPr>
          <w:cantSplit/>
        </w:trPr>
        <w:tc>
          <w:tcPr>
            <w:tcW w:w="1435" w:type="dxa"/>
          </w:tcPr>
          <w:p w14:paraId="7295C19E" w14:textId="002640DC" w:rsidR="00124626" w:rsidRPr="00E73D2F" w:rsidRDefault="00124626" w:rsidP="00231ACE">
            <w:pPr>
              <w:pStyle w:val="TBCentered"/>
            </w:pPr>
            <w:r w:rsidRPr="00E73D2F">
              <w:t>E2-6</w:t>
            </w:r>
          </w:p>
        </w:tc>
        <w:tc>
          <w:tcPr>
            <w:tcW w:w="3713" w:type="dxa"/>
          </w:tcPr>
          <w:p w14:paraId="7631BACA" w14:textId="30B1AA6C" w:rsidR="00124626" w:rsidRPr="00E73D2F" w:rsidRDefault="00124626" w:rsidP="00231ACE">
            <w:pPr>
              <w:pStyle w:val="TBLeft"/>
            </w:pPr>
            <w:r w:rsidRPr="00E73D2F">
              <w:t>Concepts</w:t>
            </w:r>
          </w:p>
        </w:tc>
        <w:tc>
          <w:tcPr>
            <w:tcW w:w="1530" w:type="dxa"/>
          </w:tcPr>
          <w:p w14:paraId="6CD7D9FB" w14:textId="7285877C" w:rsidR="00124626" w:rsidRPr="00E73D2F" w:rsidRDefault="00124626" w:rsidP="00231ACE">
            <w:pPr>
              <w:pStyle w:val="TBCentered"/>
            </w:pPr>
            <w:r w:rsidRPr="00E73D2F">
              <w:t>3,</w:t>
            </w:r>
            <w:r w:rsidR="00E179AF" w:rsidRPr="00E73D2F">
              <w:t xml:space="preserve"> </w:t>
            </w:r>
            <w:r w:rsidRPr="00E73D2F">
              <w:t>5,</w:t>
            </w:r>
            <w:r w:rsidR="00E179AF" w:rsidRPr="00E73D2F">
              <w:t xml:space="preserve"> </w:t>
            </w:r>
            <w:r w:rsidRPr="00E73D2F">
              <w:t>6</w:t>
            </w:r>
          </w:p>
        </w:tc>
        <w:tc>
          <w:tcPr>
            <w:tcW w:w="1771" w:type="dxa"/>
          </w:tcPr>
          <w:p w14:paraId="2FD2631A" w14:textId="0E2676A9" w:rsidR="00124626" w:rsidRPr="00E73D2F" w:rsidRDefault="00124626" w:rsidP="00231ACE">
            <w:pPr>
              <w:pStyle w:val="TBCentered"/>
            </w:pPr>
            <w:r w:rsidRPr="00E73D2F">
              <w:t>25</w:t>
            </w:r>
            <w:r w:rsidR="00E179AF" w:rsidRPr="00E73D2F">
              <w:t>–</w:t>
            </w:r>
            <w:r w:rsidRPr="00E73D2F">
              <w:t>30</w:t>
            </w:r>
          </w:p>
        </w:tc>
        <w:tc>
          <w:tcPr>
            <w:tcW w:w="1109" w:type="dxa"/>
          </w:tcPr>
          <w:p w14:paraId="3530AC18" w14:textId="11C62EA9" w:rsidR="00124626" w:rsidRPr="00E73D2F" w:rsidRDefault="00124626" w:rsidP="00231ACE">
            <w:pPr>
              <w:pStyle w:val="TBCentered"/>
            </w:pPr>
            <w:r w:rsidRPr="00E73D2F">
              <w:t>Difficult</w:t>
            </w:r>
          </w:p>
        </w:tc>
      </w:tr>
      <w:tr w:rsidR="00124626" w:rsidRPr="00E73D2F" w14:paraId="357091B7" w14:textId="77777777" w:rsidTr="002D45A5">
        <w:trPr>
          <w:cantSplit/>
        </w:trPr>
        <w:tc>
          <w:tcPr>
            <w:tcW w:w="1435" w:type="dxa"/>
          </w:tcPr>
          <w:p w14:paraId="6806E766" w14:textId="71FADC35" w:rsidR="00124626" w:rsidRPr="00E73D2F" w:rsidRDefault="00124626" w:rsidP="00231ACE">
            <w:pPr>
              <w:pStyle w:val="TBCentered"/>
            </w:pPr>
            <w:r w:rsidRPr="00E73D2F">
              <w:t>E2-</w:t>
            </w:r>
            <w:r w:rsidR="00540454" w:rsidRPr="00E73D2F">
              <w:t>7</w:t>
            </w:r>
          </w:p>
        </w:tc>
        <w:tc>
          <w:tcPr>
            <w:tcW w:w="3713" w:type="dxa"/>
          </w:tcPr>
          <w:p w14:paraId="6BE816E2" w14:textId="49BB6BF7" w:rsidR="00124626" w:rsidRPr="00E73D2F" w:rsidRDefault="00124626" w:rsidP="00231ACE">
            <w:pPr>
              <w:pStyle w:val="TBLeft"/>
            </w:pPr>
            <w:r w:rsidRPr="00E73D2F">
              <w:t>Cash versus Accrual Bases of Accounting</w:t>
            </w:r>
          </w:p>
        </w:tc>
        <w:tc>
          <w:tcPr>
            <w:tcW w:w="1530" w:type="dxa"/>
          </w:tcPr>
          <w:p w14:paraId="41C2CC58" w14:textId="3EC6C7A2" w:rsidR="00124626" w:rsidRPr="00E73D2F" w:rsidRDefault="00124626" w:rsidP="00231ACE">
            <w:pPr>
              <w:pStyle w:val="TBCentered"/>
            </w:pPr>
            <w:r w:rsidRPr="00E73D2F">
              <w:t>5</w:t>
            </w:r>
          </w:p>
        </w:tc>
        <w:tc>
          <w:tcPr>
            <w:tcW w:w="1771" w:type="dxa"/>
          </w:tcPr>
          <w:p w14:paraId="692629B4" w14:textId="74A2F6B3" w:rsidR="00124626" w:rsidRPr="00E73D2F" w:rsidRDefault="00124626" w:rsidP="00231ACE">
            <w:pPr>
              <w:pStyle w:val="TBCentered"/>
            </w:pPr>
            <w:r w:rsidRPr="00E73D2F">
              <w:t>15</w:t>
            </w:r>
            <w:r w:rsidR="00E179AF" w:rsidRPr="00E73D2F">
              <w:t>–</w:t>
            </w:r>
            <w:r w:rsidRPr="00E73D2F">
              <w:t>20</w:t>
            </w:r>
          </w:p>
        </w:tc>
        <w:tc>
          <w:tcPr>
            <w:tcW w:w="1109" w:type="dxa"/>
          </w:tcPr>
          <w:p w14:paraId="781AC125" w14:textId="7DF79C63" w:rsidR="00124626" w:rsidRPr="00E73D2F" w:rsidRDefault="00124626" w:rsidP="00231ACE">
            <w:pPr>
              <w:pStyle w:val="TBCentered"/>
            </w:pPr>
            <w:r w:rsidRPr="00E73D2F">
              <w:t>Medium</w:t>
            </w:r>
          </w:p>
        </w:tc>
      </w:tr>
      <w:tr w:rsidR="00231ACE" w:rsidRPr="00E73D2F" w14:paraId="09F09FB5" w14:textId="77777777" w:rsidTr="002D45A5">
        <w:trPr>
          <w:cantSplit/>
        </w:trPr>
        <w:tc>
          <w:tcPr>
            <w:tcW w:w="1435" w:type="dxa"/>
          </w:tcPr>
          <w:p w14:paraId="159FEA7A" w14:textId="2ADF31E8" w:rsidR="00231ACE" w:rsidRPr="00E73D2F" w:rsidRDefault="00231ACE" w:rsidP="00231ACE">
            <w:pPr>
              <w:pStyle w:val="TBCentered"/>
            </w:pPr>
            <w:r w:rsidRPr="00E73D2F">
              <w:t>E2-</w:t>
            </w:r>
            <w:r w:rsidR="00540454" w:rsidRPr="00E73D2F">
              <w:t>8</w:t>
            </w:r>
          </w:p>
        </w:tc>
        <w:tc>
          <w:tcPr>
            <w:tcW w:w="3713" w:type="dxa"/>
          </w:tcPr>
          <w:p w14:paraId="32F31746" w14:textId="4F8A54F1" w:rsidR="00231ACE" w:rsidRPr="00E73D2F" w:rsidRDefault="00231ACE" w:rsidP="00231ACE">
            <w:pPr>
              <w:pStyle w:val="TBLeft"/>
            </w:pPr>
            <w:r w:rsidRPr="00E73D2F">
              <w:t>Cash versus Accrual</w:t>
            </w:r>
          </w:p>
        </w:tc>
        <w:tc>
          <w:tcPr>
            <w:tcW w:w="1530" w:type="dxa"/>
          </w:tcPr>
          <w:p w14:paraId="32D0A0D0" w14:textId="4BE8B9CC" w:rsidR="00231ACE" w:rsidRPr="00E73D2F" w:rsidRDefault="00231ACE" w:rsidP="00231ACE">
            <w:pPr>
              <w:pStyle w:val="TBCentered"/>
            </w:pPr>
            <w:r w:rsidRPr="00E73D2F">
              <w:t>5</w:t>
            </w:r>
          </w:p>
        </w:tc>
        <w:tc>
          <w:tcPr>
            <w:tcW w:w="1771" w:type="dxa"/>
          </w:tcPr>
          <w:p w14:paraId="08B610E0" w14:textId="004F1B95" w:rsidR="00231ACE" w:rsidRPr="00E73D2F" w:rsidRDefault="00124626" w:rsidP="00231ACE">
            <w:pPr>
              <w:pStyle w:val="TBCentered"/>
            </w:pPr>
            <w:r w:rsidRPr="00E73D2F">
              <w:t>25</w:t>
            </w:r>
            <w:r w:rsidR="00E179AF" w:rsidRPr="00E73D2F">
              <w:t>–</w:t>
            </w:r>
            <w:r w:rsidRPr="00E73D2F">
              <w:t>30</w:t>
            </w:r>
          </w:p>
        </w:tc>
        <w:tc>
          <w:tcPr>
            <w:tcW w:w="1109" w:type="dxa"/>
          </w:tcPr>
          <w:p w14:paraId="4BB21586" w14:textId="75E1CF2F" w:rsidR="00231ACE" w:rsidRPr="00E73D2F" w:rsidRDefault="00124626" w:rsidP="00231ACE">
            <w:pPr>
              <w:pStyle w:val="TBCentered"/>
            </w:pPr>
            <w:r w:rsidRPr="00E73D2F">
              <w:t>Difficult</w:t>
            </w:r>
          </w:p>
        </w:tc>
      </w:tr>
    </w:tbl>
    <w:p w14:paraId="479DACE5" w14:textId="77777777" w:rsidR="00226DE0" w:rsidRPr="00E73D2F" w:rsidRDefault="00226DE0" w:rsidP="00977345">
      <w:pPr>
        <w:spacing w:after="0" w:line="240" w:lineRule="auto"/>
        <w:rPr>
          <w:rFonts w:ascii="Times New Roman" w:hAnsi="Times New Roman" w:cs="Times New Roman"/>
          <w:b/>
          <w:sz w:val="28"/>
          <w:szCs w:val="24"/>
        </w:rPr>
        <w:sectPr w:rsidR="00226DE0" w:rsidRPr="00E73D2F" w:rsidSect="00486947">
          <w:headerReference w:type="even" r:id="rId7"/>
          <w:headerReference w:type="default" r:id="rId8"/>
          <w:footerReference w:type="even" r:id="rId9"/>
          <w:footerReference w:type="default" r:id="rId10"/>
          <w:footerReference w:type="first" r:id="rId11"/>
          <w:pgSz w:w="12240" w:h="15840"/>
          <w:pgMar w:top="1440" w:right="1440" w:bottom="1440" w:left="1440" w:header="720" w:footer="720" w:gutter="0"/>
          <w:pgNumType w:start="13"/>
          <w:cols w:space="720"/>
          <w:titlePg/>
          <w:docGrid w:linePitch="360"/>
        </w:sectPr>
      </w:pPr>
    </w:p>
    <w:p w14:paraId="71E83C92" w14:textId="4C3FD365" w:rsidR="005674E3" w:rsidRPr="00E73D2F" w:rsidRDefault="00C61462" w:rsidP="00246572">
      <w:pPr>
        <w:pStyle w:val="1head"/>
        <w:spacing w:before="0"/>
      </w:pPr>
      <w:r w:rsidRPr="00E73D2F">
        <w:t xml:space="preserve">Suggestions for Class </w:t>
      </w:r>
      <w:r w:rsidR="00D00831" w:rsidRPr="00E73D2F">
        <w:t>Activities</w:t>
      </w:r>
    </w:p>
    <w:p w14:paraId="2C8A8FC1" w14:textId="74A847AA" w:rsidR="008277CD" w:rsidRPr="00E73D2F" w:rsidRDefault="00AD675A" w:rsidP="00AD675A">
      <w:pPr>
        <w:pStyle w:val="Text"/>
      </w:pPr>
      <w:r w:rsidRPr="00E73D2F">
        <w:t>Students should be encouraged to question the differences</w:t>
      </w:r>
      <w:r w:rsidR="004316DF" w:rsidRPr="00E73D2F">
        <w:t xml:space="preserve"> between U.S. GAAP and IFRS rather than</w:t>
      </w:r>
      <w:r w:rsidRPr="00E73D2F">
        <w:t xml:space="preserve"> accept these differences on a superficial level. In that way, students can see that some of the IFRS concepts are different from U.S. GAAP for valid reasons.</w:t>
      </w:r>
      <w:r w:rsidR="008277CD" w:rsidRPr="00E73D2F">
        <w:t xml:space="preserve"> </w:t>
      </w:r>
      <w:r w:rsidRPr="00E73D2F">
        <w:t>Some IFRS principles and accounts are virtually identical to U.S. GAAP, but nomenclature plays a role. For example, in U.S. GAAP</w:t>
      </w:r>
      <w:r w:rsidR="00FB0351" w:rsidRPr="00E73D2F">
        <w:t>,</w:t>
      </w:r>
      <w:r w:rsidRPr="00E73D2F">
        <w:t xml:space="preserve"> the concept of equity is very close to </w:t>
      </w:r>
      <w:r w:rsidR="00FB0351" w:rsidRPr="00E73D2F">
        <w:t xml:space="preserve">the </w:t>
      </w:r>
      <w:r w:rsidRPr="00E73D2F">
        <w:t>IFRS concept of reserves.</w:t>
      </w:r>
    </w:p>
    <w:p w14:paraId="21AE7DAD" w14:textId="76D24B7A" w:rsidR="008277CD" w:rsidRPr="00E73D2F" w:rsidRDefault="00AD675A" w:rsidP="00246572">
      <w:pPr>
        <w:pStyle w:val="2head"/>
      </w:pPr>
      <w:r w:rsidRPr="00E73D2F">
        <w:t xml:space="preserve">Learning </w:t>
      </w:r>
      <w:r w:rsidR="00933AA9" w:rsidRPr="00E73D2F">
        <w:t>Objective</w:t>
      </w:r>
      <w:r w:rsidRPr="00E73D2F">
        <w:t xml:space="preserve"> 1</w:t>
      </w:r>
    </w:p>
    <w:p w14:paraId="3FA85318" w14:textId="19540C54" w:rsidR="008277CD" w:rsidRPr="00E73D2F" w:rsidRDefault="00AD675A" w:rsidP="00246572">
      <w:pPr>
        <w:pStyle w:val="TextBullet"/>
      </w:pPr>
      <w:r w:rsidRPr="00E73D2F">
        <w:t>Start by reviewing Exhibit 2.1</w:t>
      </w:r>
      <w:r w:rsidR="00226CB0" w:rsidRPr="00E73D2F">
        <w:t>, which shows the</w:t>
      </w:r>
      <w:r w:rsidRPr="00E73D2F">
        <w:t xml:space="preserve"> conceptual framework’s role in standard setting. Ask students how and why these aspects are interrelated. Is there one area in the framework that takes precedence over another</w:t>
      </w:r>
      <w:r w:rsidR="00150960" w:rsidRPr="00E73D2F">
        <w:t>? If so,</w:t>
      </w:r>
      <w:r w:rsidRPr="00E73D2F">
        <w:t xml:space="preserve"> why? Have </w:t>
      </w:r>
      <w:r w:rsidR="00806AEF" w:rsidRPr="00E73D2F">
        <w:t xml:space="preserve">students </w:t>
      </w:r>
      <w:r w:rsidRPr="00E73D2F">
        <w:t>substantiate their answers.</w:t>
      </w:r>
    </w:p>
    <w:p w14:paraId="0E949355" w14:textId="4869B9C6" w:rsidR="008277CD" w:rsidRPr="00E73D2F" w:rsidRDefault="00AD675A" w:rsidP="00246572">
      <w:pPr>
        <w:pStyle w:val="2head"/>
      </w:pPr>
      <w:r w:rsidRPr="00E73D2F">
        <w:t xml:space="preserve">Learning </w:t>
      </w:r>
      <w:r w:rsidR="00933AA9" w:rsidRPr="00E73D2F">
        <w:t>Objective</w:t>
      </w:r>
      <w:r w:rsidRPr="00E73D2F">
        <w:t xml:space="preserve"> 2</w:t>
      </w:r>
    </w:p>
    <w:p w14:paraId="24C9914C" w14:textId="6631E488" w:rsidR="00AD675A" w:rsidRPr="00E73D2F" w:rsidRDefault="00AD675A" w:rsidP="00246572">
      <w:pPr>
        <w:pStyle w:val="TextBullet"/>
      </w:pPr>
      <w:r w:rsidRPr="00E73D2F">
        <w:t>Judgment in accounting is a constant characteristic</w:t>
      </w:r>
      <w:r w:rsidR="009847C7" w:rsidRPr="00E73D2F">
        <w:t>,</w:t>
      </w:r>
      <w:r w:rsidRPr="00E73D2F">
        <w:t xml:space="preserve"> and students should be reminded that when IFRS is adopted in the United States, there will be more reliance upon use of judgment. Although U.S. GAAP is</w:t>
      </w:r>
      <w:r w:rsidR="00F11CB3" w:rsidRPr="00E73D2F">
        <w:t xml:space="preserve"> not</w:t>
      </w:r>
      <w:r w:rsidRPr="00E73D2F">
        <w:t xml:space="preserve"> completely rules</w:t>
      </w:r>
      <w:r w:rsidR="00470020" w:rsidRPr="00E73D2F">
        <w:t xml:space="preserve"> </w:t>
      </w:r>
      <w:r w:rsidRPr="00E73D2F">
        <w:t>based</w:t>
      </w:r>
      <w:r w:rsidR="00F11CB3" w:rsidRPr="00E73D2F">
        <w:t xml:space="preserve"> and IFRS</w:t>
      </w:r>
      <w:r w:rsidRPr="00E73D2F">
        <w:t xml:space="preserve"> </w:t>
      </w:r>
      <w:r w:rsidR="00F11CB3" w:rsidRPr="00E73D2F">
        <w:t xml:space="preserve">is not completely </w:t>
      </w:r>
      <w:r w:rsidRPr="00E73D2F">
        <w:t>principles</w:t>
      </w:r>
      <w:r w:rsidR="00470020" w:rsidRPr="00E73D2F">
        <w:t xml:space="preserve"> </w:t>
      </w:r>
      <w:r w:rsidRPr="00E73D2F">
        <w:t>based</w:t>
      </w:r>
      <w:r w:rsidR="009847C7" w:rsidRPr="00E73D2F">
        <w:t>,</w:t>
      </w:r>
      <w:r w:rsidRPr="00E73D2F">
        <w:t xml:space="preserve"> there is a tendency to describe these frameworks with these underlying concepts. Even at this stage </w:t>
      </w:r>
      <w:r w:rsidR="00810DCA" w:rsidRPr="00E73D2F">
        <w:t>in the course</w:t>
      </w:r>
      <w:r w:rsidRPr="00E73D2F">
        <w:t>, we suggest a class discussion of principl</w:t>
      </w:r>
      <w:r w:rsidR="00111D76" w:rsidRPr="00E73D2F">
        <w:t>e</w:t>
      </w:r>
      <w:r w:rsidRPr="00E73D2F">
        <w:t>s versus rules and ask students if they believe U.S. GAAP is more rules</w:t>
      </w:r>
      <w:r w:rsidR="00111D76" w:rsidRPr="00E73D2F">
        <w:t xml:space="preserve"> </w:t>
      </w:r>
      <w:r w:rsidRPr="00E73D2F">
        <w:t>based or more princip</w:t>
      </w:r>
      <w:r w:rsidR="00111D76" w:rsidRPr="00E73D2F">
        <w:t>le</w:t>
      </w:r>
      <w:r w:rsidRPr="00E73D2F">
        <w:t>s based and why.</w:t>
      </w:r>
    </w:p>
    <w:p w14:paraId="63D7CFEC" w14:textId="7E720FDF" w:rsidR="00AD675A" w:rsidRPr="00E73D2F" w:rsidRDefault="00AD675A" w:rsidP="00246572">
      <w:pPr>
        <w:pStyle w:val="TextBullet"/>
      </w:pPr>
      <w:r w:rsidRPr="00E73D2F">
        <w:t xml:space="preserve">Use Paul Pacter’s interview </w:t>
      </w:r>
      <w:r w:rsidR="00343926" w:rsidRPr="00E73D2F">
        <w:t xml:space="preserve">to begin </w:t>
      </w:r>
      <w:r w:rsidRPr="00E73D2F">
        <w:t xml:space="preserve">a discussion </w:t>
      </w:r>
      <w:r w:rsidR="00343926" w:rsidRPr="00E73D2F">
        <w:t>of</w:t>
      </w:r>
      <w:r w:rsidRPr="00E73D2F">
        <w:t xml:space="preserve"> the pros and cons of having a conceptual framework agreed upon before </w:t>
      </w:r>
      <w:r w:rsidR="00343926" w:rsidRPr="00E73D2F">
        <w:t xml:space="preserve">the </w:t>
      </w:r>
      <w:r w:rsidRPr="00E73D2F">
        <w:t xml:space="preserve">U.S. convergence with IFRS. </w:t>
      </w:r>
      <w:r w:rsidR="006C4EB7" w:rsidRPr="00E73D2F">
        <w:t xml:space="preserve">Ask students how </w:t>
      </w:r>
      <w:r w:rsidRPr="00E73D2F">
        <w:t xml:space="preserve">completely </w:t>
      </w:r>
      <w:r w:rsidR="006C4EB7" w:rsidRPr="00E73D2F">
        <w:t xml:space="preserve">they think </w:t>
      </w:r>
      <w:r w:rsidRPr="00E73D2F">
        <w:t xml:space="preserve">agreement </w:t>
      </w:r>
      <w:r w:rsidR="006C4EB7" w:rsidRPr="00E73D2F">
        <w:t xml:space="preserve">should be </w:t>
      </w:r>
      <w:r w:rsidRPr="00E73D2F">
        <w:t>on a conceptual framework in future accounting standard setting. Another aspect of discussion from this same excerpt could be the critical importance of transparency. Did the Sarbanes-Oxley Act of 2002 sufficiently address the aspect of financial transparency?</w:t>
      </w:r>
    </w:p>
    <w:p w14:paraId="69507D3A" w14:textId="78D7DA78" w:rsidR="00AD675A" w:rsidRPr="00E73D2F" w:rsidRDefault="00AD675A" w:rsidP="00246572">
      <w:pPr>
        <w:pStyle w:val="2head"/>
      </w:pPr>
      <w:r w:rsidRPr="00E73D2F">
        <w:t xml:space="preserve">Learning </w:t>
      </w:r>
      <w:r w:rsidR="00933AA9" w:rsidRPr="00E73D2F">
        <w:t>Objective</w:t>
      </w:r>
      <w:r w:rsidRPr="00E73D2F">
        <w:t xml:space="preserve"> 3</w:t>
      </w:r>
    </w:p>
    <w:p w14:paraId="09D0C012" w14:textId="03CF17A6" w:rsidR="00AD675A" w:rsidRPr="00E73D2F" w:rsidRDefault="00AD675A" w:rsidP="00246572">
      <w:pPr>
        <w:pStyle w:val="TextBullet"/>
      </w:pPr>
      <w:r w:rsidRPr="00E73D2F">
        <w:t xml:space="preserve">Materiality is a critical aspect </w:t>
      </w:r>
      <w:r w:rsidR="001D53E0" w:rsidRPr="00E73D2F">
        <w:t xml:space="preserve">in </w:t>
      </w:r>
      <w:r w:rsidRPr="00E73D2F">
        <w:t>many areas in accounting, tax</w:t>
      </w:r>
      <w:r w:rsidR="001D53E0" w:rsidRPr="00E73D2F">
        <w:t>es</w:t>
      </w:r>
      <w:r w:rsidRPr="00E73D2F">
        <w:t>, and audit</w:t>
      </w:r>
      <w:r w:rsidR="001D53E0" w:rsidRPr="00E73D2F">
        <w:t>ing</w:t>
      </w:r>
      <w:r w:rsidRPr="00E73D2F">
        <w:t>. Ask students why materiality is important in general, how they understand the concept, and how it relates to this chapter in particular.</w:t>
      </w:r>
    </w:p>
    <w:p w14:paraId="09A8156D" w14:textId="3ACAE57D" w:rsidR="008277CD" w:rsidRPr="00E73D2F" w:rsidRDefault="00AD675A" w:rsidP="00246572">
      <w:pPr>
        <w:pStyle w:val="2head"/>
      </w:pPr>
      <w:r w:rsidRPr="00E73D2F">
        <w:t xml:space="preserve">Learning </w:t>
      </w:r>
      <w:r w:rsidR="00933AA9" w:rsidRPr="00E73D2F">
        <w:t>Objective</w:t>
      </w:r>
      <w:r w:rsidRPr="00E73D2F">
        <w:t xml:space="preserve"> 5</w:t>
      </w:r>
    </w:p>
    <w:p w14:paraId="4C2DF097" w14:textId="1B81C6A0" w:rsidR="00AD675A" w:rsidRPr="00E73D2F" w:rsidRDefault="00AD675A" w:rsidP="00246572">
      <w:pPr>
        <w:pStyle w:val="TextBullet"/>
      </w:pPr>
      <w:r w:rsidRPr="00E73D2F">
        <w:t xml:space="preserve">Students in </w:t>
      </w:r>
      <w:r w:rsidR="00C7125C" w:rsidRPr="00E73D2F">
        <w:t xml:space="preserve">a class of </w:t>
      </w:r>
      <w:r w:rsidRPr="00E73D2F">
        <w:t xml:space="preserve">this level understand the basic differences between cash basis </w:t>
      </w:r>
      <w:r w:rsidR="004D3118" w:rsidRPr="00E73D2F">
        <w:t xml:space="preserve">and </w:t>
      </w:r>
      <w:r w:rsidRPr="00E73D2F">
        <w:t>accrual basis</w:t>
      </w:r>
      <w:r w:rsidR="009847C7" w:rsidRPr="00E73D2F">
        <w:t xml:space="preserve">; </w:t>
      </w:r>
      <w:r w:rsidRPr="00E73D2F">
        <w:t xml:space="preserve">however, they most likely </w:t>
      </w:r>
      <w:r w:rsidR="004D3118" w:rsidRPr="00E73D2F">
        <w:t xml:space="preserve">have </w:t>
      </w:r>
      <w:r w:rsidRPr="00E73D2F">
        <w:t xml:space="preserve">not </w:t>
      </w:r>
      <w:r w:rsidR="004D3118" w:rsidRPr="00E73D2F">
        <w:t xml:space="preserve">yet been </w:t>
      </w:r>
      <w:r w:rsidRPr="00E73D2F">
        <w:t xml:space="preserve">exposed to how different the financial results would be between one set of rules and the other. Use Example 2.1 to walk students through the theory and calculations of net income when using </w:t>
      </w:r>
      <w:r w:rsidR="00572C62" w:rsidRPr="00E73D2F">
        <w:t xml:space="preserve">the </w:t>
      </w:r>
      <w:r w:rsidRPr="00E73D2F">
        <w:t xml:space="preserve">cash basis and when using </w:t>
      </w:r>
      <w:r w:rsidR="00572C62" w:rsidRPr="00E73D2F">
        <w:t xml:space="preserve">the </w:t>
      </w:r>
      <w:r w:rsidRPr="00E73D2F">
        <w:t xml:space="preserve">accrual basis. The end result is the same, but the results vary drastically in the short run </w:t>
      </w:r>
      <w:r w:rsidR="00572C62" w:rsidRPr="00E73D2F">
        <w:t xml:space="preserve">each </w:t>
      </w:r>
      <w:r w:rsidRPr="00E73D2F">
        <w:t>month.</w:t>
      </w:r>
    </w:p>
    <w:p w14:paraId="1973A6CD" w14:textId="5CADB959" w:rsidR="00AD675A" w:rsidRPr="00E73D2F" w:rsidRDefault="00AD675A" w:rsidP="00246572">
      <w:pPr>
        <w:pStyle w:val="2head"/>
      </w:pPr>
      <w:r w:rsidRPr="00E73D2F">
        <w:t xml:space="preserve">Learning </w:t>
      </w:r>
      <w:r w:rsidR="00933AA9" w:rsidRPr="00E73D2F">
        <w:t>Objective</w:t>
      </w:r>
      <w:r w:rsidRPr="00E73D2F">
        <w:t xml:space="preserve"> 6</w:t>
      </w:r>
    </w:p>
    <w:p w14:paraId="04D2C711" w14:textId="6CC49F47" w:rsidR="00AD675A" w:rsidRPr="00E73D2F" w:rsidRDefault="00AD675A" w:rsidP="00246572">
      <w:pPr>
        <w:pStyle w:val="TextBullet"/>
      </w:pPr>
      <w:r w:rsidRPr="00E73D2F">
        <w:t xml:space="preserve">Explain the many examples of arms-length transactions. This concept is important in auditing </w:t>
      </w:r>
      <w:r w:rsidR="009847C7" w:rsidRPr="00E73D2F">
        <w:t xml:space="preserve">because </w:t>
      </w:r>
      <w:r w:rsidRPr="00E73D2F">
        <w:t>auditors need to find out if there are related</w:t>
      </w:r>
      <w:r w:rsidR="009847C7" w:rsidRPr="00E73D2F">
        <w:t>-</w:t>
      </w:r>
      <w:r w:rsidRPr="00E73D2F">
        <w:t xml:space="preserve">party transactions. Students benefit greatly when they can see the many interconnections between their courses and different subfields in the accounting discipline. </w:t>
      </w:r>
      <w:r w:rsidR="00BF36CD" w:rsidRPr="00E73D2F">
        <w:t>Consider having s</w:t>
      </w:r>
      <w:r w:rsidRPr="00E73D2F">
        <w:t>tudents role</w:t>
      </w:r>
      <w:r w:rsidR="00BF36CD" w:rsidRPr="00E73D2F">
        <w:t>-</w:t>
      </w:r>
      <w:r w:rsidRPr="00E73D2F">
        <w:t>play</w:t>
      </w:r>
      <w:r w:rsidR="00427C6A" w:rsidRPr="00E73D2F">
        <w:t xml:space="preserve"> being</w:t>
      </w:r>
      <w:r w:rsidRPr="00E73D2F">
        <w:t xml:space="preserve"> part of the audit team or </w:t>
      </w:r>
      <w:r w:rsidR="00CC55B8" w:rsidRPr="00E73D2F">
        <w:t xml:space="preserve">being </w:t>
      </w:r>
      <w:r w:rsidRPr="00E73D2F">
        <w:t>part of a small family</w:t>
      </w:r>
      <w:r w:rsidR="00A93678" w:rsidRPr="00E73D2F">
        <w:t>-</w:t>
      </w:r>
      <w:r w:rsidRPr="00E73D2F">
        <w:t>run business. Students can decide how they want to communicate to the auditor that all their transactions are or are not related</w:t>
      </w:r>
      <w:r w:rsidR="00C7099B" w:rsidRPr="00E73D2F">
        <w:t>-</w:t>
      </w:r>
      <w:r w:rsidRPr="00E73D2F">
        <w:t xml:space="preserve">party transactions. A follow-up could be </w:t>
      </w:r>
      <w:r w:rsidR="00BD610D" w:rsidRPr="00E73D2F">
        <w:t xml:space="preserve">a </w:t>
      </w:r>
      <w:r w:rsidRPr="00E73D2F">
        <w:t>discuss</w:t>
      </w:r>
      <w:r w:rsidR="00BD610D" w:rsidRPr="00E73D2F">
        <w:t>ion of</w:t>
      </w:r>
      <w:r w:rsidRPr="00E73D2F">
        <w:t xml:space="preserve"> why shareholders would be interested in knowing about possible related</w:t>
      </w:r>
      <w:r w:rsidR="00BD610D" w:rsidRPr="00E73D2F">
        <w:t>-</w:t>
      </w:r>
      <w:r w:rsidRPr="00E73D2F">
        <w:t>party transactions if the company is publicly held.</w:t>
      </w:r>
    </w:p>
    <w:p w14:paraId="252B7A52" w14:textId="23DA027F" w:rsidR="00AD675A" w:rsidRPr="00E73D2F" w:rsidRDefault="00AD675A" w:rsidP="00246572">
      <w:pPr>
        <w:pStyle w:val="TextBullet"/>
      </w:pPr>
      <w:r w:rsidRPr="00E73D2F">
        <w:t xml:space="preserve">The going concern assumption is often not discussed at length in courses other than </w:t>
      </w:r>
      <w:r w:rsidR="005574F0" w:rsidRPr="00E73D2F">
        <w:t xml:space="preserve">those on </w:t>
      </w:r>
      <w:r w:rsidRPr="00E73D2F">
        <w:t xml:space="preserve">auditing. To make this topic come alive to students, divide the class into small groups and have them brainstorm all the possible areas of concern from a sample company’s financials. </w:t>
      </w:r>
      <w:r w:rsidR="00D53636" w:rsidRPr="00E73D2F">
        <w:t>Given them</w:t>
      </w:r>
      <w:r w:rsidRPr="00E73D2F">
        <w:t xml:space="preserve"> approximately 20 minutes to create a list of potential red flags that could lead to a company’s demise</w:t>
      </w:r>
      <w:r w:rsidR="00D31B89" w:rsidRPr="00E73D2F">
        <w:t xml:space="preserve"> (e.g.,</w:t>
      </w:r>
      <w:r w:rsidRPr="00E73D2F">
        <w:t xml:space="preserve"> liquidity issues, solvency, inventory buildup or turnover, excess long</w:t>
      </w:r>
      <w:r w:rsidR="00631436" w:rsidRPr="00E73D2F">
        <w:t>-</w:t>
      </w:r>
      <w:r w:rsidRPr="00E73D2F">
        <w:t>term debt, high COGS</w:t>
      </w:r>
      <w:r w:rsidR="00D31B89" w:rsidRPr="00E73D2F">
        <w:t>)</w:t>
      </w:r>
      <w:r w:rsidRPr="00E73D2F">
        <w:t xml:space="preserve">. Once </w:t>
      </w:r>
      <w:r w:rsidR="00B73E94" w:rsidRPr="00E73D2F">
        <w:t xml:space="preserve">they have created their </w:t>
      </w:r>
      <w:r w:rsidRPr="00E73D2F">
        <w:t>list</w:t>
      </w:r>
      <w:r w:rsidR="00B73E94" w:rsidRPr="00E73D2F">
        <w:t>s</w:t>
      </w:r>
      <w:r w:rsidRPr="00E73D2F">
        <w:t>,</w:t>
      </w:r>
      <w:r w:rsidR="00B73E94" w:rsidRPr="00E73D2F">
        <w:t xml:space="preserve"> have</w:t>
      </w:r>
      <w:r w:rsidRPr="00E73D2F">
        <w:t xml:space="preserve"> the small groups report to the class about how these areas could be of consequence to the going concern assumption.</w:t>
      </w:r>
    </w:p>
    <w:p w14:paraId="0BAEFD6C" w14:textId="77777777" w:rsidR="0089207B" w:rsidRPr="00E73D2F" w:rsidRDefault="00C032B0" w:rsidP="00933AA9">
      <w:pPr>
        <w:pStyle w:val="1head"/>
      </w:pPr>
      <w:r w:rsidRPr="00E73D2F">
        <w:t>Guidance on I</w:t>
      </w:r>
      <w:r w:rsidR="0089207B" w:rsidRPr="00E73D2F">
        <w:t>ncorporating IFRS Material</w:t>
      </w:r>
    </w:p>
    <w:p w14:paraId="19CD7F33" w14:textId="6EF7DFC6" w:rsidR="008277CD" w:rsidRPr="00E73D2F" w:rsidRDefault="00AD675A" w:rsidP="00246572">
      <w:pPr>
        <w:pStyle w:val="Text"/>
      </w:pPr>
      <w:r w:rsidRPr="00E73D2F">
        <w:t>Students should begin using commonly used IFRS websites</w:t>
      </w:r>
      <w:r w:rsidR="00631436" w:rsidRPr="00E73D2F">
        <w:t>,</w:t>
      </w:r>
      <w:r w:rsidRPr="00E73D2F">
        <w:t xml:space="preserve"> such as IFRS.org</w:t>
      </w:r>
      <w:r w:rsidR="00631436" w:rsidRPr="00E73D2F">
        <w:t>,</w:t>
      </w:r>
      <w:r w:rsidRPr="00E73D2F">
        <w:t xml:space="preserve"> to read about recent developments in the possible convergence with U.S. GAAP. They could be given an assignment to write a summary about some aspects of that website. Another assignment could be to ask them to research some different topics in recent accounting debate from the AICPA website (aicpa.org). Students should be encouraged to join the AICPA</w:t>
      </w:r>
      <w:r w:rsidR="00860A81" w:rsidRPr="00E73D2F">
        <w:t xml:space="preserve"> at the reduced</w:t>
      </w:r>
      <w:r w:rsidRPr="00E73D2F">
        <w:t xml:space="preserve"> student rate. This is a great opportunity </w:t>
      </w:r>
      <w:r w:rsidR="00AB6B79" w:rsidRPr="00E73D2F">
        <w:t xml:space="preserve">for students to </w:t>
      </w:r>
      <w:r w:rsidRPr="00E73D2F">
        <w:t xml:space="preserve">add credibility to their resumes and to </w:t>
      </w:r>
      <w:r w:rsidR="00AB6B79" w:rsidRPr="00E73D2F">
        <w:t xml:space="preserve">understand </w:t>
      </w:r>
      <w:r w:rsidRPr="00E73D2F">
        <w:t>that the accounting profession is a highly developed part of the business community.</w:t>
      </w:r>
    </w:p>
    <w:p w14:paraId="333D48C6" w14:textId="77777777" w:rsidR="008277CD" w:rsidRPr="00E73D2F" w:rsidRDefault="00631436" w:rsidP="00246572">
      <w:pPr>
        <w:pStyle w:val="Text"/>
      </w:pPr>
      <w:r w:rsidRPr="00E73D2F">
        <w:t>N</w:t>
      </w:r>
      <w:r w:rsidR="00AD675A" w:rsidRPr="00E73D2F">
        <w:t xml:space="preserve">umerous topics are introduced in this chapter that will be examined further in subsequent chapters. </w:t>
      </w:r>
      <w:r w:rsidRPr="00E73D2F">
        <w:t xml:space="preserve">However, </w:t>
      </w:r>
      <w:r w:rsidR="00AD675A" w:rsidRPr="00E73D2F">
        <w:t xml:space="preserve">at the end of this chapter students can be assigned a short research project to investigate the IFRS.org website on topics discussed in </w:t>
      </w:r>
      <w:r w:rsidRPr="00E73D2F">
        <w:t>C</w:t>
      </w:r>
      <w:r w:rsidR="00AD675A" w:rsidRPr="00E73D2F">
        <w:t>hapter 2, primarily revenue recognition.</w:t>
      </w:r>
    </w:p>
    <w:p w14:paraId="0F74DD70" w14:textId="2897FE60" w:rsidR="00AD675A" w:rsidRPr="00E73D2F" w:rsidRDefault="00AD675A" w:rsidP="00246572">
      <w:pPr>
        <w:pStyle w:val="Text"/>
      </w:pPr>
      <w:r w:rsidRPr="00E73D2F">
        <w:t>Some analysts depict IFRS as being more aggressive in their revenue recognition criteria, but some members of the IASB dispute this assessment. The basic difference in revenue recognition is the timing of the revenue recognition</w:t>
      </w:r>
      <w:r w:rsidR="00376CF3" w:rsidRPr="00E73D2F">
        <w:t>:</w:t>
      </w:r>
      <w:r w:rsidRPr="00E73D2F">
        <w:t xml:space="preserve"> IFRS recogni</w:t>
      </w:r>
      <w:r w:rsidR="00376CF3" w:rsidRPr="00E73D2F">
        <w:t>zes</w:t>
      </w:r>
      <w:r w:rsidRPr="00E73D2F">
        <w:t xml:space="preserve"> revenue earlier than </w:t>
      </w:r>
      <w:r w:rsidR="00376CF3" w:rsidRPr="00E73D2F">
        <w:t xml:space="preserve">does </w:t>
      </w:r>
      <w:r w:rsidRPr="00E73D2F">
        <w:t xml:space="preserve">U.S. GAAP in the reporting cycle. </w:t>
      </w:r>
      <w:r w:rsidR="00763E38" w:rsidRPr="00E73D2F">
        <w:t xml:space="preserve">Some </w:t>
      </w:r>
      <w:r w:rsidRPr="00E73D2F">
        <w:t xml:space="preserve">analysts </w:t>
      </w:r>
      <w:r w:rsidR="00763E38" w:rsidRPr="00E73D2F">
        <w:t xml:space="preserve">have described IFRS </w:t>
      </w:r>
      <w:r w:rsidRPr="00E73D2F">
        <w:t>as being less conservative in revenue recognition as well as in other areas of financial reporting.</w:t>
      </w:r>
    </w:p>
    <w:p w14:paraId="7A4E719B" w14:textId="77777777" w:rsidR="00BD2980" w:rsidRPr="00E73D2F" w:rsidRDefault="00BD2980" w:rsidP="00BD2980">
      <w:pPr>
        <w:pStyle w:val="1head"/>
      </w:pPr>
      <w:r w:rsidRPr="00E73D2F">
        <w:t>Interview Discussion Questions</w:t>
      </w:r>
    </w:p>
    <w:p w14:paraId="28EF974A" w14:textId="77777777" w:rsidR="00A9458F" w:rsidRPr="00785E75" w:rsidRDefault="00A9458F" w:rsidP="00A9458F">
      <w:pPr>
        <w:pStyle w:val="ListParagraph"/>
        <w:numPr>
          <w:ilvl w:val="0"/>
          <w:numId w:val="28"/>
        </w:numPr>
        <w:spacing w:after="0" w:line="240" w:lineRule="auto"/>
        <w:rPr>
          <w:rFonts w:ascii="Times New Roman" w:hAnsi="Times New Roman" w:cs="Times New Roman"/>
          <w:sz w:val="24"/>
          <w:szCs w:val="24"/>
        </w:rPr>
      </w:pPr>
      <w:r w:rsidRPr="00785E75">
        <w:rPr>
          <w:rFonts w:ascii="Times New Roman" w:hAnsi="Times New Roman" w:cs="Times New Roman"/>
          <w:sz w:val="24"/>
          <w:szCs w:val="24"/>
        </w:rPr>
        <w:t>Discuss several components of the current conceptual framework that provide guidance and direction to accountants when exercising judgment.</w:t>
      </w:r>
    </w:p>
    <w:p w14:paraId="0A8BC13C" w14:textId="77777777" w:rsidR="00A9458F" w:rsidRPr="00785E75" w:rsidRDefault="00A9458F" w:rsidP="00A9458F">
      <w:pPr>
        <w:pStyle w:val="ListParagraph"/>
        <w:rPr>
          <w:rFonts w:ascii="Times New Roman" w:hAnsi="Times New Roman" w:cs="Times New Roman"/>
          <w:sz w:val="24"/>
          <w:szCs w:val="24"/>
        </w:rPr>
      </w:pPr>
    </w:p>
    <w:p w14:paraId="2E80DBFC" w14:textId="77777777" w:rsidR="00A9458F" w:rsidRPr="00785E75" w:rsidRDefault="00A9458F" w:rsidP="00A9458F">
      <w:pPr>
        <w:ind w:left="720"/>
        <w:rPr>
          <w:rFonts w:ascii="Times New Roman" w:hAnsi="Times New Roman" w:cs="Times New Roman"/>
          <w:sz w:val="24"/>
          <w:szCs w:val="24"/>
        </w:rPr>
      </w:pPr>
      <w:r w:rsidRPr="00785E75">
        <w:rPr>
          <w:rFonts w:ascii="Times New Roman" w:hAnsi="Times New Roman" w:cs="Times New Roman"/>
          <w:b/>
          <w:i/>
          <w:sz w:val="24"/>
          <w:szCs w:val="24"/>
          <w:u w:val="single"/>
        </w:rPr>
        <w:t>Suggested Discussion Points</w:t>
      </w:r>
      <w:r w:rsidRPr="00785E75">
        <w:rPr>
          <w:rFonts w:ascii="Times New Roman" w:hAnsi="Times New Roman" w:cs="Times New Roman"/>
          <w:b/>
          <w:i/>
          <w:sz w:val="24"/>
          <w:szCs w:val="24"/>
        </w:rPr>
        <w:t xml:space="preserve">: </w:t>
      </w:r>
      <w:r w:rsidRPr="00785E75">
        <w:rPr>
          <w:rFonts w:ascii="Times New Roman" w:hAnsi="Times New Roman" w:cs="Times New Roman"/>
          <w:sz w:val="24"/>
          <w:szCs w:val="24"/>
        </w:rPr>
        <w:t>Accountants use judgment on a day-to-day basis when applying accounting concepts, assumptions, and principles. For example, the cost constraint involves determining the expected cost of implementation of a new accounting standard. Materiality is subjective and can be difficult to apply. The measurement of financial statement elements at fair value requires a significant amount of judgment and estimation. How does an accountant know that the information provided is “complete” or “neutral?” Can an accountant be sure that the statements meet the threshold of full disclosure? Judgment plays a major role in implementing the concepts, assumptions, and principles included in the conceptual framework.</w:t>
      </w:r>
    </w:p>
    <w:p w14:paraId="20842D70" w14:textId="77777777" w:rsidR="00A9458F" w:rsidRPr="00785E75" w:rsidRDefault="00A9458F" w:rsidP="00A9458F">
      <w:pPr>
        <w:pStyle w:val="ListParagraph"/>
        <w:rPr>
          <w:rFonts w:ascii="Times New Roman" w:hAnsi="Times New Roman" w:cs="Times New Roman"/>
          <w:sz w:val="24"/>
          <w:szCs w:val="24"/>
        </w:rPr>
      </w:pPr>
    </w:p>
    <w:p w14:paraId="09CFE1D4" w14:textId="77777777" w:rsidR="00A9458F" w:rsidRPr="00785E75" w:rsidRDefault="00A9458F" w:rsidP="00A9458F">
      <w:pPr>
        <w:pStyle w:val="ListParagraph"/>
        <w:numPr>
          <w:ilvl w:val="0"/>
          <w:numId w:val="28"/>
        </w:numPr>
        <w:spacing w:after="0" w:line="240" w:lineRule="auto"/>
        <w:rPr>
          <w:rFonts w:ascii="Times New Roman" w:hAnsi="Times New Roman" w:cs="Times New Roman"/>
          <w:sz w:val="24"/>
          <w:szCs w:val="24"/>
        </w:rPr>
      </w:pPr>
      <w:r w:rsidRPr="00785E75">
        <w:rPr>
          <w:rFonts w:ascii="Times New Roman" w:hAnsi="Times New Roman" w:cs="Times New Roman"/>
          <w:sz w:val="24"/>
          <w:szCs w:val="24"/>
        </w:rPr>
        <w:t>Discuss the meaning of Paul Pacter’s statement, “We accountants must never lose sight of the important public interest in our work.”</w:t>
      </w:r>
    </w:p>
    <w:p w14:paraId="07174814" w14:textId="77777777" w:rsidR="00A9458F" w:rsidRPr="00785E75" w:rsidRDefault="00A9458F" w:rsidP="00A9458F">
      <w:pPr>
        <w:rPr>
          <w:rFonts w:ascii="Times New Roman" w:hAnsi="Times New Roman" w:cs="Times New Roman"/>
          <w:sz w:val="24"/>
          <w:szCs w:val="24"/>
        </w:rPr>
      </w:pPr>
    </w:p>
    <w:p w14:paraId="2334D460" w14:textId="77777777" w:rsidR="00A9458F" w:rsidRPr="00785E75" w:rsidRDefault="00A9458F" w:rsidP="00A9458F">
      <w:pPr>
        <w:ind w:left="720"/>
        <w:rPr>
          <w:rFonts w:ascii="Times New Roman" w:hAnsi="Times New Roman" w:cs="Times New Roman"/>
          <w:b/>
          <w:sz w:val="24"/>
          <w:szCs w:val="24"/>
        </w:rPr>
      </w:pPr>
      <w:r w:rsidRPr="00785E75">
        <w:rPr>
          <w:rFonts w:ascii="Times New Roman" w:hAnsi="Times New Roman" w:cs="Times New Roman"/>
          <w:b/>
          <w:i/>
          <w:sz w:val="24"/>
          <w:szCs w:val="24"/>
          <w:u w:val="single"/>
        </w:rPr>
        <w:t>Suggested Discussion Points</w:t>
      </w:r>
      <w:r w:rsidRPr="00785E75">
        <w:rPr>
          <w:rFonts w:ascii="Times New Roman" w:hAnsi="Times New Roman" w:cs="Times New Roman"/>
          <w:b/>
          <w:i/>
          <w:sz w:val="24"/>
          <w:szCs w:val="24"/>
        </w:rPr>
        <w:t xml:space="preserve">: </w:t>
      </w:r>
      <w:r w:rsidRPr="00785E75">
        <w:rPr>
          <w:rFonts w:ascii="Times New Roman" w:hAnsi="Times New Roman" w:cs="Times New Roman"/>
          <w:color w:val="262626"/>
          <w:sz w:val="24"/>
          <w:szCs w:val="24"/>
        </w:rPr>
        <w:t>The accounting profession has an obligation to meet the public interest and plays a critical role in our society. The role of accounting in serving the interest of the constituents within the environment in which it operates includes setting standards, ensuring compliance with regulatory requirements, enhancing corporate social responsibility, and monitoring and minimizing the potential for accounting fraud. Taking these steps creates confidence and public trust in the financial system and ensures proper functioning of our capital markets.</w:t>
      </w:r>
    </w:p>
    <w:p w14:paraId="3CC427B0" w14:textId="77777777" w:rsidR="00A9458F" w:rsidRPr="00785E75" w:rsidRDefault="00A9458F" w:rsidP="00A9458F">
      <w:pPr>
        <w:rPr>
          <w:rFonts w:ascii="Times New Roman" w:hAnsi="Times New Roman" w:cs="Times New Roman"/>
          <w:sz w:val="24"/>
          <w:szCs w:val="24"/>
        </w:rPr>
      </w:pPr>
    </w:p>
    <w:p w14:paraId="4C336959" w14:textId="77777777" w:rsidR="00A9458F" w:rsidRPr="00785E75" w:rsidRDefault="00A9458F" w:rsidP="00A9458F">
      <w:pPr>
        <w:ind w:left="720"/>
        <w:rPr>
          <w:rFonts w:ascii="Times New Roman" w:hAnsi="Times New Roman" w:cs="Times New Roman"/>
          <w:sz w:val="24"/>
          <w:szCs w:val="24"/>
        </w:rPr>
      </w:pPr>
      <w:r w:rsidRPr="00785E75">
        <w:rPr>
          <w:rFonts w:ascii="Times New Roman" w:hAnsi="Times New Roman" w:cs="Times New Roman"/>
          <w:sz w:val="24"/>
          <w:szCs w:val="24"/>
        </w:rPr>
        <w:t xml:space="preserve">The picture below illustrates the accountant’s role in society.  Starting with economic activity, accountants use their judgment to provide useful information that leads to good decision making and, ultimately, a prosperous society.  Thus, the accountant’s role in society and serving the public interest is critical. </w:t>
      </w:r>
    </w:p>
    <w:p w14:paraId="6B5D5013" w14:textId="77777777" w:rsidR="00A9458F" w:rsidRPr="00785E75" w:rsidRDefault="00A9458F" w:rsidP="00A9458F">
      <w:pPr>
        <w:rPr>
          <w:rFonts w:ascii="Times New Roman" w:hAnsi="Times New Roman" w:cs="Times New Roman"/>
          <w:sz w:val="24"/>
          <w:szCs w:val="24"/>
        </w:rPr>
      </w:pPr>
    </w:p>
    <w:p w14:paraId="75D5D373" w14:textId="77777777" w:rsidR="00A9458F" w:rsidRPr="00785E75" w:rsidRDefault="00A9458F" w:rsidP="00A9458F">
      <w:pPr>
        <w:ind w:left="720"/>
        <w:rPr>
          <w:rStyle w:val="apple-converted-space"/>
          <w:rFonts w:ascii="Times New Roman" w:hAnsi="Times New Roman" w:cs="Times New Roman"/>
          <w:color w:val="000000"/>
          <w:sz w:val="24"/>
          <w:szCs w:val="24"/>
          <w:shd w:val="clear" w:color="auto" w:fill="FFFFFF"/>
        </w:rPr>
      </w:pPr>
      <w:r w:rsidRPr="00785E75">
        <w:rPr>
          <w:rFonts w:ascii="Times New Roman" w:hAnsi="Times New Roman" w:cs="Times New Roman"/>
          <w:color w:val="000000"/>
          <w:sz w:val="24"/>
          <w:szCs w:val="24"/>
          <w:shd w:val="clear" w:color="auto" w:fill="FFFFFF"/>
        </w:rPr>
        <w:t>The Pathways Commission on Accounting Higher Education generated the picture (“Pathways Vision Model”) to represent their vision of accounting in society. The Pathways Commission on Accounting Higher Education was created in 2010 by the American Accounting Association (AAA) and the American Institute of Certified Public Accountants (AICPA) to study the future structure of higher education for the accounting profession and develop recommendations for educational pathways to engage and retain the strongest possible community of students, academics, practitioners, and other knowledgeable leaders in the practice and study of accounting.</w:t>
      </w:r>
      <w:r w:rsidRPr="00785E75">
        <w:rPr>
          <w:rStyle w:val="apple-converted-space"/>
          <w:rFonts w:ascii="Times New Roman" w:hAnsi="Times New Roman" w:cs="Times New Roman"/>
          <w:color w:val="000000"/>
          <w:sz w:val="24"/>
          <w:szCs w:val="24"/>
          <w:shd w:val="clear" w:color="auto" w:fill="FFFFFF"/>
        </w:rPr>
        <w:t> </w:t>
      </w:r>
    </w:p>
    <w:p w14:paraId="271DC802" w14:textId="77777777" w:rsidR="00A9458F" w:rsidRPr="00785E75" w:rsidRDefault="00A9458F" w:rsidP="00A9458F">
      <w:pPr>
        <w:rPr>
          <w:rFonts w:ascii="Times New Roman" w:hAnsi="Times New Roman" w:cs="Times New Roman"/>
          <w:sz w:val="24"/>
          <w:szCs w:val="24"/>
        </w:rPr>
      </w:pPr>
    </w:p>
    <w:p w14:paraId="3C8EB77D" w14:textId="77777777" w:rsidR="00A9458F" w:rsidRPr="00785E75" w:rsidRDefault="00A9458F" w:rsidP="00A9458F">
      <w:pPr>
        <w:ind w:left="720"/>
        <w:rPr>
          <w:rFonts w:ascii="Times New Roman" w:hAnsi="Times New Roman" w:cs="Times New Roman"/>
          <w:b/>
          <w:i/>
          <w:sz w:val="24"/>
          <w:szCs w:val="24"/>
        </w:rPr>
      </w:pPr>
      <w:r w:rsidRPr="00785E75">
        <w:rPr>
          <w:rFonts w:ascii="Times New Roman" w:hAnsi="Times New Roman" w:cs="Times New Roman"/>
          <w:b/>
          <w:i/>
          <w:noProof/>
          <w:sz w:val="24"/>
          <w:szCs w:val="24"/>
        </w:rPr>
        <w:drawing>
          <wp:inline distT="0" distB="0" distL="0" distR="0" wp14:anchorId="3F242C6D" wp14:editId="69C92E0F">
            <wp:extent cx="3760342" cy="4340832"/>
            <wp:effectExtent l="19050" t="19050" r="12065" b="22225"/>
            <wp:docPr id="4" name="Picture 3"/>
            <wp:cNvGraphicFramePr/>
            <a:graphic xmlns:a="http://schemas.openxmlformats.org/drawingml/2006/main">
              <a:graphicData uri="http://schemas.openxmlformats.org/drawingml/2006/picture">
                <pic:pic xmlns:pic="http://schemas.openxmlformats.org/drawingml/2006/picture">
                  <pic:nvPicPr>
                    <pic:cNvPr id="4" name="Picture 3"/>
                    <pic:cNvPicPr/>
                  </pic:nvPicPr>
                  <pic:blipFill>
                    <a:blip r:embed="rId12" cstate="print"/>
                    <a:stretch>
                      <a:fillRect/>
                    </a:stretch>
                  </pic:blipFill>
                  <pic:spPr bwMode="auto">
                    <a:xfrm>
                      <a:off x="0" y="0"/>
                      <a:ext cx="3769818" cy="4351771"/>
                    </a:xfrm>
                    <a:prstGeom prst="rect">
                      <a:avLst/>
                    </a:prstGeom>
                    <a:noFill/>
                    <a:ln>
                      <a:solidFill>
                        <a:schemeClr val="tx1"/>
                      </a:solidFill>
                    </a:ln>
                    <a:extLst/>
                  </pic:spPr>
                </pic:pic>
              </a:graphicData>
            </a:graphic>
          </wp:inline>
        </w:drawing>
      </w:r>
    </w:p>
    <w:p w14:paraId="4A220A2E" w14:textId="77777777" w:rsidR="00A9458F" w:rsidRPr="00785E75" w:rsidRDefault="00A9458F" w:rsidP="00A9458F">
      <w:pPr>
        <w:rPr>
          <w:rFonts w:ascii="Times New Roman" w:hAnsi="Times New Roman" w:cs="Times New Roman"/>
          <w:sz w:val="24"/>
          <w:szCs w:val="24"/>
        </w:rPr>
      </w:pPr>
    </w:p>
    <w:p w14:paraId="16ED6366" w14:textId="77777777" w:rsidR="00A9458F" w:rsidRPr="00785E75" w:rsidRDefault="00A9458F" w:rsidP="00A9458F">
      <w:pPr>
        <w:ind w:left="720"/>
        <w:rPr>
          <w:rFonts w:ascii="Times New Roman" w:hAnsi="Times New Roman" w:cs="Times New Roman"/>
          <w:sz w:val="24"/>
          <w:szCs w:val="24"/>
        </w:rPr>
      </w:pPr>
      <w:r w:rsidRPr="00785E75">
        <w:rPr>
          <w:rFonts w:ascii="Times New Roman" w:hAnsi="Times New Roman" w:cs="Times New Roman"/>
          <w:sz w:val="24"/>
          <w:szCs w:val="24"/>
        </w:rPr>
        <w:t>The work is by The Pathways Commission and is licensed under a Creative Commons Attribution-NoDeriv 3.0 Unported License</w:t>
      </w:r>
    </w:p>
    <w:p w14:paraId="2C0B0DFB" w14:textId="77777777" w:rsidR="00A9458F" w:rsidRPr="00785E75" w:rsidRDefault="00A9458F" w:rsidP="00A9458F">
      <w:pPr>
        <w:ind w:firstLine="720"/>
        <w:rPr>
          <w:rFonts w:ascii="Times New Roman" w:hAnsi="Times New Roman" w:cs="Times New Roman"/>
          <w:sz w:val="24"/>
          <w:szCs w:val="24"/>
        </w:rPr>
      </w:pPr>
      <w:r w:rsidRPr="00785E75">
        <w:rPr>
          <w:rFonts w:ascii="Times New Roman" w:hAnsi="Times New Roman" w:cs="Times New Roman"/>
          <w:sz w:val="24"/>
          <w:szCs w:val="24"/>
        </w:rPr>
        <w:t>To learn more, go to www.pathwayscommissin.org</w:t>
      </w:r>
    </w:p>
    <w:p w14:paraId="2CFB76CB" w14:textId="77777777" w:rsidR="00BD2980" w:rsidRPr="00E73D2F" w:rsidRDefault="00BD2980" w:rsidP="00A9458F">
      <w:pPr>
        <w:pStyle w:val="ListParagraph"/>
      </w:pPr>
    </w:p>
    <w:sectPr w:rsidR="00BD2980" w:rsidRPr="00E73D2F" w:rsidSect="00FD35C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86F6E91" w16cid:durableId="1DEE1782"/>
  <w16cid:commentId w16cid:paraId="2ED7CAA8" w16cid:durableId="1E0E1013"/>
  <w16cid:commentId w16cid:paraId="3DC674EE" w16cid:durableId="1DEDFFE7"/>
  <w16cid:commentId w16cid:paraId="2651C4BC" w16cid:durableId="1DEE0B8E"/>
  <w16cid:commentId w16cid:paraId="2A7FA381" w16cid:durableId="1DEE1571"/>
  <w16cid:commentId w16cid:paraId="12CDAFDC" w16cid:durableId="1E0E10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DABC7" w14:textId="77777777" w:rsidR="00566308" w:rsidRDefault="00566308" w:rsidP="00BF3EA6">
      <w:pPr>
        <w:spacing w:after="0" w:line="240" w:lineRule="auto"/>
      </w:pPr>
      <w:r>
        <w:separator/>
      </w:r>
    </w:p>
  </w:endnote>
  <w:endnote w:type="continuationSeparator" w:id="0">
    <w:p w14:paraId="67D1CF4D" w14:textId="77777777" w:rsidR="00566308" w:rsidRDefault="00566308" w:rsidP="00BF3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ZapfDingbat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03D48" w14:textId="24CBAE0A" w:rsidR="00A9458F" w:rsidRPr="007A03CA" w:rsidRDefault="00A9458F" w:rsidP="007A03CA">
    <w:pPr>
      <w:pStyle w:val="Footer"/>
      <w:jc w:val="center"/>
      <w:rPr>
        <w:rFonts w:ascii="Times New Roman" w:hAnsi="Times New Roman" w:cs="Times New Roman"/>
        <w:sz w:val="20"/>
      </w:rPr>
    </w:pPr>
    <w:r>
      <w:rPr>
        <w:rFonts w:ascii="Times New Roman" w:hAnsi="Times New Roman" w:cs="Times New Roman"/>
        <w:sz w:val="20"/>
      </w:rPr>
      <w:t>Copyright © 2019</w:t>
    </w:r>
    <w:r w:rsidRPr="007A03CA">
      <w:rPr>
        <w:rFonts w:ascii="Times New Roman" w:hAnsi="Times New Roman" w:cs="Times New Roman"/>
        <w:sz w:val="20"/>
      </w:rPr>
      <w:t xml:space="preserve"> Pearson Education, Inc.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7F276" w14:textId="34E072DA" w:rsidR="00A9458F" w:rsidRPr="007A03CA" w:rsidRDefault="00A9458F" w:rsidP="007A03CA">
    <w:pPr>
      <w:pStyle w:val="Footer"/>
      <w:jc w:val="center"/>
      <w:rPr>
        <w:rFonts w:ascii="Times New Roman" w:hAnsi="Times New Roman" w:cs="Times New Roman"/>
        <w:sz w:val="20"/>
      </w:rPr>
    </w:pPr>
    <w:r w:rsidRPr="0055399A">
      <w:rPr>
        <w:rFonts w:ascii="Times New Roman" w:hAnsi="Times New Roman" w:cs="Times New Roman"/>
        <w:sz w:val="20"/>
      </w:rPr>
      <w:t>Copyright © 2019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B5E08" w14:textId="7F4685A4" w:rsidR="00A9458F" w:rsidRPr="007A03CA" w:rsidRDefault="00A9458F" w:rsidP="007A03CA">
    <w:pPr>
      <w:pStyle w:val="Footer"/>
      <w:jc w:val="center"/>
      <w:rPr>
        <w:rFonts w:ascii="Times New Roman" w:hAnsi="Times New Roman" w:cs="Times New Roman"/>
        <w:sz w:val="20"/>
      </w:rPr>
    </w:pPr>
    <w:r>
      <w:rPr>
        <w:rFonts w:ascii="Times New Roman" w:hAnsi="Times New Roman" w:cs="Times New Roman"/>
        <w:sz w:val="20"/>
      </w:rPr>
      <w:t>Copyright © 2019</w:t>
    </w:r>
    <w:r w:rsidRPr="007A03CA">
      <w:rPr>
        <w:rFonts w:ascii="Times New Roman" w:hAnsi="Times New Roman" w:cs="Times New Roman"/>
        <w:sz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1ECBB" w14:textId="77777777" w:rsidR="00566308" w:rsidRDefault="00566308" w:rsidP="00BF3EA6">
      <w:pPr>
        <w:spacing w:after="0" w:line="240" w:lineRule="auto"/>
      </w:pPr>
      <w:r>
        <w:separator/>
      </w:r>
    </w:p>
  </w:footnote>
  <w:footnote w:type="continuationSeparator" w:id="0">
    <w:p w14:paraId="4B2DA50F" w14:textId="77777777" w:rsidR="00566308" w:rsidRDefault="00566308" w:rsidP="00BF3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C462E" w14:textId="0DED8E94" w:rsidR="00A9458F" w:rsidRPr="007A03CA" w:rsidRDefault="00A9458F" w:rsidP="007A03CA">
    <w:pPr>
      <w:pStyle w:val="Header"/>
      <w:pBdr>
        <w:bottom w:val="single" w:sz="4" w:space="2" w:color="auto"/>
      </w:pBdr>
      <w:tabs>
        <w:tab w:val="clear" w:pos="4680"/>
        <w:tab w:val="left" w:pos="720"/>
      </w:tabs>
      <w:rPr>
        <w:rFonts w:ascii="Times New Roman" w:hAnsi="Times New Roman" w:cs="Times New Roman"/>
      </w:rPr>
    </w:pPr>
    <w:r w:rsidRPr="007A03CA">
      <w:rPr>
        <w:rFonts w:ascii="Arial Black" w:hAnsi="Arial Black" w:cs="Times New Roman"/>
        <w:sz w:val="20"/>
      </w:rPr>
      <w:fldChar w:fldCharType="begin"/>
    </w:r>
    <w:r w:rsidRPr="007A03CA">
      <w:rPr>
        <w:rFonts w:ascii="Arial Black" w:hAnsi="Arial Black" w:cs="Times New Roman"/>
        <w:sz w:val="20"/>
      </w:rPr>
      <w:instrText xml:space="preserve"> PAGE  \* MERGEFORMAT </w:instrText>
    </w:r>
    <w:r w:rsidRPr="007A03CA">
      <w:rPr>
        <w:rFonts w:ascii="Arial Black" w:hAnsi="Arial Black" w:cs="Times New Roman"/>
        <w:sz w:val="20"/>
      </w:rPr>
      <w:fldChar w:fldCharType="separate"/>
    </w:r>
    <w:r w:rsidR="002B1BC8">
      <w:rPr>
        <w:rFonts w:ascii="Arial Black" w:hAnsi="Arial Black" w:cs="Times New Roman"/>
        <w:noProof/>
        <w:sz w:val="20"/>
      </w:rPr>
      <w:t>16</w:t>
    </w:r>
    <w:r w:rsidRPr="007A03CA">
      <w:rPr>
        <w:rFonts w:ascii="Arial Black" w:hAnsi="Arial Black" w:cs="Times New Roman"/>
        <w:sz w:val="20"/>
      </w:rPr>
      <w:fldChar w:fldCharType="end"/>
    </w:r>
    <w:r>
      <w:rPr>
        <w:rFonts w:ascii="Times New Roman" w:hAnsi="Times New Roman" w:cs="Times New Roman"/>
      </w:rPr>
      <w:t xml:space="preserve"> </w:t>
    </w:r>
    <w:r w:rsidRPr="007A03CA">
      <w:rPr>
        <w:rFonts w:ascii="Times New Roman" w:hAnsi="Times New Roman" w:cs="Times New Roman"/>
      </w:rPr>
      <w:sym w:font="Wingdings" w:char="F0A7"/>
    </w:r>
    <w:r>
      <w:rPr>
        <w:rFonts w:ascii="Times New Roman" w:hAnsi="Times New Roman" w:cs="Times New Roman"/>
      </w:rPr>
      <w:t xml:space="preserve"> Instructor’s Manual for</w:t>
    </w:r>
    <w:r w:rsidRPr="009C6DAB">
      <w:rPr>
        <w:rFonts w:ascii="Times New Roman" w:hAnsi="Times New Roman" w:cs="Times New Roman"/>
      </w:rPr>
      <w:t xml:space="preserve"> </w:t>
    </w:r>
    <w:r w:rsidRPr="009C6DAB">
      <w:rPr>
        <w:rFonts w:ascii="Times New Roman" w:hAnsi="Times New Roman" w:cs="Times New Roman"/>
        <w:i/>
      </w:rPr>
      <w:t>Intermediate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8F51A" w14:textId="159A2A2C" w:rsidR="00A9458F" w:rsidRPr="007A03CA" w:rsidRDefault="00A9458F" w:rsidP="007A03CA">
    <w:pPr>
      <w:pStyle w:val="Header"/>
      <w:pBdr>
        <w:bottom w:val="single" w:sz="4" w:space="2" w:color="auto"/>
      </w:pBdr>
      <w:tabs>
        <w:tab w:val="clear" w:pos="4680"/>
      </w:tabs>
      <w:jc w:val="right"/>
      <w:rPr>
        <w:rFonts w:ascii="Times New Roman" w:hAnsi="Times New Roman" w:cs="Times New Roman"/>
      </w:rPr>
    </w:pPr>
    <w:r>
      <w:rPr>
        <w:rFonts w:ascii="Times New Roman" w:hAnsi="Times New Roman" w:cs="Times New Roman"/>
      </w:rPr>
      <w:t xml:space="preserve">Chapter 2 </w:t>
    </w:r>
    <w:r w:rsidRPr="007A03CA">
      <w:rPr>
        <w:rFonts w:ascii="Times New Roman" w:hAnsi="Times New Roman" w:cs="Times New Roman"/>
      </w:rPr>
      <w:t xml:space="preserve">Financial Reporting </w:t>
    </w:r>
    <w:r>
      <w:rPr>
        <w:rFonts w:ascii="Times New Roman" w:hAnsi="Times New Roman" w:cs="Times New Roman"/>
      </w:rPr>
      <w:t xml:space="preserve">Theory </w:t>
    </w:r>
    <w:r>
      <w:rPr>
        <w:rFonts w:ascii="ZapfDingbats" w:hAnsi="ZapfDingbats" w:cs="Times New Roman"/>
      </w:rPr>
      <w:sym w:font="Wingdings" w:char="F0A7"/>
    </w:r>
    <w:r>
      <w:rPr>
        <w:rFonts w:ascii="Times New Roman" w:hAnsi="Times New Roman" w:cs="Times New Roman"/>
      </w:rPr>
      <w:t xml:space="preserve"> </w:t>
    </w:r>
    <w:r w:rsidRPr="007A03CA">
      <w:rPr>
        <w:rFonts w:ascii="Arial Black" w:hAnsi="Arial Black" w:cs="Times New Roman"/>
        <w:sz w:val="20"/>
      </w:rPr>
      <w:fldChar w:fldCharType="begin"/>
    </w:r>
    <w:r w:rsidRPr="007A03CA">
      <w:rPr>
        <w:rFonts w:ascii="Arial Black" w:hAnsi="Arial Black" w:cs="Times New Roman"/>
        <w:sz w:val="20"/>
      </w:rPr>
      <w:instrText xml:space="preserve"> PAGE  \* MERGEFORMAT </w:instrText>
    </w:r>
    <w:r w:rsidRPr="007A03CA">
      <w:rPr>
        <w:rFonts w:ascii="Arial Black" w:hAnsi="Arial Black" w:cs="Times New Roman"/>
        <w:sz w:val="20"/>
      </w:rPr>
      <w:fldChar w:fldCharType="separate"/>
    </w:r>
    <w:r w:rsidR="002B1BC8">
      <w:rPr>
        <w:rFonts w:ascii="Arial Black" w:hAnsi="Arial Black" w:cs="Times New Roman"/>
        <w:noProof/>
        <w:sz w:val="20"/>
      </w:rPr>
      <w:t>15</w:t>
    </w:r>
    <w:r w:rsidRPr="007A03CA">
      <w:rPr>
        <w:rFonts w:ascii="Arial Black" w:hAnsi="Arial Black" w:cs="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B3452"/>
    <w:multiLevelType w:val="hybridMultilevel"/>
    <w:tmpl w:val="92AC3BAA"/>
    <w:lvl w:ilvl="0" w:tplc="3D88D4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80F85"/>
    <w:multiLevelType w:val="hybridMultilevel"/>
    <w:tmpl w:val="2DBE4D70"/>
    <w:lvl w:ilvl="0" w:tplc="8BC4623C">
      <w:start w:val="1"/>
      <w:numFmt w:val="lowerLetter"/>
      <w:pStyle w:val="Outlinea"/>
      <w:lvlText w:val="%1."/>
      <w:lvlJc w:val="left"/>
      <w:pPr>
        <w:ind w:left="180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13D0F05"/>
    <w:multiLevelType w:val="hybridMultilevel"/>
    <w:tmpl w:val="C1AEA2E8"/>
    <w:lvl w:ilvl="0" w:tplc="15DE266A">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FA7A59"/>
    <w:multiLevelType w:val="hybridMultilevel"/>
    <w:tmpl w:val="49247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525C4"/>
    <w:multiLevelType w:val="hybridMultilevel"/>
    <w:tmpl w:val="A796A470"/>
    <w:lvl w:ilvl="0" w:tplc="EADA6F6A">
      <w:start w:val="1"/>
      <w:numFmt w:val="bullet"/>
      <w:pStyle w:val="Text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1">
      <w:start w:val="1"/>
      <w:numFmt w:val="bullet"/>
      <w:lvlText w:val=""/>
      <w:lvlJc w:val="left"/>
      <w:pPr>
        <w:ind w:left="3780" w:hanging="360"/>
      </w:pPr>
      <w:rPr>
        <w:rFonts w:ascii="Symbol" w:hAnsi="Symbol"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5" w15:restartNumberingAfterBreak="0">
    <w:nsid w:val="63BB4537"/>
    <w:multiLevelType w:val="hybridMultilevel"/>
    <w:tmpl w:val="B38EC1CE"/>
    <w:lvl w:ilvl="0" w:tplc="83F26214">
      <w:start w:val="1"/>
      <w:numFmt w:val="bullet"/>
      <w:pStyle w:val="BulletsI"/>
      <w:lvlText w:val=""/>
      <w:lvlJc w:val="left"/>
      <w:pPr>
        <w:ind w:left="1440" w:hanging="360"/>
      </w:pPr>
      <w:rPr>
        <w:rFonts w:ascii="Wingdings" w:hAnsi="Wingdings" w:hint="default"/>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F417342"/>
    <w:multiLevelType w:val="hybridMultilevel"/>
    <w:tmpl w:val="94FE6B82"/>
    <w:lvl w:ilvl="0" w:tplc="EDAA12C4">
      <w:start w:val="1"/>
      <w:numFmt w:val="bullet"/>
      <w:pStyle w:val="BulletA"/>
      <w:lvlText w:val=""/>
      <w:lvlJc w:val="left"/>
      <w:pPr>
        <w:ind w:left="1800" w:hanging="360"/>
      </w:pPr>
      <w:rPr>
        <w:rFonts w:ascii="Wingdings" w:hAnsi="Wingdings" w:hint="default"/>
        <w:color w:val="7F7F7F" w:themeColor="text1" w:themeTint="8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72835E58"/>
    <w:multiLevelType w:val="hybridMultilevel"/>
    <w:tmpl w:val="97D438F4"/>
    <w:lvl w:ilvl="0" w:tplc="9BE8B0F0">
      <w:start w:val="1"/>
      <w:numFmt w:val="upperRoman"/>
      <w:pStyle w:val="OutlineI"/>
      <w:lvlText w:val="%1."/>
      <w:lvlJc w:val="left"/>
      <w:pPr>
        <w:ind w:left="900" w:hanging="720"/>
      </w:pPr>
      <w:rPr>
        <w:rFonts w:hint="default"/>
      </w:rPr>
    </w:lvl>
    <w:lvl w:ilvl="1" w:tplc="CC22B858">
      <w:start w:val="1"/>
      <w:numFmt w:val="upperLetter"/>
      <w:pStyle w:val="OutlineA0"/>
      <w:lvlText w:val="%2."/>
      <w:lvlJc w:val="left"/>
      <w:pPr>
        <w:ind w:left="1080" w:hanging="360"/>
      </w:pPr>
      <w:rPr>
        <w:rFonts w:ascii="Times New Roman" w:hAnsi="Times New Roman" w:cstheme="minorBidi" w:hint="default"/>
        <w:sz w:val="24"/>
        <w:szCs w:val="24"/>
      </w:rPr>
    </w:lvl>
    <w:lvl w:ilvl="2" w:tplc="F9B67AB4">
      <w:start w:val="2"/>
      <w:numFmt w:val="upperLetter"/>
      <w:lvlText w:val="%3."/>
      <w:lvlJc w:val="left"/>
      <w:pPr>
        <w:ind w:left="720" w:hanging="360"/>
      </w:pPr>
      <w:rPr>
        <w:rFonts w:hint="default"/>
        <w:b w:val="0"/>
        <w:bCs w:val="0"/>
        <w:sz w:val="24"/>
        <w:szCs w:val="24"/>
      </w:rPr>
    </w:lvl>
    <w:lvl w:ilvl="3" w:tplc="CA18A49C">
      <w:start w:val="1"/>
      <w:numFmt w:val="decimal"/>
      <w:pStyle w:val="Outline1"/>
      <w:lvlText w:val="%4."/>
      <w:lvlJc w:val="left"/>
      <w:pPr>
        <w:ind w:left="1080" w:hanging="360"/>
      </w:pPr>
      <w:rPr>
        <w:rFonts w:hint="default"/>
        <w:b w:val="0"/>
        <w:bCs w:val="0"/>
        <w:sz w:val="24"/>
        <w:szCs w:val="24"/>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4E841F7"/>
    <w:multiLevelType w:val="hybridMultilevel"/>
    <w:tmpl w:val="DCAAF530"/>
    <w:lvl w:ilvl="0" w:tplc="DE028DB2">
      <w:start w:val="1"/>
      <w:numFmt w:val="bullet"/>
      <w:pStyle w:val="Bulleta0"/>
      <w:lvlText w:val=""/>
      <w:lvlJc w:val="left"/>
      <w:pPr>
        <w:ind w:left="1440" w:hanging="360"/>
      </w:pPr>
      <w:rPr>
        <w:rFonts w:ascii="Symbol" w:hAnsi="Symbol"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0"/>
  </w:num>
  <w:num w:numId="3">
    <w:abstractNumId w:val="6"/>
  </w:num>
  <w:num w:numId="4">
    <w:abstractNumId w:val="8"/>
  </w:num>
  <w:num w:numId="5">
    <w:abstractNumId w:val="4"/>
  </w:num>
  <w:num w:numId="6">
    <w:abstractNumId w:val="5"/>
  </w:num>
  <w:num w:numId="7">
    <w:abstractNumId w:val="1"/>
  </w:num>
  <w:num w:numId="8">
    <w:abstractNumId w:val="7"/>
    <w:lvlOverride w:ilvl="0">
      <w:startOverride w:val="1"/>
    </w:lvlOverride>
  </w:num>
  <w:num w:numId="9">
    <w:abstractNumId w:val="7"/>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7"/>
    <w:lvlOverride w:ilvl="0">
      <w:startOverride w:val="1"/>
    </w:lvlOverride>
  </w:num>
  <w:num w:numId="13">
    <w:abstractNumId w:val="7"/>
    <w:lvlOverride w:ilvl="0">
      <w:startOverride w:val="1"/>
    </w:lvlOverride>
  </w:num>
  <w:num w:numId="14">
    <w:abstractNumId w:val="7"/>
    <w:lvlOverride w:ilvl="0">
      <w:startOverride w:val="1"/>
    </w:lvlOverride>
  </w:num>
  <w:num w:numId="15">
    <w:abstractNumId w:val="7"/>
    <w:lvlOverride w:ilvl="0">
      <w:startOverride w:val="1"/>
    </w:lvlOverride>
  </w:num>
  <w:num w:numId="16">
    <w:abstractNumId w:val="7"/>
    <w:lvlOverride w:ilvl="0">
      <w:startOverride w:val="1"/>
    </w:lvlOverride>
  </w:num>
  <w:num w:numId="17">
    <w:abstractNumId w:val="7"/>
    <w:lvlOverride w:ilvl="0">
      <w:startOverride w:val="1"/>
    </w:lvlOverride>
  </w:num>
  <w:num w:numId="18">
    <w:abstractNumId w:val="2"/>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7"/>
    <w:lvlOverride w:ilvl="0">
      <w:startOverride w:val="1"/>
    </w:lvlOverride>
  </w:num>
  <w:num w:numId="27">
    <w:abstractNumId w:val="1"/>
    <w:lvlOverride w:ilvl="0">
      <w:startOverride w:val="1"/>
    </w:lvlOverride>
  </w:num>
  <w:num w:numId="28">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oNotTrackFormatting/>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jKxMEg2TzQy1TU2SkvWNTFPMdRNMjUw0jUzSDQzM7VIMTJMNFTSUQpOLS7OzM8DaTGvBQB37CQRQwAAAA=="/>
  </w:docVars>
  <w:rsids>
    <w:rsidRoot w:val="00BF5799"/>
    <w:rsid w:val="00006347"/>
    <w:rsid w:val="00014C32"/>
    <w:rsid w:val="00022B14"/>
    <w:rsid w:val="00036C51"/>
    <w:rsid w:val="000407A7"/>
    <w:rsid w:val="00045E84"/>
    <w:rsid w:val="000513B4"/>
    <w:rsid w:val="000550BC"/>
    <w:rsid w:val="00060F83"/>
    <w:rsid w:val="0006129B"/>
    <w:rsid w:val="000657D7"/>
    <w:rsid w:val="000726E9"/>
    <w:rsid w:val="00072A38"/>
    <w:rsid w:val="00073357"/>
    <w:rsid w:val="00074B77"/>
    <w:rsid w:val="0007572F"/>
    <w:rsid w:val="00086FD7"/>
    <w:rsid w:val="000907B3"/>
    <w:rsid w:val="00092C01"/>
    <w:rsid w:val="00094B51"/>
    <w:rsid w:val="00096B1C"/>
    <w:rsid w:val="000A06AE"/>
    <w:rsid w:val="000A7F01"/>
    <w:rsid w:val="000B2E2D"/>
    <w:rsid w:val="000B65BC"/>
    <w:rsid w:val="000C44FB"/>
    <w:rsid w:val="000C6E1A"/>
    <w:rsid w:val="000D55C2"/>
    <w:rsid w:val="000D791C"/>
    <w:rsid w:val="000E1C00"/>
    <w:rsid w:val="000E1CDF"/>
    <w:rsid w:val="000F7606"/>
    <w:rsid w:val="00100309"/>
    <w:rsid w:val="00101888"/>
    <w:rsid w:val="001019EC"/>
    <w:rsid w:val="0010526C"/>
    <w:rsid w:val="00106349"/>
    <w:rsid w:val="00111D76"/>
    <w:rsid w:val="00124626"/>
    <w:rsid w:val="0013130D"/>
    <w:rsid w:val="00133B8A"/>
    <w:rsid w:val="00134A9A"/>
    <w:rsid w:val="00150960"/>
    <w:rsid w:val="00153E90"/>
    <w:rsid w:val="00160244"/>
    <w:rsid w:val="00164307"/>
    <w:rsid w:val="001922BE"/>
    <w:rsid w:val="00195629"/>
    <w:rsid w:val="00195F76"/>
    <w:rsid w:val="001A0FE8"/>
    <w:rsid w:val="001A3F5A"/>
    <w:rsid w:val="001A4F40"/>
    <w:rsid w:val="001C4E40"/>
    <w:rsid w:val="001D53E0"/>
    <w:rsid w:val="001D7253"/>
    <w:rsid w:val="001D76F0"/>
    <w:rsid w:val="001E18DB"/>
    <w:rsid w:val="00206605"/>
    <w:rsid w:val="002119E7"/>
    <w:rsid w:val="00216797"/>
    <w:rsid w:val="00217B33"/>
    <w:rsid w:val="00225155"/>
    <w:rsid w:val="00226CB0"/>
    <w:rsid w:val="00226DE0"/>
    <w:rsid w:val="00230338"/>
    <w:rsid w:val="00231ACE"/>
    <w:rsid w:val="00232995"/>
    <w:rsid w:val="002345B3"/>
    <w:rsid w:val="00240093"/>
    <w:rsid w:val="0024374B"/>
    <w:rsid w:val="00246572"/>
    <w:rsid w:val="00251CCD"/>
    <w:rsid w:val="00257A31"/>
    <w:rsid w:val="00265445"/>
    <w:rsid w:val="0027212E"/>
    <w:rsid w:val="0027356F"/>
    <w:rsid w:val="00275D70"/>
    <w:rsid w:val="0028183C"/>
    <w:rsid w:val="00284FF3"/>
    <w:rsid w:val="00286C4B"/>
    <w:rsid w:val="00290FD7"/>
    <w:rsid w:val="0029508D"/>
    <w:rsid w:val="00297801"/>
    <w:rsid w:val="002B114A"/>
    <w:rsid w:val="002B1BC8"/>
    <w:rsid w:val="002B2E46"/>
    <w:rsid w:val="002C3492"/>
    <w:rsid w:val="002C40F1"/>
    <w:rsid w:val="002C6796"/>
    <w:rsid w:val="002D1E0D"/>
    <w:rsid w:val="002D45A5"/>
    <w:rsid w:val="002E5A2A"/>
    <w:rsid w:val="002E7868"/>
    <w:rsid w:val="002F1033"/>
    <w:rsid w:val="00306025"/>
    <w:rsid w:val="00321F3A"/>
    <w:rsid w:val="003247A9"/>
    <w:rsid w:val="003345D9"/>
    <w:rsid w:val="00343926"/>
    <w:rsid w:val="00347EE5"/>
    <w:rsid w:val="00360168"/>
    <w:rsid w:val="00360434"/>
    <w:rsid w:val="00365A58"/>
    <w:rsid w:val="00376CF3"/>
    <w:rsid w:val="00377EC0"/>
    <w:rsid w:val="00392AE7"/>
    <w:rsid w:val="003A40AA"/>
    <w:rsid w:val="003B1383"/>
    <w:rsid w:val="003B3B5C"/>
    <w:rsid w:val="003C1BC7"/>
    <w:rsid w:val="003C697A"/>
    <w:rsid w:val="003D2E0F"/>
    <w:rsid w:val="003D32B2"/>
    <w:rsid w:val="003D43BB"/>
    <w:rsid w:val="003E3154"/>
    <w:rsid w:val="003F0C2D"/>
    <w:rsid w:val="003F1F2A"/>
    <w:rsid w:val="004011AC"/>
    <w:rsid w:val="0040242E"/>
    <w:rsid w:val="0040522D"/>
    <w:rsid w:val="00406AC4"/>
    <w:rsid w:val="0041727C"/>
    <w:rsid w:val="0042082B"/>
    <w:rsid w:val="004242E0"/>
    <w:rsid w:val="00427C6A"/>
    <w:rsid w:val="004316DF"/>
    <w:rsid w:val="004349BD"/>
    <w:rsid w:val="00434CC1"/>
    <w:rsid w:val="0044191F"/>
    <w:rsid w:val="004458F6"/>
    <w:rsid w:val="00462477"/>
    <w:rsid w:val="00462683"/>
    <w:rsid w:val="00470020"/>
    <w:rsid w:val="00471AF2"/>
    <w:rsid w:val="00483A29"/>
    <w:rsid w:val="00486947"/>
    <w:rsid w:val="004B1D1A"/>
    <w:rsid w:val="004C2C85"/>
    <w:rsid w:val="004D062A"/>
    <w:rsid w:val="004D3118"/>
    <w:rsid w:val="004D751A"/>
    <w:rsid w:val="004F1DFB"/>
    <w:rsid w:val="004F4451"/>
    <w:rsid w:val="004F73DA"/>
    <w:rsid w:val="00514D13"/>
    <w:rsid w:val="005344B2"/>
    <w:rsid w:val="00535AFB"/>
    <w:rsid w:val="00540454"/>
    <w:rsid w:val="005505A9"/>
    <w:rsid w:val="005531D1"/>
    <w:rsid w:val="00555E8A"/>
    <w:rsid w:val="005571AC"/>
    <w:rsid w:val="005574F0"/>
    <w:rsid w:val="0056218B"/>
    <w:rsid w:val="00566308"/>
    <w:rsid w:val="005674E3"/>
    <w:rsid w:val="005700B6"/>
    <w:rsid w:val="00570EAA"/>
    <w:rsid w:val="00572C62"/>
    <w:rsid w:val="00577CB8"/>
    <w:rsid w:val="00581E04"/>
    <w:rsid w:val="00585516"/>
    <w:rsid w:val="00591041"/>
    <w:rsid w:val="00594708"/>
    <w:rsid w:val="005A20AE"/>
    <w:rsid w:val="005A33C1"/>
    <w:rsid w:val="005A71FF"/>
    <w:rsid w:val="005A7F9C"/>
    <w:rsid w:val="005C01EE"/>
    <w:rsid w:val="005C02DA"/>
    <w:rsid w:val="005C0468"/>
    <w:rsid w:val="005D5420"/>
    <w:rsid w:val="005D653A"/>
    <w:rsid w:val="005D7B69"/>
    <w:rsid w:val="005E0071"/>
    <w:rsid w:val="005E16EF"/>
    <w:rsid w:val="005E30E1"/>
    <w:rsid w:val="005E48BF"/>
    <w:rsid w:val="005F4341"/>
    <w:rsid w:val="00604B41"/>
    <w:rsid w:val="00605433"/>
    <w:rsid w:val="00606783"/>
    <w:rsid w:val="00607E98"/>
    <w:rsid w:val="00614015"/>
    <w:rsid w:val="00620F7C"/>
    <w:rsid w:val="00621CFA"/>
    <w:rsid w:val="006224C7"/>
    <w:rsid w:val="0062472B"/>
    <w:rsid w:val="00625E5D"/>
    <w:rsid w:val="00631436"/>
    <w:rsid w:val="00632FCE"/>
    <w:rsid w:val="00633B67"/>
    <w:rsid w:val="006360C7"/>
    <w:rsid w:val="006366B8"/>
    <w:rsid w:val="006400FE"/>
    <w:rsid w:val="00642FDA"/>
    <w:rsid w:val="006431E2"/>
    <w:rsid w:val="006573D2"/>
    <w:rsid w:val="00657A32"/>
    <w:rsid w:val="00657C05"/>
    <w:rsid w:val="006770A5"/>
    <w:rsid w:val="006770BE"/>
    <w:rsid w:val="00683DE1"/>
    <w:rsid w:val="00685D2A"/>
    <w:rsid w:val="00687C46"/>
    <w:rsid w:val="006B71F8"/>
    <w:rsid w:val="006C4EB7"/>
    <w:rsid w:val="006C6B05"/>
    <w:rsid w:val="006D3DF5"/>
    <w:rsid w:val="006E1F18"/>
    <w:rsid w:val="006E3C81"/>
    <w:rsid w:val="006E6D2D"/>
    <w:rsid w:val="006F26D4"/>
    <w:rsid w:val="007067AF"/>
    <w:rsid w:val="00710654"/>
    <w:rsid w:val="00722469"/>
    <w:rsid w:val="0073759C"/>
    <w:rsid w:val="00745D79"/>
    <w:rsid w:val="007546F2"/>
    <w:rsid w:val="007547C0"/>
    <w:rsid w:val="00755049"/>
    <w:rsid w:val="00757085"/>
    <w:rsid w:val="00763E38"/>
    <w:rsid w:val="00774755"/>
    <w:rsid w:val="00784523"/>
    <w:rsid w:val="00785E75"/>
    <w:rsid w:val="00786016"/>
    <w:rsid w:val="00792E1D"/>
    <w:rsid w:val="007A03CA"/>
    <w:rsid w:val="007A1449"/>
    <w:rsid w:val="007A5D23"/>
    <w:rsid w:val="007A7933"/>
    <w:rsid w:val="007B22C0"/>
    <w:rsid w:val="007B2B5B"/>
    <w:rsid w:val="007C49D5"/>
    <w:rsid w:val="007C4D21"/>
    <w:rsid w:val="007C589E"/>
    <w:rsid w:val="007D0DA6"/>
    <w:rsid w:val="007F158C"/>
    <w:rsid w:val="00802CD0"/>
    <w:rsid w:val="008051C2"/>
    <w:rsid w:val="00806AEF"/>
    <w:rsid w:val="00810DCA"/>
    <w:rsid w:val="00812E91"/>
    <w:rsid w:val="0081393A"/>
    <w:rsid w:val="008223F1"/>
    <w:rsid w:val="008251FE"/>
    <w:rsid w:val="008277CD"/>
    <w:rsid w:val="008351A8"/>
    <w:rsid w:val="00836005"/>
    <w:rsid w:val="008518D1"/>
    <w:rsid w:val="00853323"/>
    <w:rsid w:val="008550F1"/>
    <w:rsid w:val="00857B5E"/>
    <w:rsid w:val="00860A81"/>
    <w:rsid w:val="0086154F"/>
    <w:rsid w:val="00873989"/>
    <w:rsid w:val="00886F1D"/>
    <w:rsid w:val="0089207B"/>
    <w:rsid w:val="008B6447"/>
    <w:rsid w:val="008C1892"/>
    <w:rsid w:val="008D3F17"/>
    <w:rsid w:val="008D6E56"/>
    <w:rsid w:val="008D75F9"/>
    <w:rsid w:val="008E592B"/>
    <w:rsid w:val="008F25CF"/>
    <w:rsid w:val="008F3DD5"/>
    <w:rsid w:val="008F54F7"/>
    <w:rsid w:val="0091507B"/>
    <w:rsid w:val="00915CFC"/>
    <w:rsid w:val="00916029"/>
    <w:rsid w:val="00916C18"/>
    <w:rsid w:val="00925E90"/>
    <w:rsid w:val="00931D6A"/>
    <w:rsid w:val="00933AA9"/>
    <w:rsid w:val="009422C8"/>
    <w:rsid w:val="009445E4"/>
    <w:rsid w:val="0094733F"/>
    <w:rsid w:val="00947880"/>
    <w:rsid w:val="009523DD"/>
    <w:rsid w:val="00966B91"/>
    <w:rsid w:val="00972883"/>
    <w:rsid w:val="00977345"/>
    <w:rsid w:val="009807B1"/>
    <w:rsid w:val="009847C7"/>
    <w:rsid w:val="00987326"/>
    <w:rsid w:val="009A23E1"/>
    <w:rsid w:val="009A3F04"/>
    <w:rsid w:val="009A7D31"/>
    <w:rsid w:val="009B1C2D"/>
    <w:rsid w:val="009C2456"/>
    <w:rsid w:val="009C39A9"/>
    <w:rsid w:val="009C6DAB"/>
    <w:rsid w:val="009C7B13"/>
    <w:rsid w:val="009E4D6C"/>
    <w:rsid w:val="009E616A"/>
    <w:rsid w:val="009F0430"/>
    <w:rsid w:val="009F1C97"/>
    <w:rsid w:val="00A0041D"/>
    <w:rsid w:val="00A07401"/>
    <w:rsid w:val="00A11CA7"/>
    <w:rsid w:val="00A22F81"/>
    <w:rsid w:val="00A373AA"/>
    <w:rsid w:val="00A40FA9"/>
    <w:rsid w:val="00A43183"/>
    <w:rsid w:val="00A473DC"/>
    <w:rsid w:val="00A537A5"/>
    <w:rsid w:val="00A5649D"/>
    <w:rsid w:val="00A5683F"/>
    <w:rsid w:val="00A60EAA"/>
    <w:rsid w:val="00A6441C"/>
    <w:rsid w:val="00A70930"/>
    <w:rsid w:val="00A737A6"/>
    <w:rsid w:val="00A74760"/>
    <w:rsid w:val="00A7583B"/>
    <w:rsid w:val="00A75EB5"/>
    <w:rsid w:val="00A81271"/>
    <w:rsid w:val="00A81C70"/>
    <w:rsid w:val="00A83771"/>
    <w:rsid w:val="00A83970"/>
    <w:rsid w:val="00A85BB3"/>
    <w:rsid w:val="00A93678"/>
    <w:rsid w:val="00A9458F"/>
    <w:rsid w:val="00A95CE7"/>
    <w:rsid w:val="00A97163"/>
    <w:rsid w:val="00AA1939"/>
    <w:rsid w:val="00AA2AB3"/>
    <w:rsid w:val="00AA6943"/>
    <w:rsid w:val="00AB6B79"/>
    <w:rsid w:val="00AC51A6"/>
    <w:rsid w:val="00AC6925"/>
    <w:rsid w:val="00AD0CCE"/>
    <w:rsid w:val="00AD32B8"/>
    <w:rsid w:val="00AD5441"/>
    <w:rsid w:val="00AD675A"/>
    <w:rsid w:val="00AF1F93"/>
    <w:rsid w:val="00B02745"/>
    <w:rsid w:val="00B02C35"/>
    <w:rsid w:val="00B02D06"/>
    <w:rsid w:val="00B04E9E"/>
    <w:rsid w:val="00B14BF3"/>
    <w:rsid w:val="00B2611B"/>
    <w:rsid w:val="00B411FF"/>
    <w:rsid w:val="00B462ED"/>
    <w:rsid w:val="00B50342"/>
    <w:rsid w:val="00B52DC4"/>
    <w:rsid w:val="00B576EF"/>
    <w:rsid w:val="00B6436A"/>
    <w:rsid w:val="00B70A2E"/>
    <w:rsid w:val="00B73E94"/>
    <w:rsid w:val="00B762AF"/>
    <w:rsid w:val="00B7643B"/>
    <w:rsid w:val="00B85AFD"/>
    <w:rsid w:val="00B920D2"/>
    <w:rsid w:val="00BA24FE"/>
    <w:rsid w:val="00BB14BC"/>
    <w:rsid w:val="00BB6B07"/>
    <w:rsid w:val="00BC3270"/>
    <w:rsid w:val="00BD1027"/>
    <w:rsid w:val="00BD2980"/>
    <w:rsid w:val="00BD610D"/>
    <w:rsid w:val="00BD624D"/>
    <w:rsid w:val="00BE13AA"/>
    <w:rsid w:val="00BF36CD"/>
    <w:rsid w:val="00BF3EA6"/>
    <w:rsid w:val="00BF4CEA"/>
    <w:rsid w:val="00BF5799"/>
    <w:rsid w:val="00BF6590"/>
    <w:rsid w:val="00C032B0"/>
    <w:rsid w:val="00C10904"/>
    <w:rsid w:val="00C11EBF"/>
    <w:rsid w:val="00C1598C"/>
    <w:rsid w:val="00C173EC"/>
    <w:rsid w:val="00C20EEB"/>
    <w:rsid w:val="00C257ED"/>
    <w:rsid w:val="00C32E62"/>
    <w:rsid w:val="00C560E9"/>
    <w:rsid w:val="00C61462"/>
    <w:rsid w:val="00C61AEB"/>
    <w:rsid w:val="00C644A5"/>
    <w:rsid w:val="00C664B9"/>
    <w:rsid w:val="00C70754"/>
    <w:rsid w:val="00C7099B"/>
    <w:rsid w:val="00C70DC0"/>
    <w:rsid w:val="00C7125C"/>
    <w:rsid w:val="00C75A3F"/>
    <w:rsid w:val="00C800BA"/>
    <w:rsid w:val="00CA159E"/>
    <w:rsid w:val="00CA2286"/>
    <w:rsid w:val="00CA55D6"/>
    <w:rsid w:val="00CB0EC0"/>
    <w:rsid w:val="00CB1706"/>
    <w:rsid w:val="00CB1AF7"/>
    <w:rsid w:val="00CB3734"/>
    <w:rsid w:val="00CC4F25"/>
    <w:rsid w:val="00CC55B8"/>
    <w:rsid w:val="00CC589A"/>
    <w:rsid w:val="00CD4A6A"/>
    <w:rsid w:val="00CD64C8"/>
    <w:rsid w:val="00CE3946"/>
    <w:rsid w:val="00CE6899"/>
    <w:rsid w:val="00CF58B3"/>
    <w:rsid w:val="00D00831"/>
    <w:rsid w:val="00D03D2B"/>
    <w:rsid w:val="00D161F2"/>
    <w:rsid w:val="00D26515"/>
    <w:rsid w:val="00D31B89"/>
    <w:rsid w:val="00D32D9A"/>
    <w:rsid w:val="00D51D5D"/>
    <w:rsid w:val="00D53636"/>
    <w:rsid w:val="00D5731D"/>
    <w:rsid w:val="00D60A3E"/>
    <w:rsid w:val="00D62F39"/>
    <w:rsid w:val="00D70099"/>
    <w:rsid w:val="00D76208"/>
    <w:rsid w:val="00D83BDA"/>
    <w:rsid w:val="00D86636"/>
    <w:rsid w:val="00D931B6"/>
    <w:rsid w:val="00DA09D4"/>
    <w:rsid w:val="00DA221D"/>
    <w:rsid w:val="00DB1F57"/>
    <w:rsid w:val="00DB4E09"/>
    <w:rsid w:val="00DC24EF"/>
    <w:rsid w:val="00DD07E4"/>
    <w:rsid w:val="00DD1FEB"/>
    <w:rsid w:val="00DD6FDE"/>
    <w:rsid w:val="00DD7E73"/>
    <w:rsid w:val="00E07E4A"/>
    <w:rsid w:val="00E179AF"/>
    <w:rsid w:val="00E27A10"/>
    <w:rsid w:val="00E30892"/>
    <w:rsid w:val="00E35478"/>
    <w:rsid w:val="00E40E83"/>
    <w:rsid w:val="00E42A49"/>
    <w:rsid w:val="00E44340"/>
    <w:rsid w:val="00E472BF"/>
    <w:rsid w:val="00E51F54"/>
    <w:rsid w:val="00E63D40"/>
    <w:rsid w:val="00E66F0D"/>
    <w:rsid w:val="00E73D2F"/>
    <w:rsid w:val="00E764AA"/>
    <w:rsid w:val="00E95679"/>
    <w:rsid w:val="00EA063E"/>
    <w:rsid w:val="00EA3F73"/>
    <w:rsid w:val="00EB245A"/>
    <w:rsid w:val="00EC2E38"/>
    <w:rsid w:val="00EC614B"/>
    <w:rsid w:val="00EF0843"/>
    <w:rsid w:val="00F0463C"/>
    <w:rsid w:val="00F11CB3"/>
    <w:rsid w:val="00F20B6E"/>
    <w:rsid w:val="00F257C6"/>
    <w:rsid w:val="00F25D75"/>
    <w:rsid w:val="00F33F5B"/>
    <w:rsid w:val="00F356BC"/>
    <w:rsid w:val="00F37D56"/>
    <w:rsid w:val="00F41909"/>
    <w:rsid w:val="00F52079"/>
    <w:rsid w:val="00F52A39"/>
    <w:rsid w:val="00F53F1D"/>
    <w:rsid w:val="00F55F47"/>
    <w:rsid w:val="00F61278"/>
    <w:rsid w:val="00F620E6"/>
    <w:rsid w:val="00F645CC"/>
    <w:rsid w:val="00F65622"/>
    <w:rsid w:val="00F72587"/>
    <w:rsid w:val="00F765F7"/>
    <w:rsid w:val="00F81958"/>
    <w:rsid w:val="00F95B57"/>
    <w:rsid w:val="00FA0ED1"/>
    <w:rsid w:val="00FA7CEB"/>
    <w:rsid w:val="00FB0351"/>
    <w:rsid w:val="00FB4E54"/>
    <w:rsid w:val="00FB76AD"/>
    <w:rsid w:val="00FC3924"/>
    <w:rsid w:val="00FC6004"/>
    <w:rsid w:val="00FC6523"/>
    <w:rsid w:val="00FD35C6"/>
    <w:rsid w:val="00FD62CA"/>
    <w:rsid w:val="00FE3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AA78F0"/>
  <w15:docId w15:val="{6D846643-46B9-48EE-B0B2-617BF893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5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799"/>
    <w:pPr>
      <w:ind w:left="720"/>
      <w:contextualSpacing/>
    </w:pPr>
  </w:style>
  <w:style w:type="paragraph" w:styleId="Header">
    <w:name w:val="header"/>
    <w:basedOn w:val="Normal"/>
    <w:link w:val="HeaderChar"/>
    <w:uiPriority w:val="99"/>
    <w:unhideWhenUsed/>
    <w:rsid w:val="00BF3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EA6"/>
  </w:style>
  <w:style w:type="paragraph" w:styleId="Footer">
    <w:name w:val="footer"/>
    <w:basedOn w:val="Normal"/>
    <w:link w:val="FooterChar"/>
    <w:uiPriority w:val="99"/>
    <w:unhideWhenUsed/>
    <w:rsid w:val="00BF3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EA6"/>
  </w:style>
  <w:style w:type="table" w:styleId="TableGrid">
    <w:name w:val="Table Grid"/>
    <w:basedOn w:val="TableNormal"/>
    <w:uiPriority w:val="39"/>
    <w:rsid w:val="00636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64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4B9"/>
    <w:rPr>
      <w:rFonts w:ascii="Segoe UI" w:hAnsi="Segoe UI" w:cs="Segoe UI"/>
      <w:sz w:val="18"/>
      <w:szCs w:val="18"/>
    </w:rPr>
  </w:style>
  <w:style w:type="paragraph" w:styleId="Title">
    <w:name w:val="Title"/>
    <w:basedOn w:val="Normal"/>
    <w:next w:val="Normal"/>
    <w:link w:val="TitleChar"/>
    <w:uiPriority w:val="10"/>
    <w:qFormat/>
    <w:rsid w:val="002F10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F1033"/>
    <w:rPr>
      <w:rFonts w:asciiTheme="majorHAnsi" w:eastAsiaTheme="majorEastAsia" w:hAnsiTheme="majorHAnsi" w:cstheme="majorBidi"/>
      <w:color w:val="323E4F" w:themeColor="text2" w:themeShade="BF"/>
      <w:spacing w:val="5"/>
      <w:kern w:val="28"/>
      <w:sz w:val="52"/>
      <w:szCs w:val="52"/>
    </w:rPr>
  </w:style>
  <w:style w:type="character" w:styleId="PageNumber">
    <w:name w:val="page number"/>
    <w:basedOn w:val="DefaultParagraphFont"/>
    <w:uiPriority w:val="99"/>
    <w:semiHidden/>
    <w:unhideWhenUsed/>
    <w:rsid w:val="002F1033"/>
  </w:style>
  <w:style w:type="character" w:styleId="CommentReference">
    <w:name w:val="annotation reference"/>
    <w:basedOn w:val="DefaultParagraphFont"/>
    <w:uiPriority w:val="99"/>
    <w:semiHidden/>
    <w:unhideWhenUsed/>
    <w:rsid w:val="00B14BF3"/>
    <w:rPr>
      <w:sz w:val="18"/>
      <w:szCs w:val="18"/>
    </w:rPr>
  </w:style>
  <w:style w:type="paragraph" w:styleId="CommentText">
    <w:name w:val="annotation text"/>
    <w:basedOn w:val="Normal"/>
    <w:link w:val="CommentTextChar"/>
    <w:uiPriority w:val="99"/>
    <w:semiHidden/>
    <w:unhideWhenUsed/>
    <w:rsid w:val="00B14BF3"/>
    <w:pPr>
      <w:spacing w:line="240" w:lineRule="auto"/>
    </w:pPr>
    <w:rPr>
      <w:sz w:val="24"/>
      <w:szCs w:val="24"/>
    </w:rPr>
  </w:style>
  <w:style w:type="character" w:customStyle="1" w:styleId="CommentTextChar">
    <w:name w:val="Comment Text Char"/>
    <w:basedOn w:val="DefaultParagraphFont"/>
    <w:link w:val="CommentText"/>
    <w:uiPriority w:val="99"/>
    <w:semiHidden/>
    <w:rsid w:val="00B14BF3"/>
    <w:rPr>
      <w:sz w:val="24"/>
      <w:szCs w:val="24"/>
    </w:rPr>
  </w:style>
  <w:style w:type="paragraph" w:styleId="CommentSubject">
    <w:name w:val="annotation subject"/>
    <w:basedOn w:val="CommentText"/>
    <w:next w:val="CommentText"/>
    <w:link w:val="CommentSubjectChar"/>
    <w:uiPriority w:val="99"/>
    <w:semiHidden/>
    <w:unhideWhenUsed/>
    <w:rsid w:val="00B14BF3"/>
    <w:rPr>
      <w:b/>
      <w:bCs/>
      <w:sz w:val="20"/>
      <w:szCs w:val="20"/>
    </w:rPr>
  </w:style>
  <w:style w:type="character" w:customStyle="1" w:styleId="CommentSubjectChar">
    <w:name w:val="Comment Subject Char"/>
    <w:basedOn w:val="CommentTextChar"/>
    <w:link w:val="CommentSubject"/>
    <w:uiPriority w:val="99"/>
    <w:semiHidden/>
    <w:rsid w:val="00B14BF3"/>
    <w:rPr>
      <w:b/>
      <w:bCs/>
      <w:sz w:val="20"/>
      <w:szCs w:val="20"/>
    </w:rPr>
  </w:style>
  <w:style w:type="paragraph" w:customStyle="1" w:styleId="CT">
    <w:name w:val="CT"/>
    <w:basedOn w:val="Title"/>
    <w:qFormat/>
    <w:rsid w:val="00022B14"/>
    <w:pPr>
      <w:pBdr>
        <w:bottom w:val="none" w:sz="0" w:space="0" w:color="auto"/>
      </w:pBdr>
      <w:spacing w:after="0"/>
      <w:ind w:left="720"/>
      <w:contextualSpacing w:val="0"/>
    </w:pPr>
    <w:rPr>
      <w:rFonts w:ascii="Times New Roman" w:hAnsi="Times New Roman" w:cs="Times New Roman"/>
      <w:b/>
      <w:color w:val="7F7F7F" w:themeColor="text1" w:themeTint="80"/>
    </w:rPr>
  </w:style>
  <w:style w:type="paragraph" w:customStyle="1" w:styleId="1head">
    <w:name w:val="1_head"/>
    <w:basedOn w:val="Normal"/>
    <w:qFormat/>
    <w:rsid w:val="00022B14"/>
    <w:pPr>
      <w:spacing w:before="480" w:after="0" w:line="240" w:lineRule="auto"/>
    </w:pPr>
    <w:rPr>
      <w:rFonts w:ascii="Arial" w:hAnsi="Arial" w:cs="Arial"/>
      <w:b/>
      <w:spacing w:val="30"/>
      <w:sz w:val="28"/>
      <w:szCs w:val="24"/>
    </w:rPr>
  </w:style>
  <w:style w:type="paragraph" w:customStyle="1" w:styleId="Text">
    <w:name w:val="Text"/>
    <w:basedOn w:val="Normal"/>
    <w:qFormat/>
    <w:rsid w:val="00022B14"/>
    <w:pPr>
      <w:spacing w:before="240" w:after="0" w:line="240" w:lineRule="auto"/>
      <w:jc w:val="both"/>
    </w:pPr>
    <w:rPr>
      <w:rFonts w:ascii="Times New Roman" w:hAnsi="Times New Roman" w:cs="Times New Roman"/>
      <w:sz w:val="24"/>
      <w:szCs w:val="24"/>
    </w:rPr>
  </w:style>
  <w:style w:type="paragraph" w:customStyle="1" w:styleId="DoubleWOL">
    <w:name w:val="Double WOL"/>
    <w:basedOn w:val="Normal"/>
    <w:link w:val="DoubleWOLChar"/>
    <w:rsid w:val="007A03CA"/>
    <w:pPr>
      <w:tabs>
        <w:tab w:val="right" w:leader="underscore" w:pos="5040"/>
        <w:tab w:val="left" w:pos="5314"/>
        <w:tab w:val="right" w:leader="underscore" w:pos="9360"/>
      </w:tabs>
      <w:spacing w:before="360" w:after="0" w:line="240" w:lineRule="auto"/>
    </w:pPr>
    <w:rPr>
      <w:rFonts w:cstheme="minorHAnsi"/>
      <w:sz w:val="20"/>
      <w:szCs w:val="24"/>
    </w:rPr>
  </w:style>
  <w:style w:type="character" w:customStyle="1" w:styleId="DoubleWOLChar">
    <w:name w:val="Double WOL Char"/>
    <w:basedOn w:val="DefaultParagraphFont"/>
    <w:link w:val="DoubleWOL"/>
    <w:rsid w:val="007A03CA"/>
    <w:rPr>
      <w:rFonts w:cstheme="minorHAnsi"/>
      <w:sz w:val="20"/>
      <w:szCs w:val="24"/>
    </w:rPr>
  </w:style>
  <w:style w:type="paragraph" w:customStyle="1" w:styleId="DoubleWOLOffset">
    <w:name w:val="Double WOL Offset"/>
    <w:basedOn w:val="Normal"/>
    <w:link w:val="DoubleWOLOffsetChar"/>
    <w:rsid w:val="007A03CA"/>
    <w:pPr>
      <w:tabs>
        <w:tab w:val="right" w:leader="underscore" w:pos="6307"/>
        <w:tab w:val="left" w:pos="6480"/>
        <w:tab w:val="right" w:leader="underscore" w:pos="9360"/>
      </w:tabs>
      <w:spacing w:before="360" w:after="0" w:line="240" w:lineRule="auto"/>
    </w:pPr>
    <w:rPr>
      <w:rFonts w:cstheme="minorHAnsi"/>
      <w:sz w:val="20"/>
      <w:szCs w:val="24"/>
    </w:rPr>
  </w:style>
  <w:style w:type="character" w:customStyle="1" w:styleId="DoubleWOLOffsetChar">
    <w:name w:val="Double WOL Offset Char"/>
    <w:basedOn w:val="DefaultParagraphFont"/>
    <w:link w:val="DoubleWOLOffset"/>
    <w:rsid w:val="007A03CA"/>
    <w:rPr>
      <w:rFonts w:cstheme="minorHAnsi"/>
      <w:sz w:val="20"/>
      <w:szCs w:val="24"/>
    </w:rPr>
  </w:style>
  <w:style w:type="paragraph" w:customStyle="1" w:styleId="NumberedList">
    <w:name w:val="NumberedList"/>
    <w:basedOn w:val="ListParagraph"/>
    <w:qFormat/>
    <w:rsid w:val="007A03CA"/>
    <w:pPr>
      <w:numPr>
        <w:numId w:val="2"/>
      </w:numPr>
      <w:spacing w:before="120" w:after="0" w:line="240" w:lineRule="auto"/>
      <w:ind w:left="360"/>
      <w:contextualSpacing w:val="0"/>
    </w:pPr>
    <w:rPr>
      <w:rFonts w:ascii="Times New Roman" w:hAnsi="Times New Roman" w:cs="Times New Roman"/>
      <w:sz w:val="24"/>
      <w:szCs w:val="24"/>
    </w:rPr>
  </w:style>
  <w:style w:type="paragraph" w:customStyle="1" w:styleId="2head">
    <w:name w:val="2_head"/>
    <w:basedOn w:val="Normal"/>
    <w:qFormat/>
    <w:rsid w:val="007A03CA"/>
    <w:pPr>
      <w:spacing w:before="240" w:after="0" w:line="240" w:lineRule="auto"/>
    </w:pPr>
    <w:rPr>
      <w:rFonts w:ascii="Arial Narrow" w:hAnsi="Arial Narrow" w:cs="Times New Roman"/>
      <w:b/>
      <w:sz w:val="24"/>
      <w:szCs w:val="24"/>
    </w:rPr>
  </w:style>
  <w:style w:type="paragraph" w:customStyle="1" w:styleId="OutlineI">
    <w:name w:val="Outline_I"/>
    <w:basedOn w:val="ListParagraph"/>
    <w:qFormat/>
    <w:rsid w:val="00A537A5"/>
    <w:pPr>
      <w:numPr>
        <w:numId w:val="1"/>
      </w:numPr>
      <w:spacing w:before="120" w:after="0" w:line="240" w:lineRule="auto"/>
      <w:contextualSpacing w:val="0"/>
    </w:pPr>
    <w:rPr>
      <w:rFonts w:ascii="Times New Roman" w:hAnsi="Times New Roman" w:cs="Times New Roman"/>
      <w:sz w:val="24"/>
      <w:szCs w:val="24"/>
    </w:rPr>
  </w:style>
  <w:style w:type="paragraph" w:customStyle="1" w:styleId="OutlineIcont">
    <w:name w:val="Outline_I_cont"/>
    <w:basedOn w:val="Normal"/>
    <w:qFormat/>
    <w:rsid w:val="0024374B"/>
    <w:pPr>
      <w:spacing w:before="120" w:after="0" w:line="240" w:lineRule="auto"/>
      <w:ind w:left="360"/>
    </w:pPr>
    <w:rPr>
      <w:rFonts w:ascii="Times New Roman" w:hAnsi="Times New Roman" w:cs="Times New Roman"/>
      <w:sz w:val="24"/>
      <w:szCs w:val="24"/>
    </w:rPr>
  </w:style>
  <w:style w:type="paragraph" w:customStyle="1" w:styleId="OutlineA0">
    <w:name w:val="Outline_A"/>
    <w:basedOn w:val="ListParagraph"/>
    <w:qFormat/>
    <w:rsid w:val="0024374B"/>
    <w:pPr>
      <w:numPr>
        <w:ilvl w:val="1"/>
        <w:numId w:val="1"/>
      </w:numPr>
      <w:spacing w:before="120" w:after="0" w:line="240" w:lineRule="auto"/>
      <w:ind w:left="720"/>
      <w:contextualSpacing w:val="0"/>
    </w:pPr>
    <w:rPr>
      <w:rFonts w:ascii="Times New Roman" w:hAnsi="Times New Roman" w:cs="Times New Roman"/>
      <w:sz w:val="24"/>
      <w:szCs w:val="24"/>
    </w:rPr>
  </w:style>
  <w:style w:type="paragraph" w:customStyle="1" w:styleId="Outline1">
    <w:name w:val="Outline_1"/>
    <w:basedOn w:val="ListParagraph"/>
    <w:qFormat/>
    <w:rsid w:val="0024374B"/>
    <w:pPr>
      <w:numPr>
        <w:ilvl w:val="3"/>
        <w:numId w:val="1"/>
      </w:numPr>
      <w:spacing w:before="120" w:after="0" w:line="240" w:lineRule="auto"/>
      <w:contextualSpacing w:val="0"/>
    </w:pPr>
    <w:rPr>
      <w:rFonts w:ascii="Times New Roman" w:hAnsi="Times New Roman" w:cs="Times New Roman"/>
      <w:sz w:val="24"/>
      <w:szCs w:val="24"/>
    </w:rPr>
  </w:style>
  <w:style w:type="paragraph" w:customStyle="1" w:styleId="Outlinea">
    <w:name w:val="Outline_a"/>
    <w:basedOn w:val="ListParagraph"/>
    <w:qFormat/>
    <w:rsid w:val="00DD6FDE"/>
    <w:pPr>
      <w:numPr>
        <w:numId w:val="7"/>
      </w:numPr>
      <w:spacing w:after="0" w:line="240" w:lineRule="auto"/>
    </w:pPr>
    <w:rPr>
      <w:rFonts w:ascii="Times New Roman" w:hAnsi="Times New Roman" w:cs="Times New Roman"/>
      <w:sz w:val="24"/>
      <w:szCs w:val="24"/>
    </w:rPr>
  </w:style>
  <w:style w:type="paragraph" w:customStyle="1" w:styleId="BulletsI">
    <w:name w:val="Bullets_I"/>
    <w:basedOn w:val="ListParagraph"/>
    <w:qFormat/>
    <w:rsid w:val="0024374B"/>
    <w:pPr>
      <w:numPr>
        <w:numId w:val="6"/>
      </w:numPr>
      <w:spacing w:after="0" w:line="240" w:lineRule="auto"/>
      <w:ind w:left="720"/>
    </w:pPr>
    <w:rPr>
      <w:rFonts w:ascii="Times New Roman" w:hAnsi="Times New Roman" w:cs="Times New Roman"/>
      <w:sz w:val="24"/>
      <w:szCs w:val="24"/>
    </w:rPr>
  </w:style>
  <w:style w:type="paragraph" w:customStyle="1" w:styleId="BulletA">
    <w:name w:val="Bullet_A"/>
    <w:basedOn w:val="ListParagraph"/>
    <w:qFormat/>
    <w:rsid w:val="0024374B"/>
    <w:pPr>
      <w:numPr>
        <w:numId w:val="3"/>
      </w:numPr>
      <w:spacing w:after="0" w:line="240" w:lineRule="auto"/>
      <w:ind w:left="1080"/>
    </w:pPr>
    <w:rPr>
      <w:rFonts w:ascii="Times New Roman" w:hAnsi="Times New Roman" w:cs="Times New Roman"/>
      <w:sz w:val="24"/>
      <w:szCs w:val="24"/>
    </w:rPr>
  </w:style>
  <w:style w:type="paragraph" w:customStyle="1" w:styleId="Bulleta0">
    <w:name w:val="Bullet_a"/>
    <w:basedOn w:val="ListParagraph"/>
    <w:qFormat/>
    <w:rsid w:val="0024374B"/>
    <w:pPr>
      <w:numPr>
        <w:numId w:val="4"/>
      </w:numPr>
      <w:spacing w:after="0" w:line="240" w:lineRule="auto"/>
      <w:ind w:left="1800"/>
    </w:pPr>
    <w:rPr>
      <w:rFonts w:ascii="Times New Roman" w:hAnsi="Times New Roman" w:cs="Times New Roman"/>
      <w:sz w:val="24"/>
      <w:szCs w:val="24"/>
    </w:rPr>
  </w:style>
  <w:style w:type="paragraph" w:customStyle="1" w:styleId="TextBullet">
    <w:name w:val="TextBullet"/>
    <w:basedOn w:val="ListParagraph"/>
    <w:qFormat/>
    <w:rsid w:val="00FD35C6"/>
    <w:pPr>
      <w:numPr>
        <w:numId w:val="5"/>
      </w:numPr>
      <w:spacing w:before="120" w:after="0" w:line="240" w:lineRule="auto"/>
      <w:ind w:left="360"/>
      <w:contextualSpacing w:val="0"/>
    </w:pPr>
    <w:rPr>
      <w:rFonts w:ascii="Times New Roman" w:hAnsi="Times New Roman" w:cs="Times New Roman"/>
      <w:sz w:val="24"/>
      <w:szCs w:val="24"/>
    </w:rPr>
  </w:style>
  <w:style w:type="paragraph" w:customStyle="1" w:styleId="TCH">
    <w:name w:val="TCH"/>
    <w:basedOn w:val="Normal"/>
    <w:qFormat/>
    <w:rsid w:val="00FD35C6"/>
    <w:pPr>
      <w:spacing w:after="0" w:line="240" w:lineRule="auto"/>
      <w:jc w:val="center"/>
    </w:pPr>
    <w:rPr>
      <w:rFonts w:ascii="Times New Roman" w:hAnsi="Times New Roman" w:cs="Times New Roman"/>
      <w:b/>
      <w:szCs w:val="24"/>
    </w:rPr>
  </w:style>
  <w:style w:type="paragraph" w:customStyle="1" w:styleId="TSH">
    <w:name w:val="TSH"/>
    <w:basedOn w:val="Normal"/>
    <w:qFormat/>
    <w:rsid w:val="00FD35C6"/>
    <w:pPr>
      <w:spacing w:before="40" w:after="40" w:line="240" w:lineRule="auto"/>
      <w:jc w:val="center"/>
    </w:pPr>
    <w:rPr>
      <w:rFonts w:ascii="Times New Roman" w:hAnsi="Times New Roman" w:cs="Times New Roman"/>
      <w:b/>
      <w:szCs w:val="24"/>
    </w:rPr>
  </w:style>
  <w:style w:type="paragraph" w:customStyle="1" w:styleId="TBCentered">
    <w:name w:val="TB_Centered"/>
    <w:basedOn w:val="Normal"/>
    <w:qFormat/>
    <w:rsid w:val="00FD35C6"/>
    <w:pPr>
      <w:spacing w:before="40" w:after="40" w:line="240" w:lineRule="auto"/>
      <w:jc w:val="center"/>
    </w:pPr>
    <w:rPr>
      <w:rFonts w:ascii="Times New Roman" w:hAnsi="Times New Roman" w:cs="Times New Roman"/>
      <w:szCs w:val="24"/>
    </w:rPr>
  </w:style>
  <w:style w:type="paragraph" w:customStyle="1" w:styleId="TBLeft">
    <w:name w:val="TB_Left"/>
    <w:basedOn w:val="TBCentered"/>
    <w:qFormat/>
    <w:rsid w:val="00FD35C6"/>
    <w:pPr>
      <w:jc w:val="left"/>
    </w:pPr>
  </w:style>
  <w:style w:type="paragraph" w:customStyle="1" w:styleId="TBN">
    <w:name w:val="TBN"/>
    <w:basedOn w:val="Normal"/>
    <w:qFormat/>
    <w:rsid w:val="00FD35C6"/>
    <w:pPr>
      <w:spacing w:after="0" w:line="240" w:lineRule="auto"/>
    </w:pPr>
    <w:rPr>
      <w:rFonts w:ascii="Times New Roman" w:hAnsi="Times New Roman" w:cs="Times New Roman"/>
      <w:sz w:val="18"/>
      <w:szCs w:val="24"/>
    </w:rPr>
  </w:style>
  <w:style w:type="paragraph" w:styleId="Revision">
    <w:name w:val="Revision"/>
    <w:hidden/>
    <w:uiPriority w:val="99"/>
    <w:semiHidden/>
    <w:rsid w:val="00D62F39"/>
    <w:pPr>
      <w:spacing w:after="0" w:line="240" w:lineRule="auto"/>
    </w:pPr>
  </w:style>
  <w:style w:type="character" w:customStyle="1" w:styleId="apple-converted-space">
    <w:name w:val="apple-converted-space"/>
    <w:basedOn w:val="DefaultParagraphFont"/>
    <w:rsid w:val="00A94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3108</Words>
  <Characters>17718</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Cline</dc:creator>
  <cp:lastModifiedBy>Marks, Elisa</cp:lastModifiedBy>
  <cp:revision>3</cp:revision>
  <cp:lastPrinted>2015-04-13T22:36:00Z</cp:lastPrinted>
  <dcterms:created xsi:type="dcterms:W3CDTF">2018-01-21T01:04:00Z</dcterms:created>
  <dcterms:modified xsi:type="dcterms:W3CDTF">2018-02-21T19:31:00Z</dcterms:modified>
</cp:coreProperties>
</file>