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55ECD2" w14:textId="420F5885" w:rsidR="00FA5C21" w:rsidRPr="00424A7B" w:rsidRDefault="00FA5C21" w:rsidP="00424A7B">
      <w:pPr>
        <w:pStyle w:val="Title"/>
        <w:pBdr>
          <w:bottom w:val="single" w:sz="4" w:space="4" w:color="auto"/>
        </w:pBdr>
      </w:pPr>
      <w:r w:rsidRPr="00424A7B">
        <w:t xml:space="preserve">CHAPTER </w:t>
      </w:r>
      <w:r w:rsidR="00F91326" w:rsidRPr="00424A7B">
        <w:t>2</w:t>
      </w:r>
    </w:p>
    <w:p w14:paraId="7CED95F9" w14:textId="19BBF60B" w:rsidR="00622735" w:rsidRDefault="00FA5C21" w:rsidP="00424A7B">
      <w:pPr>
        <w:pStyle w:val="Title"/>
        <w:pBdr>
          <w:bottom w:val="single" w:sz="4" w:space="4" w:color="auto"/>
        </w:pBdr>
      </w:pPr>
      <w:r w:rsidRPr="00424A7B">
        <w:t xml:space="preserve">Financial Reporting </w:t>
      </w:r>
      <w:r w:rsidR="00F91326" w:rsidRPr="00424A7B">
        <w:t>Theory</w:t>
      </w:r>
      <w:r w:rsidR="00DF6C42">
        <w:t xml:space="preserve"> </w:t>
      </w:r>
      <w:r w:rsidR="00622735">
        <w:br/>
      </w:r>
      <w:bookmarkStart w:id="0" w:name="_GoBack"/>
      <w:bookmarkEnd w:id="0"/>
    </w:p>
    <w:p w14:paraId="2D6B2069" w14:textId="4EBB27AA" w:rsidR="00FA5C21" w:rsidRPr="00424A7B" w:rsidRDefault="00DF6C42" w:rsidP="00424A7B">
      <w:pPr>
        <w:pStyle w:val="Title"/>
        <w:pBdr>
          <w:bottom w:val="single" w:sz="4" w:space="4" w:color="auto"/>
        </w:pBdr>
      </w:pPr>
      <w:r>
        <w:t>Solutions</w:t>
      </w:r>
    </w:p>
    <w:p w14:paraId="530CEF1B" w14:textId="77777777" w:rsidR="005674E9" w:rsidRDefault="0075591E" w:rsidP="00F91326">
      <w:pPr>
        <w:pStyle w:val="Ahead"/>
      </w:pPr>
      <w:r w:rsidRPr="00F91326">
        <w:t>Questions</w:t>
      </w:r>
    </w:p>
    <w:p w14:paraId="323DBBB9" w14:textId="77777777" w:rsidR="00F91326" w:rsidRPr="00F91326" w:rsidRDefault="00424A7B" w:rsidP="00450A41">
      <w:pPr>
        <w:pStyle w:val="TextBasic"/>
        <w:rPr>
          <w:b/>
          <w:i/>
          <w:u w:val="single"/>
        </w:rPr>
      </w:pPr>
      <w:r>
        <w:rPr>
          <w:b/>
        </w:rPr>
        <w:t>Q2-1</w:t>
      </w:r>
      <w:r w:rsidR="00F91326" w:rsidRPr="00F91326">
        <w:t xml:space="preserve"> The conceptual framework sets forth the theory, concepts, and principles that underlie financial </w:t>
      </w:r>
      <w:r w:rsidR="00F91326" w:rsidRPr="00450A41">
        <w:t>reporting</w:t>
      </w:r>
      <w:r w:rsidR="00F91326" w:rsidRPr="00F91326">
        <w:t xml:space="preserve"> standards.</w:t>
      </w:r>
      <w:r>
        <w:t xml:space="preserve"> </w:t>
      </w:r>
      <w:r w:rsidR="00F91326" w:rsidRPr="00F91326">
        <w:t>A conceptual framework is designed to ensure that a set of accounting standards is coherent and uniform.</w:t>
      </w:r>
      <w:r>
        <w:t xml:space="preserve"> </w:t>
      </w:r>
      <w:r w:rsidR="00F91326" w:rsidRPr="00F91326">
        <w:t>Thus, standard setters refer to the framework when developing and revising accounting standards. In this way, the individual standards are consistent and supported by the framework. The conceptual framework includes the objective for financial reporting and the qualitative characteristics associated with high quality financial information. It also provides the elements of the financial reporting system and specifies the recognition and measurement criteria to be used in practice.</w:t>
      </w:r>
    </w:p>
    <w:p w14:paraId="05577BAE" w14:textId="77777777" w:rsidR="00F91326" w:rsidRPr="00F91326" w:rsidRDefault="00424A7B" w:rsidP="00450A41">
      <w:pPr>
        <w:pStyle w:val="TextBasic"/>
      </w:pPr>
      <w:r>
        <w:rPr>
          <w:b/>
        </w:rPr>
        <w:t>Q2-2</w:t>
      </w:r>
      <w:r w:rsidR="00F91326" w:rsidRPr="00F91326">
        <w:t xml:space="preserve"> Currently, the FASB and the IASB are working separately on the Conceptual Framework.</w:t>
      </w:r>
      <w:r>
        <w:t xml:space="preserve"> </w:t>
      </w:r>
      <w:r w:rsidR="00F91326" w:rsidRPr="00F91326">
        <w:t xml:space="preserve">The two Boards were working together to improve and converge the two frameworks until 2010. To date, they have issued one statement that has converged the Objective and Qualitative Characteristics. </w:t>
      </w:r>
    </w:p>
    <w:p w14:paraId="08308307" w14:textId="77777777" w:rsidR="00F91326" w:rsidRPr="00F91326" w:rsidRDefault="00424A7B" w:rsidP="00450A41">
      <w:pPr>
        <w:pStyle w:val="TextBasic"/>
      </w:pPr>
      <w:r>
        <w:rPr>
          <w:b/>
        </w:rPr>
        <w:t>Q2-3</w:t>
      </w:r>
      <w:r w:rsidR="00F91326" w:rsidRPr="00F91326">
        <w:rPr>
          <w:b/>
        </w:rPr>
        <w:t xml:space="preserve"> </w:t>
      </w:r>
      <w:r w:rsidR="00F91326" w:rsidRPr="00F91326">
        <w:t>A well-developed conceptual framework is needed to ensure that a set of accounting standards is coherent and uniform. Thus, standard setters refer to the framework when developing and revising accounting standards. In this way, the individual standards are consistent and supported by the framework.</w:t>
      </w:r>
      <w:r>
        <w:t xml:space="preserve"> </w:t>
      </w:r>
      <w:r w:rsidR="00F91326" w:rsidRPr="00F91326">
        <w:t>The conceptual framework includes the objective of financial reporting and the qualitative characteristics associated with high quality financial information.</w:t>
      </w:r>
      <w:r>
        <w:t xml:space="preserve"> </w:t>
      </w:r>
      <w:r w:rsidR="00F91326" w:rsidRPr="00F91326">
        <w:t xml:space="preserve">It also provides the elements of the financial reporting system and specifies the recognition and measurement criteria to be used in practice. </w:t>
      </w:r>
    </w:p>
    <w:p w14:paraId="481F5B97" w14:textId="77777777" w:rsidR="00F91326" w:rsidRPr="00F91326" w:rsidRDefault="00424A7B" w:rsidP="00450A41">
      <w:pPr>
        <w:pStyle w:val="TextBasic"/>
      </w:pPr>
      <w:r>
        <w:rPr>
          <w:b/>
        </w:rPr>
        <w:t>Q2-4</w:t>
      </w:r>
      <w:r w:rsidR="00F91326" w:rsidRPr="00F91326">
        <w:t xml:space="preserve"> The standard setters identify “existing and potential investors, lenders, and other creditors” as the primary financial statement user groups.</w:t>
      </w:r>
      <w:r>
        <w:t xml:space="preserve"> </w:t>
      </w:r>
      <w:r w:rsidR="00F91326" w:rsidRPr="00F91326">
        <w:t xml:space="preserve">This information is obtained from the FASB’s </w:t>
      </w:r>
      <w:r w:rsidR="00F91326" w:rsidRPr="00F91326">
        <w:rPr>
          <w:i/>
        </w:rPr>
        <w:t>Statement</w:t>
      </w:r>
      <w:r w:rsidR="00F91326" w:rsidRPr="00F91326">
        <w:t xml:space="preserve"> </w:t>
      </w:r>
      <w:r w:rsidR="00F91326" w:rsidRPr="00F91326">
        <w:rPr>
          <w:i/>
        </w:rPr>
        <w:t>of Financial Accounting Concepts No. 8</w:t>
      </w:r>
      <w:r w:rsidR="00F91326" w:rsidRPr="00F91326">
        <w:t>, paragraph OB2, and the IASB’s</w:t>
      </w:r>
      <w:r>
        <w:t xml:space="preserve"> </w:t>
      </w:r>
      <w:r w:rsidR="00F91326" w:rsidRPr="00F91326">
        <w:rPr>
          <w:i/>
        </w:rPr>
        <w:t xml:space="preserve">Conceptual Framework for Financial Reporting, </w:t>
      </w:r>
      <w:r w:rsidR="00F91326" w:rsidRPr="00F91326">
        <w:t>paragraph OB2. Financial reporting is aimed at the needs of external financial statements users.</w:t>
      </w:r>
      <w:r>
        <w:t xml:space="preserve"> </w:t>
      </w:r>
      <w:r w:rsidR="00F91326" w:rsidRPr="00F91326">
        <w:t xml:space="preserve">The company’s managers are internal and have access to detailed accounting information. </w:t>
      </w:r>
    </w:p>
    <w:p w14:paraId="76098499" w14:textId="77777777" w:rsidR="00F91326" w:rsidRPr="00F91326" w:rsidRDefault="00424A7B" w:rsidP="00450A41">
      <w:pPr>
        <w:pStyle w:val="TextBasic"/>
      </w:pPr>
      <w:r>
        <w:rPr>
          <w:b/>
        </w:rPr>
        <w:t>Q2-5</w:t>
      </w:r>
      <w:r w:rsidR="00F91326" w:rsidRPr="00F91326">
        <w:t xml:space="preserve"> Relevance is a fundamental qualitative characteristic of useful financial information. Relevant information is capable of making a difference in decision making because of its </w:t>
      </w:r>
      <w:r w:rsidR="00F91326" w:rsidRPr="00F91326">
        <w:rPr>
          <w:i/>
        </w:rPr>
        <w:t>predictive</w:t>
      </w:r>
      <w:r w:rsidR="00F91326" w:rsidRPr="00F91326">
        <w:t xml:space="preserve"> value,</w:t>
      </w:r>
      <w:r w:rsidR="00F91326" w:rsidRPr="00F91326">
        <w:rPr>
          <w:i/>
        </w:rPr>
        <w:t xml:space="preserve"> confirmatory</w:t>
      </w:r>
      <w:r w:rsidR="00F91326" w:rsidRPr="00F91326">
        <w:t xml:space="preserve"> value and materiality.</w:t>
      </w:r>
      <w:r w:rsidR="00F91326" w:rsidRPr="00F91326">
        <w:rPr>
          <w:b/>
        </w:rPr>
        <w:t xml:space="preserve"> </w:t>
      </w:r>
    </w:p>
    <w:p w14:paraId="50F2EC1B" w14:textId="77777777" w:rsidR="00321C08" w:rsidRPr="00502F2E" w:rsidRDefault="00F91326" w:rsidP="00321C08">
      <w:pPr>
        <w:pStyle w:val="H3HEADFIRST"/>
        <w:rPr>
          <w:rFonts w:ascii="Avenir LT Std 45 Book" w:hAnsi="Avenir LT Std 45 Book"/>
          <w:sz w:val="24"/>
          <w:szCs w:val="24"/>
        </w:rPr>
      </w:pPr>
      <w:r w:rsidRPr="00502F2E">
        <w:rPr>
          <w:rFonts w:ascii="Avenir LT Std 45 Book" w:hAnsi="Avenir LT Std 45 Book"/>
          <w:b/>
          <w:sz w:val="24"/>
          <w:szCs w:val="24"/>
        </w:rPr>
        <w:t>Q2-6.</w:t>
      </w:r>
      <w:r w:rsidRPr="00502F2E">
        <w:rPr>
          <w:rFonts w:ascii="Avenir LT Std 45 Book" w:hAnsi="Avenir LT Std 45 Book"/>
          <w:sz w:val="24"/>
          <w:szCs w:val="24"/>
        </w:rPr>
        <w:t xml:space="preserve"> </w:t>
      </w:r>
      <w:r w:rsidR="00321C08" w:rsidRPr="00502F2E">
        <w:rPr>
          <w:rFonts w:ascii="Avenir LT Std 45 Book" w:hAnsi="Avenir LT Std 45 Book"/>
          <w:sz w:val="24"/>
          <w:szCs w:val="24"/>
        </w:rPr>
        <w:t xml:space="preserve">Financial information is </w:t>
      </w:r>
      <w:r w:rsidR="00321C08" w:rsidRPr="00502F2E">
        <w:rPr>
          <w:rStyle w:val="KT"/>
          <w:rFonts w:ascii="Avenir LT Std 45 Book" w:hAnsi="Avenir LT Std 45 Book"/>
          <w:sz w:val="24"/>
          <w:szCs w:val="24"/>
        </w:rPr>
        <w:t>relevant</w:t>
      </w:r>
      <w:r w:rsidR="00321C08" w:rsidRPr="00502F2E">
        <w:rPr>
          <w:rFonts w:ascii="Avenir LT Std 45 Book" w:hAnsi="Avenir LT Std 45 Book"/>
          <w:sz w:val="24"/>
          <w:szCs w:val="24"/>
        </w:rPr>
        <w:t xml:space="preserve"> if it is capable of making a difference in decision making by exhibiting the following attributes:</w:t>
      </w:r>
    </w:p>
    <w:p w14:paraId="1258AC84" w14:textId="77777777" w:rsidR="00321C08" w:rsidRPr="00502F2E" w:rsidRDefault="00321C08" w:rsidP="00321C08">
      <w:pPr>
        <w:pStyle w:val="BLFIRST"/>
        <w:rPr>
          <w:rFonts w:ascii="Avenir LT Std 45 Book" w:hAnsi="Avenir LT Std 45 Book"/>
          <w:sz w:val="24"/>
          <w:szCs w:val="24"/>
        </w:rPr>
      </w:pPr>
      <w:r w:rsidRPr="00502F2E">
        <w:rPr>
          <w:rFonts w:ascii="Avenir LT Std 45 Book" w:hAnsi="Avenir LT Std 45 Book"/>
          <w:sz w:val="24"/>
          <w:szCs w:val="24"/>
        </w:rPr>
        <w:lastRenderedPageBreak/>
        <w:t>•</w:t>
      </w:r>
      <w:r w:rsidRPr="00502F2E">
        <w:rPr>
          <w:rFonts w:ascii="Avenir LT Std 45 Book" w:hAnsi="Avenir LT Std 45 Book"/>
          <w:sz w:val="24"/>
          <w:szCs w:val="24"/>
        </w:rPr>
        <w:tab/>
        <w:t>Predictive value</w:t>
      </w:r>
    </w:p>
    <w:p w14:paraId="6EDEFC39" w14:textId="77777777" w:rsidR="00321C08" w:rsidRPr="00502F2E" w:rsidRDefault="00321C08" w:rsidP="00321C08">
      <w:pPr>
        <w:pStyle w:val="BLMID"/>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Confirmatory value</w:t>
      </w:r>
    </w:p>
    <w:p w14:paraId="7B7F005A" w14:textId="77777777" w:rsidR="00321C08" w:rsidRPr="00502F2E" w:rsidRDefault="00321C08" w:rsidP="00321C08">
      <w:pPr>
        <w:pStyle w:val="BLLAST"/>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Materiality</w:t>
      </w:r>
    </w:p>
    <w:p w14:paraId="6630CC21" w14:textId="184A3C3A" w:rsidR="00F91326" w:rsidRPr="00F91326" w:rsidRDefault="00AE583E" w:rsidP="00450A41">
      <w:pPr>
        <w:pStyle w:val="TextBasic"/>
      </w:pPr>
      <w:r w:rsidRPr="00502F2E">
        <w:rPr>
          <w:b/>
        </w:rPr>
        <w:t>Q2-7</w:t>
      </w:r>
      <w:r>
        <w:t xml:space="preserve"> </w:t>
      </w:r>
      <w:r w:rsidR="00F91326" w:rsidRPr="00F91326">
        <w:t xml:space="preserve">The concept of </w:t>
      </w:r>
      <w:r w:rsidR="00F91326" w:rsidRPr="00F91326">
        <w:rPr>
          <w:i/>
        </w:rPr>
        <w:t>materiality</w:t>
      </w:r>
      <w:r w:rsidR="00F91326" w:rsidRPr="00F91326">
        <w:t xml:space="preserve"> determines the relevancy of information. Information is material if reporting it inaccurately or omitting it would affect the decisions made by the users of the financial statements.</w:t>
      </w:r>
      <w:r w:rsidR="00424A7B">
        <w:t xml:space="preserve"> </w:t>
      </w:r>
      <w:r w:rsidR="00F91326" w:rsidRPr="00F91326">
        <w:t>Thus, materiality is an aspect of relevance.</w:t>
      </w:r>
      <w:r w:rsidR="00424A7B">
        <w:t xml:space="preserve"> </w:t>
      </w:r>
    </w:p>
    <w:p w14:paraId="3CEFFDA2" w14:textId="24E4EAFF" w:rsidR="00AE583E" w:rsidRPr="00931F99" w:rsidRDefault="00424A7B" w:rsidP="00450A41">
      <w:pPr>
        <w:pStyle w:val="TextBasic"/>
      </w:pPr>
      <w:r w:rsidRPr="00931F99">
        <w:rPr>
          <w:b/>
        </w:rPr>
        <w:t>Q2-</w:t>
      </w:r>
      <w:r w:rsidR="00AE583E" w:rsidRPr="00931F99">
        <w:rPr>
          <w:b/>
        </w:rPr>
        <w:t>8</w:t>
      </w:r>
      <w:r w:rsidR="00F91326" w:rsidRPr="00931F99">
        <w:t xml:space="preserve"> </w:t>
      </w:r>
      <w:r w:rsidR="00AE583E" w:rsidRPr="00502F2E">
        <w:t xml:space="preserve">Information has </w:t>
      </w:r>
      <w:r w:rsidR="00AE583E" w:rsidRPr="00502F2E">
        <w:rPr>
          <w:rStyle w:val="KT"/>
          <w:rFonts w:ascii="Avenir LT Std 45 Book" w:hAnsi="Avenir LT Std 45 Book"/>
        </w:rPr>
        <w:t>predictive value</w:t>
      </w:r>
      <w:r w:rsidR="00AE583E" w:rsidRPr="00502F2E">
        <w:t xml:space="preserve"> if decision makers can use it as an input into processes that help forecast future outcomes. For example, companies report sales revenue each year. Financial statement users may use the prior year’s revenues to predict future revenues.</w:t>
      </w:r>
    </w:p>
    <w:p w14:paraId="7913F337" w14:textId="7D17F4CD" w:rsidR="00F91326" w:rsidRPr="00F91326" w:rsidRDefault="00AE583E" w:rsidP="00450A41">
      <w:pPr>
        <w:pStyle w:val="TextBasic"/>
      </w:pPr>
      <w:r w:rsidRPr="00502F2E">
        <w:rPr>
          <w:b/>
        </w:rPr>
        <w:t>Q2-9</w:t>
      </w:r>
      <w:r>
        <w:t xml:space="preserve"> </w:t>
      </w:r>
      <w:r w:rsidR="00F91326" w:rsidRPr="00F91326">
        <w:t>Information has predictive value if it can be used as an input into processes that help predict future outcomes.</w:t>
      </w:r>
      <w:r w:rsidR="00424A7B">
        <w:t xml:space="preserve"> </w:t>
      </w:r>
      <w:r w:rsidR="00F91326" w:rsidRPr="00F91326">
        <w:t>For example, users of the financial statements may use the trend in sales growth reported in current and prior years’ financial statements to predict future revenue. Information has confirmatory value if it provides feedback about prior evaluations. For example, financial statement users will often compare reported net income to prior earnings forecasts.</w:t>
      </w:r>
    </w:p>
    <w:p w14:paraId="0D666E09" w14:textId="6979541C" w:rsidR="00F91326" w:rsidRPr="00F91326" w:rsidRDefault="00424A7B" w:rsidP="00450A41">
      <w:pPr>
        <w:pStyle w:val="TextBasic"/>
      </w:pPr>
      <w:r>
        <w:rPr>
          <w:b/>
        </w:rPr>
        <w:t>Q2-</w:t>
      </w:r>
      <w:r w:rsidR="00AE583E">
        <w:rPr>
          <w:b/>
        </w:rPr>
        <w:t>10</w:t>
      </w:r>
      <w:r w:rsidR="00F91326" w:rsidRPr="00F91326">
        <w:t xml:space="preserve"> Information is understandable when it is classified, characterized, and presented clearly.</w:t>
      </w:r>
      <w:r>
        <w:t xml:space="preserve"> </w:t>
      </w:r>
      <w:r w:rsidR="00F91326" w:rsidRPr="00F91326">
        <w:t xml:space="preserve">This does not mean that an uninformed reader of financial statements should be able to understand all information presented. Some transactions are inherently complex and may not be fully understood by uninformed readers of the financial statements. Therefore, understandability implies that financial information is consumed by reasonably informed users. </w:t>
      </w:r>
    </w:p>
    <w:p w14:paraId="64C5DDC3" w14:textId="37797C7D" w:rsidR="00AE583E" w:rsidRPr="00502F2E" w:rsidRDefault="00424A7B" w:rsidP="00AE583E">
      <w:pPr>
        <w:pStyle w:val="H3HEADFIRST"/>
        <w:rPr>
          <w:rFonts w:ascii="Avenir LT Std 45 Book" w:hAnsi="Avenir LT Std 45 Book"/>
          <w:sz w:val="24"/>
          <w:szCs w:val="24"/>
        </w:rPr>
      </w:pPr>
      <w:r w:rsidRPr="00502F2E">
        <w:rPr>
          <w:rFonts w:ascii="Avenir LT Std 45 Book" w:hAnsi="Avenir LT Std 45 Book"/>
          <w:b/>
          <w:sz w:val="24"/>
          <w:szCs w:val="24"/>
        </w:rPr>
        <w:t>Q2-</w:t>
      </w:r>
      <w:r w:rsidR="00AE583E" w:rsidRPr="00502F2E">
        <w:rPr>
          <w:rFonts w:ascii="Avenir LT Std 45 Book" w:hAnsi="Avenir LT Std 45 Book"/>
          <w:b/>
          <w:sz w:val="24"/>
          <w:szCs w:val="24"/>
        </w:rPr>
        <w:t>11</w:t>
      </w:r>
      <w:r w:rsidR="00F91326" w:rsidRPr="00502F2E">
        <w:rPr>
          <w:rFonts w:ascii="Avenir LT Std 45 Book" w:hAnsi="Avenir LT Std 45 Book"/>
          <w:sz w:val="24"/>
          <w:szCs w:val="24"/>
        </w:rPr>
        <w:t xml:space="preserve"> </w:t>
      </w:r>
      <w:r w:rsidR="00AE583E" w:rsidRPr="00502F2E">
        <w:rPr>
          <w:rFonts w:ascii="Avenir LT Std 45 Book" w:hAnsi="Avenir LT Std 45 Book"/>
          <w:sz w:val="24"/>
          <w:szCs w:val="24"/>
        </w:rPr>
        <w:t>Period-of-time elements represent the results of events and circumstances that occur between two balance sheet dates</w:t>
      </w:r>
      <w:r w:rsidR="00652CBF">
        <w:rPr>
          <w:rFonts w:ascii="Avenir LT Std 45 Book" w:hAnsi="Avenir LT Std 45 Book"/>
          <w:sz w:val="24"/>
          <w:szCs w:val="24"/>
        </w:rPr>
        <w:t>, or a period of time</w:t>
      </w:r>
      <w:r w:rsidR="00AE583E" w:rsidRPr="00502F2E">
        <w:rPr>
          <w:rFonts w:ascii="Avenir LT Std 45 Book" w:hAnsi="Avenir LT Std 45 Book"/>
          <w:sz w:val="24"/>
          <w:szCs w:val="24"/>
        </w:rPr>
        <w:t xml:space="preserve">. In the conceptual framework, U.S. GAAP identifies seven period-of-time elements: </w:t>
      </w:r>
      <w:r w:rsidR="00E359AE">
        <w:rPr>
          <w:rStyle w:val="NLNUM"/>
          <w:rFonts w:ascii="Avenir LT Std 45 Book" w:hAnsi="Avenir LT Std 45 Book"/>
          <w:sz w:val="24"/>
          <w:szCs w:val="24"/>
        </w:rPr>
        <w:t xml:space="preserve">1. Investments by owners; 2. Distributions to owners; 3. Revenues; 4. Gains; 5. Expenses; 6. Losses; </w:t>
      </w:r>
      <w:r w:rsidR="00652CBF">
        <w:rPr>
          <w:rStyle w:val="NLNUM"/>
          <w:rFonts w:ascii="Avenir LT Std 45 Book" w:hAnsi="Avenir LT Std 45 Book"/>
          <w:sz w:val="24"/>
          <w:szCs w:val="24"/>
        </w:rPr>
        <w:t xml:space="preserve">and </w:t>
      </w:r>
      <w:r w:rsidR="00E359AE">
        <w:rPr>
          <w:rStyle w:val="NLNUM"/>
          <w:rFonts w:ascii="Avenir LT Std 45 Book" w:hAnsi="Avenir LT Std 45 Book"/>
          <w:sz w:val="24"/>
          <w:szCs w:val="24"/>
        </w:rPr>
        <w:t>7. Comprehensive income</w:t>
      </w:r>
      <w:r w:rsidR="00AE583E" w:rsidRPr="00502F2E">
        <w:rPr>
          <w:rFonts w:ascii="Avenir LT Std 45 Book" w:hAnsi="Avenir LT Std 45 Book"/>
          <w:sz w:val="24"/>
          <w:szCs w:val="24"/>
        </w:rPr>
        <w:t xml:space="preserve">. </w:t>
      </w:r>
      <w:r w:rsidR="00E359AE">
        <w:rPr>
          <w:rFonts w:ascii="Avenir LT Std 45 Book" w:hAnsi="Avenir LT Std 45 Book"/>
          <w:sz w:val="24"/>
          <w:szCs w:val="24"/>
        </w:rPr>
        <w:t>Point-of-time elements represent resources, claims to resources, and interests in resources at a point in time, such as a balance sheet date. U.S. GAAP identifies three point-in-time elements that are assets, liabilities, and equity.</w:t>
      </w:r>
    </w:p>
    <w:p w14:paraId="2D97F5DC" w14:textId="39616B11" w:rsidR="00F91326" w:rsidRPr="00F91326" w:rsidRDefault="00AE583E" w:rsidP="00450A41">
      <w:pPr>
        <w:pStyle w:val="TextBasic"/>
      </w:pPr>
      <w:r w:rsidRPr="00502F2E">
        <w:rPr>
          <w:b/>
        </w:rPr>
        <w:t>Q2-12</w:t>
      </w:r>
      <w:r>
        <w:t xml:space="preserve"> </w:t>
      </w:r>
      <w:r w:rsidR="00F91326" w:rsidRPr="00F91326">
        <w:t xml:space="preserve">The elements of financial reporting are the building blocks of the financial statements. U.S. GAAP identifies two main groups of elements. We refer to these groups as </w:t>
      </w:r>
      <w:r w:rsidR="00F91326" w:rsidRPr="00F91326">
        <w:rPr>
          <w:i/>
        </w:rPr>
        <w:t>point-in-time elements</w:t>
      </w:r>
      <w:r w:rsidR="00F91326" w:rsidRPr="00F91326">
        <w:t xml:space="preserve"> and </w:t>
      </w:r>
      <w:r w:rsidR="00F91326" w:rsidRPr="00F91326">
        <w:rPr>
          <w:i/>
        </w:rPr>
        <w:t>period-of-time elements</w:t>
      </w:r>
      <w:r w:rsidR="00F91326" w:rsidRPr="00F91326">
        <w:t>. Point–in-time elements represent resources (assets), claims to resources (liabilities), or interests in resources (equity) as of a point in time and appear on the balance sheet. Period-of-time elements describe events and circumstances that affect an entity during a period of time and appear on the income statement, statement of comprehensive income, or statement of shareholders’ equity. The period-of-time elements include investments by owners, distributions to owners, revenues, gains, expenses, losses and comprehensive income.</w:t>
      </w:r>
    </w:p>
    <w:p w14:paraId="39BFC14E" w14:textId="7A1135AB" w:rsidR="00F91326" w:rsidRPr="00F91326" w:rsidRDefault="00424A7B" w:rsidP="00450A41">
      <w:pPr>
        <w:pStyle w:val="TextBasic"/>
      </w:pPr>
      <w:r>
        <w:rPr>
          <w:b/>
        </w:rPr>
        <w:t>Q2-1</w:t>
      </w:r>
      <w:r w:rsidR="00AE583E">
        <w:rPr>
          <w:b/>
        </w:rPr>
        <w:t xml:space="preserve">3 </w:t>
      </w:r>
      <w:r w:rsidR="00F91326" w:rsidRPr="00F91326">
        <w:t>Under U.S. GAAP, an asset is defined as a probable future economic benefit obtained or controlled by a particular entity as a result of past transactions or events.</w:t>
      </w:r>
      <w:r>
        <w:t xml:space="preserve"> </w:t>
      </w:r>
      <w:r w:rsidR="00F91326" w:rsidRPr="00F91326">
        <w:t xml:space="preserve">Essential characteristics of an asset are also delineated. Under U.S. GAAP, an asset “embodies a probable future benefit that involves a capacity, singly or in combination with other assets, to contribute directly or indirectly to future net cash inflows, a particular entity can obtain the benefit and control others' access to it, and the transaction or other event giving rise to the entity's right to or control of the benefit has already occurred.” The future economic benefit from an asset is the cash flows generated from its use. Finally, the asset arises out of an event or transaction that has already occurred. </w:t>
      </w:r>
    </w:p>
    <w:p w14:paraId="0C6792A6" w14:textId="487136E6" w:rsidR="00F91326" w:rsidRPr="00F91326" w:rsidRDefault="00AE583E" w:rsidP="00450A41">
      <w:pPr>
        <w:pStyle w:val="TextBasic"/>
      </w:pPr>
      <w:r>
        <w:rPr>
          <w:b/>
        </w:rPr>
        <w:t>Q2-14</w:t>
      </w:r>
      <w:r w:rsidR="00F91326" w:rsidRPr="00F91326">
        <w:rPr>
          <w:b/>
        </w:rPr>
        <w:t xml:space="preserve"> </w:t>
      </w:r>
      <w:r w:rsidR="00F91326" w:rsidRPr="00F91326">
        <w:t>Recognition is the process of reporting an economic event in the financial statements. If an item is recognized, it is included as a line item on the financial statements (i.e., not just in the notes to the statements). An item is not recognized in the financial statements if it is included in the notes to the statements alone.</w:t>
      </w:r>
      <w:r w:rsidR="00424A7B">
        <w:t xml:space="preserve"> </w:t>
      </w:r>
    </w:p>
    <w:p w14:paraId="7C719E74" w14:textId="7C742129" w:rsidR="00F91326" w:rsidRPr="00F91326" w:rsidRDefault="00424A7B" w:rsidP="00450A41">
      <w:pPr>
        <w:pStyle w:val="TextBasic"/>
      </w:pPr>
      <w:r>
        <w:rPr>
          <w:b/>
        </w:rPr>
        <w:t>Q2-1</w:t>
      </w:r>
      <w:r w:rsidR="00AE583E">
        <w:rPr>
          <w:b/>
        </w:rPr>
        <w:t>5</w:t>
      </w:r>
      <w:r w:rsidR="00F91326" w:rsidRPr="00F91326">
        <w:t xml:space="preserve"> The revenue recognition principle is used to guide the timing of revenue recognition.</w:t>
      </w:r>
      <w:r>
        <w:t xml:space="preserve"> </w:t>
      </w:r>
      <w:r w:rsidR="00F91326" w:rsidRPr="00F91326">
        <w:t>It states that revenue is recognized when it is realized or realizable and earned. An item is considered realized or</w:t>
      </w:r>
      <w:r w:rsidR="00F91326" w:rsidRPr="00F91326">
        <w:rPr>
          <w:b/>
        </w:rPr>
        <w:t xml:space="preserve"> </w:t>
      </w:r>
      <w:r w:rsidR="00F91326" w:rsidRPr="00F91326">
        <w:t>realizable when a good or service has been exchanged for cash or claims to cash.</w:t>
      </w:r>
      <w:r>
        <w:t xml:space="preserve"> </w:t>
      </w:r>
      <w:r w:rsidR="00F91326" w:rsidRPr="00F91326">
        <w:t>Revenues are considered earned “when the entity has substantially accomplished what it must do to be entitled to the benefits represented by the revenues.”</w:t>
      </w:r>
      <w:r>
        <w:t xml:space="preserve"> </w:t>
      </w:r>
      <w:r w:rsidR="00F91326" w:rsidRPr="00F91326">
        <w:t>The FASB has developed a new revenue standard.</w:t>
      </w:r>
      <w:r>
        <w:t xml:space="preserve"> </w:t>
      </w:r>
      <w:r w:rsidR="00F91326" w:rsidRPr="00F91326">
        <w:t>The new revenue standard indicates that the overarching principle of revenue recognition is the notion of the transfer of control of the goods or services.</w:t>
      </w:r>
    </w:p>
    <w:p w14:paraId="2DD8B22A" w14:textId="78C86A5E" w:rsidR="00F91326" w:rsidRPr="00F91326" w:rsidRDefault="00424A7B" w:rsidP="00450A41">
      <w:pPr>
        <w:pStyle w:val="TextBasic"/>
      </w:pPr>
      <w:r>
        <w:rPr>
          <w:b/>
        </w:rPr>
        <w:t>Q2-1</w:t>
      </w:r>
      <w:r w:rsidR="00AE583E">
        <w:rPr>
          <w:b/>
        </w:rPr>
        <w:t>6</w:t>
      </w:r>
      <w:r w:rsidR="00F91326" w:rsidRPr="00F91326">
        <w:t xml:space="preserve"> Expenses are recorded when: (1) they are matched with revenue, (2) in the period incurred, and (3) they are systematically allocated over the period of use.</w:t>
      </w:r>
      <w:r w:rsidR="00E359AE">
        <w:t xml:space="preserve"> Firms recognize expenses when: (1) the entity’s economic benefits are consumed in the process of producing or delivering goods or rendering services and (2) an asset has experienced a reduced future benefit, or when a liability has been incurred or increased, without an associated economic benefit.</w:t>
      </w:r>
    </w:p>
    <w:p w14:paraId="6D37CFFE" w14:textId="1EEAEB5F" w:rsidR="00F91326" w:rsidRPr="00F91326" w:rsidRDefault="00424A7B" w:rsidP="00450A41">
      <w:pPr>
        <w:pStyle w:val="TextBasic"/>
      </w:pPr>
      <w:r>
        <w:rPr>
          <w:b/>
        </w:rPr>
        <w:t>Q2-1</w:t>
      </w:r>
      <w:r w:rsidR="00AE583E">
        <w:rPr>
          <w:b/>
        </w:rPr>
        <w:t>7</w:t>
      </w:r>
      <w:r w:rsidR="00F91326" w:rsidRPr="00F91326">
        <w:t xml:space="preserve"> Under IFRS, expenses are recognized in the income statement when two criteria are met: (1) a decrease in future economic benefits related to a decrease in an asset or an increase of a liability has occurred and (2) the expense can be measured reliably. </w:t>
      </w:r>
    </w:p>
    <w:p w14:paraId="11334235" w14:textId="0D0A4600" w:rsidR="00F91326" w:rsidRPr="00F91326" w:rsidRDefault="00424A7B" w:rsidP="00450A41">
      <w:pPr>
        <w:pStyle w:val="TextBasic"/>
      </w:pPr>
      <w:r>
        <w:rPr>
          <w:b/>
        </w:rPr>
        <w:t>Q2-1</w:t>
      </w:r>
      <w:r w:rsidR="00AE583E">
        <w:rPr>
          <w:b/>
        </w:rPr>
        <w:t>8</w:t>
      </w:r>
      <w:r w:rsidR="00F91326" w:rsidRPr="00F91326">
        <w:t xml:space="preserve"> Accrual-basis accounting records revenues according to the revenue recognition principle and records expenses according to the expense recognition principle, regardless of when cash is received or paid. Accrual-basis accounting records revenues when earned and expenses when incurred. </w:t>
      </w:r>
      <w:r w:rsidR="00C479F3">
        <w:t xml:space="preserve">U.S. </w:t>
      </w:r>
      <w:r w:rsidR="00F91326" w:rsidRPr="00F91326">
        <w:t>GAAP is based on accrual-basis accounting as opposed to a cash-basis system.</w:t>
      </w:r>
    </w:p>
    <w:p w14:paraId="767F9356" w14:textId="69A7AD26" w:rsidR="00F91326" w:rsidRPr="00F91326" w:rsidRDefault="00424A7B" w:rsidP="00450A41">
      <w:pPr>
        <w:pStyle w:val="TextBasic"/>
      </w:pPr>
      <w:r>
        <w:rPr>
          <w:b/>
        </w:rPr>
        <w:t>Q2-1</w:t>
      </w:r>
      <w:r w:rsidR="00AE583E">
        <w:rPr>
          <w:b/>
        </w:rPr>
        <w:t>9</w:t>
      </w:r>
      <w:r w:rsidR="00F91326" w:rsidRPr="00F91326">
        <w:t xml:space="preserve"> Historical cost is the amount of cash (or equivalent) that was paid to acquire the asset.</w:t>
      </w:r>
      <w:r>
        <w:t xml:space="preserve"> </w:t>
      </w:r>
      <w:r w:rsidR="00F91326" w:rsidRPr="00F91326">
        <w:t>In the case of a liability, historical cost is the amount of cash (or equivalent) that was received when the obligation was incurred.</w:t>
      </w:r>
      <w:r>
        <w:t xml:space="preserve"> </w:t>
      </w:r>
      <w:r w:rsidR="00F91326" w:rsidRPr="00F91326">
        <w:t xml:space="preserve">The historical cost may be adjusted for depreciation or amortization over the life of the asset. </w:t>
      </w:r>
      <w:r w:rsidR="00C479F3">
        <w:t>The historical cost approach results in the general policy that firms initially record assets (and liabilities) at cost and maintain them at cost until selling, consuming, or otherwise disposing of them.</w:t>
      </w:r>
    </w:p>
    <w:p w14:paraId="17445144" w14:textId="01F90DCF" w:rsidR="00F91326" w:rsidRPr="00F91326" w:rsidRDefault="00424A7B" w:rsidP="00450A41">
      <w:pPr>
        <w:pStyle w:val="TextBasic"/>
      </w:pPr>
      <w:r>
        <w:rPr>
          <w:b/>
        </w:rPr>
        <w:t>Q2-</w:t>
      </w:r>
      <w:r w:rsidR="00AE583E">
        <w:rPr>
          <w:b/>
        </w:rPr>
        <w:t>20</w:t>
      </w:r>
      <w:r w:rsidR="00F91326" w:rsidRPr="00F91326">
        <w:t xml:space="preserve"> The going concern concept indicates that accountants will record transactions and prepare financial statements as if the entity will continue to operate for an indefinite period of time, unless there is evidence to the contrary. The going concern concept justifies the use of historical cost by the following rationale. If the business is going to exist for an indefinite period of time, productive assets are not for sale and as a result, market values are not particularly relevant. Of course, if there is evidence that the business will not continue to exist (e.g., bankruptcy) then liquidation values should be used. There are many exceptions in practice. Asset impairments and the increased use of fair value accounting result in many economic resources reported at fair value on the balance sheet.</w:t>
      </w:r>
    </w:p>
    <w:p w14:paraId="32EE5D78" w14:textId="77777777" w:rsidR="00F91326" w:rsidRPr="00F91326" w:rsidRDefault="00F91326" w:rsidP="00F91326">
      <w:pPr>
        <w:pStyle w:val="Ahead"/>
      </w:pPr>
      <w:r w:rsidRPr="00F91326">
        <w:t>Brief Exercises</w:t>
      </w:r>
    </w:p>
    <w:p w14:paraId="7D848E2B" w14:textId="77777777" w:rsidR="00424A7B" w:rsidRPr="00931F99" w:rsidRDefault="00F91326" w:rsidP="00424A7B">
      <w:pPr>
        <w:pStyle w:val="BheadSolutionNumber"/>
      </w:pPr>
      <w:r w:rsidRPr="00931F99">
        <w:t>Solution to BE2-1</w:t>
      </w:r>
    </w:p>
    <w:p w14:paraId="360B63C1" w14:textId="57D86881" w:rsidR="00D14795" w:rsidRPr="00502F2E" w:rsidRDefault="00D14795" w:rsidP="00D14795">
      <w:pPr>
        <w:pStyle w:val="HEADFIRST"/>
        <w:rPr>
          <w:rFonts w:ascii="Avenir LT Std 45 Book" w:hAnsi="Avenir LT Std 45 Book"/>
          <w:sz w:val="24"/>
          <w:szCs w:val="24"/>
        </w:rPr>
      </w:pPr>
      <w:r w:rsidRPr="00502F2E">
        <w:rPr>
          <w:rFonts w:ascii="Avenir LT Std 45 Book" w:hAnsi="Avenir LT Std 45 Book"/>
          <w:sz w:val="24"/>
          <w:szCs w:val="24"/>
        </w:rPr>
        <w:t>The following are the conceptual framework components:</w:t>
      </w:r>
    </w:p>
    <w:p w14:paraId="6DFEB455" w14:textId="77777777" w:rsidR="00D14795" w:rsidRPr="00502F2E" w:rsidRDefault="00D14795" w:rsidP="00D14795">
      <w:pPr>
        <w:pStyle w:val="BLFIRST"/>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Objective of financial reporting</w:t>
      </w:r>
    </w:p>
    <w:p w14:paraId="5F591D2F" w14:textId="3E02F2CD" w:rsidR="00D14795" w:rsidRPr="00502F2E" w:rsidRDefault="00D14795" w:rsidP="00D14795">
      <w:pPr>
        <w:pStyle w:val="BLMID"/>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 xml:space="preserve">Characteristics associated with high-quality </w:t>
      </w:r>
      <w:r w:rsidR="00C479F3">
        <w:rPr>
          <w:rFonts w:ascii="Avenir LT Std 45 Book" w:hAnsi="Avenir LT Std 45 Book"/>
          <w:sz w:val="24"/>
          <w:szCs w:val="24"/>
        </w:rPr>
        <w:t>financial information</w:t>
      </w:r>
    </w:p>
    <w:p w14:paraId="78C17B19" w14:textId="77777777" w:rsidR="00D14795" w:rsidRPr="00502F2E" w:rsidRDefault="00D14795" w:rsidP="00D14795">
      <w:pPr>
        <w:pStyle w:val="BLMID"/>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Elements of the financial reporting system</w:t>
      </w:r>
    </w:p>
    <w:p w14:paraId="319C64EB" w14:textId="77777777" w:rsidR="00D14795" w:rsidRPr="00502F2E" w:rsidRDefault="00D14795" w:rsidP="00D14795">
      <w:pPr>
        <w:pStyle w:val="BLLAST"/>
        <w:rPr>
          <w:rFonts w:ascii="Avenir LT Std 45 Book" w:hAnsi="Avenir LT Std 45 Book"/>
          <w:sz w:val="24"/>
          <w:szCs w:val="24"/>
        </w:rPr>
      </w:pPr>
      <w:r w:rsidRPr="00502F2E">
        <w:rPr>
          <w:rFonts w:ascii="Avenir LT Std 45 Book" w:hAnsi="Avenir LT Std 45 Book"/>
          <w:sz w:val="24"/>
          <w:szCs w:val="24"/>
        </w:rPr>
        <w:t>•</w:t>
      </w:r>
      <w:r w:rsidRPr="00502F2E">
        <w:rPr>
          <w:rFonts w:ascii="Avenir LT Std 45 Book" w:hAnsi="Avenir LT Std 45 Book"/>
          <w:sz w:val="24"/>
          <w:szCs w:val="24"/>
        </w:rPr>
        <w:tab/>
        <w:t>Recognition and measurement criteria</w:t>
      </w:r>
    </w:p>
    <w:p w14:paraId="527921D3" w14:textId="77777777" w:rsidR="00D14795" w:rsidRDefault="00D14795" w:rsidP="00424A7B">
      <w:pPr>
        <w:pStyle w:val="BheadSolutionNumber"/>
      </w:pPr>
    </w:p>
    <w:p w14:paraId="7B693D0F" w14:textId="77777777" w:rsidR="00310ABE" w:rsidRDefault="00310ABE" w:rsidP="00310ABE">
      <w:pPr>
        <w:pStyle w:val="BheadSolutionNumber"/>
      </w:pPr>
      <w:r w:rsidRPr="00F91326">
        <w:t>Solution to BE2-2</w:t>
      </w:r>
    </w:p>
    <w:p w14:paraId="614F160F" w14:textId="77777777" w:rsidR="00F91326" w:rsidRPr="00F91326" w:rsidRDefault="00F91326" w:rsidP="00450A41">
      <w:pPr>
        <w:pStyle w:val="TextBasic"/>
      </w:pPr>
      <w:r w:rsidRPr="00F91326">
        <w:t xml:space="preserve">The primary users of the financial statements are investors, lenders, and other creditors </w:t>
      </w:r>
      <w:r w:rsidRPr="00F91326">
        <w:rPr>
          <w:i/>
        </w:rPr>
        <w:t>who are not in a position to demand information from the entity.</w:t>
      </w:r>
      <w:r w:rsidR="00424A7B">
        <w:rPr>
          <w:i/>
        </w:rPr>
        <w:t xml:space="preserve"> </w:t>
      </w:r>
      <w:r w:rsidRPr="00F91326">
        <w:t>Those financial statement users who are not in a position to demand information rely on the financial statements to help them assess the amount, timing, and uncertainty of future cash flows of the reporting entity, so that they can form an opinion about future returns that will accrue to them by holding a stake in the entity.</w:t>
      </w:r>
      <w:r w:rsidR="00424A7B">
        <w:t xml:space="preserve"> </w:t>
      </w:r>
    </w:p>
    <w:p w14:paraId="320E22D4" w14:textId="77777777" w:rsidR="00F91326" w:rsidRPr="00F91326" w:rsidRDefault="00F91326" w:rsidP="00450A41">
      <w:pPr>
        <w:pStyle w:val="TextBasic"/>
        <w:rPr>
          <w:b/>
        </w:rPr>
      </w:pPr>
      <w:r w:rsidRPr="00F91326">
        <w:t>This view applies to both U.S. GAAP and IFRS.</w:t>
      </w:r>
    </w:p>
    <w:p w14:paraId="635AEFA3" w14:textId="4C3271BE" w:rsidR="00424A7B" w:rsidRDefault="00F91326" w:rsidP="00424A7B">
      <w:pPr>
        <w:pStyle w:val="BheadSolutionNumber"/>
      </w:pPr>
      <w:r w:rsidRPr="00F91326">
        <w:t>Solution to BE2-</w:t>
      </w:r>
      <w:r w:rsidR="00310ABE">
        <w:t>3</w:t>
      </w:r>
    </w:p>
    <w:p w14:paraId="32A82B23" w14:textId="77777777" w:rsidR="00F91326" w:rsidRPr="00F91326" w:rsidRDefault="00F91326" w:rsidP="00450A41">
      <w:pPr>
        <w:pStyle w:val="TextBasic"/>
      </w:pPr>
      <w:r w:rsidRPr="00F91326">
        <w:t xml:space="preserve">According to the Conceptual Framework, “The objective of general purpose financial reporting is to provide financial information about the reporting entity that is useful to existing and potential investors, lenders, and other creditors in making decisions about providing resources to the entity. Those decisions involve buying, selling, or holding equity and debt instruments, and providing or settling loans and other forms of credit.” This objective is obtained from the FASB’s </w:t>
      </w:r>
      <w:r w:rsidRPr="00F91326">
        <w:rPr>
          <w:i/>
        </w:rPr>
        <w:t>Statement of Financial Accounting Concepts No. 8</w:t>
      </w:r>
      <w:r w:rsidRPr="00F91326">
        <w:t xml:space="preserve">, paragraph OB2 and the IASB’s </w:t>
      </w:r>
      <w:r w:rsidRPr="00F91326">
        <w:rPr>
          <w:i/>
        </w:rPr>
        <w:t xml:space="preserve">Conceptual Framework for Financial Reporting, </w:t>
      </w:r>
      <w:r w:rsidRPr="00F91326">
        <w:t>paragraph OB2.</w:t>
      </w:r>
    </w:p>
    <w:p w14:paraId="788BBF45" w14:textId="7EA32D94" w:rsidR="00424A7B" w:rsidRDefault="00310ABE" w:rsidP="00424A7B">
      <w:pPr>
        <w:pStyle w:val="BheadSolutionNumber"/>
      </w:pPr>
      <w:r>
        <w:t>Solution to BE2-4</w:t>
      </w:r>
    </w:p>
    <w:p w14:paraId="2435A6F0" w14:textId="77777777" w:rsidR="00F91326" w:rsidRPr="00F91326" w:rsidRDefault="00F91326" w:rsidP="00450A41">
      <w:pPr>
        <w:pStyle w:val="TextBasic"/>
      </w:pPr>
      <w:r w:rsidRPr="00F91326">
        <w:t>The items below are characteristics of information that is relevant (REL) or a faithful representation (FR):</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
        <w:gridCol w:w="8446"/>
      </w:tblGrid>
      <w:tr w:rsidR="00450A41" w:rsidRPr="00450A41" w14:paraId="62FC5C86" w14:textId="77777777" w:rsidTr="00450A41">
        <w:tc>
          <w:tcPr>
            <w:tcW w:w="810" w:type="dxa"/>
            <w:tcBorders>
              <w:bottom w:val="single" w:sz="4" w:space="0" w:color="auto"/>
            </w:tcBorders>
            <w:vAlign w:val="center"/>
          </w:tcPr>
          <w:p w14:paraId="39521C2E" w14:textId="77777777" w:rsidR="00450A41" w:rsidRPr="00450A41" w:rsidRDefault="00450A41" w:rsidP="00450A41">
            <w:pPr>
              <w:pStyle w:val="TBText"/>
            </w:pPr>
            <w:r w:rsidRPr="00450A41">
              <w:t>FR</w:t>
            </w:r>
          </w:p>
        </w:tc>
        <w:tc>
          <w:tcPr>
            <w:tcW w:w="8658" w:type="dxa"/>
            <w:vAlign w:val="center"/>
          </w:tcPr>
          <w:p w14:paraId="1E0FE622" w14:textId="77777777" w:rsidR="00450A41" w:rsidRPr="00450A41" w:rsidRDefault="00450A41" w:rsidP="00450A41">
            <w:pPr>
              <w:pStyle w:val="TBText"/>
            </w:pPr>
            <w:r w:rsidRPr="00450A41">
              <w:t xml:space="preserve">Information that is neutral </w:t>
            </w:r>
          </w:p>
        </w:tc>
      </w:tr>
      <w:tr w:rsidR="00450A41" w:rsidRPr="00450A41" w14:paraId="5BBFE40A" w14:textId="77777777" w:rsidTr="00450A41">
        <w:tc>
          <w:tcPr>
            <w:tcW w:w="810" w:type="dxa"/>
            <w:tcBorders>
              <w:top w:val="single" w:sz="4" w:space="0" w:color="auto"/>
              <w:bottom w:val="single" w:sz="4" w:space="0" w:color="auto"/>
            </w:tcBorders>
            <w:vAlign w:val="center"/>
          </w:tcPr>
          <w:p w14:paraId="06766709" w14:textId="77777777" w:rsidR="00450A41" w:rsidRPr="00450A41" w:rsidRDefault="00450A41" w:rsidP="00450A41">
            <w:pPr>
              <w:pStyle w:val="TBText"/>
            </w:pPr>
            <w:r w:rsidRPr="00450A41">
              <w:t>REL</w:t>
            </w:r>
          </w:p>
        </w:tc>
        <w:tc>
          <w:tcPr>
            <w:tcW w:w="8658" w:type="dxa"/>
            <w:vAlign w:val="center"/>
          </w:tcPr>
          <w:p w14:paraId="075B7C65" w14:textId="77777777" w:rsidR="00450A41" w:rsidRPr="00450A41" w:rsidRDefault="00450A41" w:rsidP="00450A41">
            <w:pPr>
              <w:pStyle w:val="TBText"/>
            </w:pPr>
            <w:r w:rsidRPr="00450A41">
              <w:t>Information has decision-making implications because of its predictive value</w:t>
            </w:r>
          </w:p>
        </w:tc>
      </w:tr>
      <w:tr w:rsidR="00450A41" w:rsidRPr="00450A41" w14:paraId="498313A9" w14:textId="77777777" w:rsidTr="00450A41">
        <w:tc>
          <w:tcPr>
            <w:tcW w:w="810" w:type="dxa"/>
            <w:tcBorders>
              <w:top w:val="single" w:sz="4" w:space="0" w:color="auto"/>
              <w:bottom w:val="single" w:sz="4" w:space="0" w:color="auto"/>
            </w:tcBorders>
            <w:vAlign w:val="center"/>
          </w:tcPr>
          <w:p w14:paraId="6B9C3A0F" w14:textId="77777777" w:rsidR="00450A41" w:rsidRPr="00450A41" w:rsidRDefault="00450A41" w:rsidP="00450A41">
            <w:pPr>
              <w:pStyle w:val="TBText"/>
            </w:pPr>
            <w:r w:rsidRPr="00450A41">
              <w:t>FR</w:t>
            </w:r>
          </w:p>
        </w:tc>
        <w:tc>
          <w:tcPr>
            <w:tcW w:w="8658" w:type="dxa"/>
            <w:vAlign w:val="center"/>
          </w:tcPr>
          <w:p w14:paraId="636C36E6" w14:textId="77777777" w:rsidR="00450A41" w:rsidRPr="00450A41" w:rsidRDefault="00450A41" w:rsidP="00450A41">
            <w:pPr>
              <w:pStyle w:val="TBText"/>
            </w:pPr>
            <w:r w:rsidRPr="00450A41">
              <w:t>Information that is complete</w:t>
            </w:r>
          </w:p>
        </w:tc>
      </w:tr>
      <w:tr w:rsidR="00450A41" w:rsidRPr="00450A41" w14:paraId="594972B6" w14:textId="77777777" w:rsidTr="00450A41">
        <w:tc>
          <w:tcPr>
            <w:tcW w:w="810" w:type="dxa"/>
            <w:tcBorders>
              <w:top w:val="single" w:sz="4" w:space="0" w:color="auto"/>
              <w:bottom w:val="single" w:sz="4" w:space="0" w:color="auto"/>
            </w:tcBorders>
            <w:vAlign w:val="center"/>
          </w:tcPr>
          <w:p w14:paraId="449608C5" w14:textId="77777777" w:rsidR="00450A41" w:rsidRPr="00450A41" w:rsidRDefault="00450A41" w:rsidP="00450A41">
            <w:pPr>
              <w:pStyle w:val="TBText"/>
            </w:pPr>
            <w:r w:rsidRPr="00450A41">
              <w:t>FR</w:t>
            </w:r>
          </w:p>
        </w:tc>
        <w:tc>
          <w:tcPr>
            <w:tcW w:w="8658" w:type="dxa"/>
            <w:vAlign w:val="center"/>
          </w:tcPr>
          <w:p w14:paraId="4ADB4741" w14:textId="77777777" w:rsidR="00450A41" w:rsidRPr="00450A41" w:rsidRDefault="00450A41" w:rsidP="00450A41">
            <w:pPr>
              <w:pStyle w:val="TBText"/>
            </w:pPr>
            <w:r w:rsidRPr="00450A41">
              <w:t>Information that is free from error</w:t>
            </w:r>
          </w:p>
        </w:tc>
      </w:tr>
      <w:tr w:rsidR="00450A41" w:rsidRPr="00450A41" w14:paraId="4AD2C404" w14:textId="77777777" w:rsidTr="00450A41">
        <w:tc>
          <w:tcPr>
            <w:tcW w:w="810" w:type="dxa"/>
            <w:tcBorders>
              <w:top w:val="single" w:sz="4" w:space="0" w:color="auto"/>
              <w:bottom w:val="single" w:sz="4" w:space="0" w:color="auto"/>
            </w:tcBorders>
            <w:vAlign w:val="center"/>
          </w:tcPr>
          <w:p w14:paraId="71C291BF" w14:textId="77777777" w:rsidR="00450A41" w:rsidRPr="00450A41" w:rsidRDefault="00450A41" w:rsidP="00450A41">
            <w:pPr>
              <w:pStyle w:val="TBText"/>
            </w:pPr>
            <w:r w:rsidRPr="00450A41">
              <w:t>REL</w:t>
            </w:r>
          </w:p>
        </w:tc>
        <w:tc>
          <w:tcPr>
            <w:tcW w:w="8658" w:type="dxa"/>
            <w:vAlign w:val="center"/>
          </w:tcPr>
          <w:p w14:paraId="505E403A" w14:textId="77777777" w:rsidR="00450A41" w:rsidRPr="00450A41" w:rsidRDefault="00450A41" w:rsidP="00450A41">
            <w:pPr>
              <w:pStyle w:val="TBText"/>
            </w:pPr>
            <w:r w:rsidRPr="00450A41">
              <w:t>Information has decision-making implications because of its confirmatory value</w:t>
            </w:r>
            <w:r w:rsidR="00424A7B">
              <w:t xml:space="preserve"> </w:t>
            </w:r>
          </w:p>
        </w:tc>
      </w:tr>
    </w:tbl>
    <w:p w14:paraId="12B6AA38" w14:textId="28AB4DAB" w:rsidR="00424A7B" w:rsidRDefault="00F91326" w:rsidP="00424A7B">
      <w:pPr>
        <w:pStyle w:val="BheadSolutionNumber"/>
      </w:pPr>
      <w:r w:rsidRPr="00F91326">
        <w:t>Solution to BE2-</w:t>
      </w:r>
      <w:r w:rsidR="00310ABE">
        <w:t>5</w:t>
      </w:r>
    </w:p>
    <w:p w14:paraId="04ACD4E1" w14:textId="77777777" w:rsidR="00F91326" w:rsidRPr="00F91326" w:rsidRDefault="00F91326" w:rsidP="00450A41">
      <w:pPr>
        <w:pStyle w:val="TextBasic"/>
      </w:pPr>
      <w:r w:rsidRPr="00F91326">
        <w:t>Fundamental characteristics are those basic characteristics that distinguish useful financial information from information that is not useful.</w:t>
      </w:r>
      <w:r w:rsidR="00424A7B">
        <w:t xml:space="preserve"> </w:t>
      </w:r>
      <w:r w:rsidRPr="00F91326">
        <w:t>Enhancing characteristics distinguish more useful information from less useful information.</w:t>
      </w:r>
      <w:r w:rsidR="00424A7B">
        <w:t xml:space="preserve"> </w:t>
      </w:r>
    </w:p>
    <w:p w14:paraId="756F677E" w14:textId="04695C59" w:rsidR="00424A7B" w:rsidRDefault="00310ABE" w:rsidP="00424A7B">
      <w:pPr>
        <w:pStyle w:val="BheadSolutionNumber"/>
      </w:pPr>
      <w:r>
        <w:t>Solution to BE2-6</w:t>
      </w:r>
    </w:p>
    <w:p w14:paraId="4DE24FF9" w14:textId="77777777" w:rsidR="00F91326" w:rsidRPr="00F91326" w:rsidRDefault="00F91326" w:rsidP="00450A41">
      <w:pPr>
        <w:pStyle w:val="TextBasic"/>
      </w:pPr>
      <w:r w:rsidRPr="00F91326">
        <w:t>Financial reporting information is a faithful representation when it is complete, neutral, and free from</w:t>
      </w:r>
      <w:r w:rsidRPr="00F91326">
        <w:rPr>
          <w:i/>
        </w:rPr>
        <w:t xml:space="preserve"> </w:t>
      </w:r>
      <w:r w:rsidRPr="00F91326">
        <w:t>error. Complete information includes all information that is necessary for the user to understand the underlying economic event. Neutral means the information is free from bias in both the selection and presentation of financial data. Free from error means the information should not contain errors or omissions in the description of an event.</w:t>
      </w:r>
    </w:p>
    <w:p w14:paraId="7E22DF64" w14:textId="366B230D" w:rsidR="00424A7B" w:rsidRDefault="00F91326" w:rsidP="00424A7B">
      <w:pPr>
        <w:pStyle w:val="BheadSolutionNumber"/>
      </w:pPr>
      <w:r w:rsidRPr="00F91326">
        <w:t>Solution to BE2-</w:t>
      </w:r>
      <w:r w:rsidR="00310ABE">
        <w:t>7</w:t>
      </w:r>
    </w:p>
    <w:p w14:paraId="1AE0FAAA" w14:textId="4A3B3D50" w:rsidR="00F91326" w:rsidRPr="00F91326" w:rsidRDefault="00F91326" w:rsidP="00450A41">
      <w:pPr>
        <w:pStyle w:val="TextBasic"/>
      </w:pPr>
      <w:r w:rsidRPr="00F91326">
        <w:t>Standard setters do consider several types of costs</w:t>
      </w:r>
      <w:r w:rsidR="007841F7">
        <w:t xml:space="preserve"> for financial statement preparers and users</w:t>
      </w:r>
      <w:r w:rsidRPr="00F91326">
        <w:t>.</w:t>
      </w:r>
      <w:r w:rsidR="00424A7B">
        <w:t xml:space="preserve"> </w:t>
      </w:r>
      <w:r w:rsidRPr="00F91326">
        <w:t>Providing information has a cost to the reporting entity, which is ultimately passed along to the investors.</w:t>
      </w:r>
      <w:r w:rsidR="00424A7B">
        <w:t xml:space="preserve"> </w:t>
      </w:r>
      <w:r w:rsidRPr="00F91326">
        <w:t xml:space="preserve"> The entity consumes a significant amount of resources in collecting, processing, verifying, and communicating their financial results. New standards or significant revisions to existing standards require companies to increase training, update accounting systems, and renegotiate existing contracts based on updated accounting information.</w:t>
      </w:r>
      <w:r w:rsidR="00424A7B">
        <w:t xml:space="preserve"> </w:t>
      </w:r>
      <w:r w:rsidRPr="00F91326">
        <w:t>Users incur costs in interpreting the financial information.</w:t>
      </w:r>
      <w:r w:rsidR="00424A7B">
        <w:t xml:space="preserve"> </w:t>
      </w:r>
      <w:r w:rsidRPr="00F91326">
        <w:t>If necessary information is not provided to the users, they incur costs in obtaining or estimating the information.</w:t>
      </w:r>
    </w:p>
    <w:p w14:paraId="43FCFEA2" w14:textId="0FFCB14B" w:rsidR="00424A7B" w:rsidRDefault="00310ABE" w:rsidP="00424A7B">
      <w:pPr>
        <w:pStyle w:val="BheadSolutionNumber"/>
      </w:pPr>
      <w:r>
        <w:t>Solution to BE2-8</w:t>
      </w:r>
    </w:p>
    <w:p w14:paraId="5BC17380" w14:textId="77777777" w:rsidR="00F91326" w:rsidRPr="00F91326" w:rsidRDefault="00F91326" w:rsidP="00450A41">
      <w:pPr>
        <w:pStyle w:val="TextBasic"/>
      </w:pPr>
      <w:r w:rsidRPr="00F91326">
        <w:t>The historical cost concept is justified by the conceptual framework because it is considered representationally faithful. The use of historical cost is said to increase the reliability of asset measurement because it is neutral, free from error, and complete, which are key ingredients of the accounting quality of representational faithfulness. A consensus decision can always be reached regarding historical information and this information can be verified or confirmed by tracing it back to source documents. However, historical cost based measures may not always be relevant. This is true for several reasons. First, historical cost data are not timely because they are not updated to provide information needed for decision making, thereby reducing its ability to predict future outcomes and provide feedback of past forecasts (as it does not change from year to year).</w:t>
      </w:r>
    </w:p>
    <w:p w14:paraId="69594ADD" w14:textId="77777777" w:rsidR="007841F7" w:rsidRDefault="007841F7">
      <w:pPr>
        <w:rPr>
          <w:rFonts w:ascii="Avenir LT Std 45 Book" w:hAnsi="Avenir LT Std 45 Book" w:cs="Arial"/>
          <w:b/>
          <w:sz w:val="24"/>
          <w:szCs w:val="24"/>
        </w:rPr>
      </w:pPr>
      <w:r>
        <w:br w:type="page"/>
      </w:r>
    </w:p>
    <w:p w14:paraId="2778EFDC" w14:textId="5C3B4880" w:rsidR="00424A7B" w:rsidRDefault="00F91326" w:rsidP="00424A7B">
      <w:pPr>
        <w:pStyle w:val="BheadSolutionNumber"/>
      </w:pPr>
      <w:r w:rsidRPr="00F91326">
        <w:t>Solution to BE2-</w:t>
      </w:r>
      <w:r w:rsidR="00310ABE">
        <w:t>9</w:t>
      </w:r>
    </w:p>
    <w:p w14:paraId="65969626" w14:textId="77777777" w:rsidR="00F91326" w:rsidRPr="00F91326" w:rsidRDefault="00F91326" w:rsidP="00450A41">
      <w:pPr>
        <w:pStyle w:val="TextBasic"/>
      </w:pPr>
      <w:r w:rsidRPr="00F91326">
        <w:t>The items below are fundamental characteristics (FC) or enhancing characteristics (EC):</w:t>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
        <w:gridCol w:w="8451"/>
      </w:tblGrid>
      <w:tr w:rsidR="002C4EF9" w:rsidRPr="002C4EF9" w14:paraId="706EB3DE" w14:textId="77777777" w:rsidTr="00D12D74">
        <w:tc>
          <w:tcPr>
            <w:tcW w:w="810" w:type="dxa"/>
            <w:tcBorders>
              <w:bottom w:val="single" w:sz="4" w:space="0" w:color="auto"/>
            </w:tcBorders>
            <w:vAlign w:val="center"/>
          </w:tcPr>
          <w:p w14:paraId="5D0B17BB" w14:textId="77777777" w:rsidR="002C4EF9" w:rsidRPr="002C4EF9" w:rsidRDefault="002C4EF9" w:rsidP="002C4EF9">
            <w:pPr>
              <w:pStyle w:val="NLalt"/>
              <w:rPr>
                <w:bCs/>
                <w:iCs/>
              </w:rPr>
            </w:pPr>
            <w:r w:rsidRPr="00F91326">
              <w:t>EC</w:t>
            </w:r>
          </w:p>
        </w:tc>
        <w:tc>
          <w:tcPr>
            <w:tcW w:w="8658" w:type="dxa"/>
            <w:vAlign w:val="center"/>
          </w:tcPr>
          <w:p w14:paraId="0D9A384E" w14:textId="77777777" w:rsidR="002C4EF9" w:rsidRPr="002C4EF9" w:rsidRDefault="002C4EF9" w:rsidP="002C4EF9">
            <w:pPr>
              <w:pStyle w:val="NLalt"/>
              <w:rPr>
                <w:bCs/>
                <w:iCs/>
              </w:rPr>
            </w:pPr>
            <w:r w:rsidRPr="00F91326">
              <w:t>Comparable</w:t>
            </w:r>
          </w:p>
        </w:tc>
      </w:tr>
      <w:tr w:rsidR="002C4EF9" w:rsidRPr="002C4EF9" w14:paraId="39E8312C" w14:textId="77777777" w:rsidTr="00D12D74">
        <w:tc>
          <w:tcPr>
            <w:tcW w:w="810" w:type="dxa"/>
            <w:tcBorders>
              <w:top w:val="single" w:sz="4" w:space="0" w:color="auto"/>
              <w:bottom w:val="single" w:sz="4" w:space="0" w:color="auto"/>
            </w:tcBorders>
            <w:vAlign w:val="center"/>
          </w:tcPr>
          <w:p w14:paraId="61F739F1" w14:textId="77777777" w:rsidR="002C4EF9" w:rsidRPr="002C4EF9" w:rsidRDefault="002C4EF9" w:rsidP="002C4EF9">
            <w:pPr>
              <w:pStyle w:val="NLalt"/>
              <w:rPr>
                <w:bCs/>
                <w:iCs/>
              </w:rPr>
            </w:pPr>
            <w:r w:rsidRPr="00F91326">
              <w:t>FC</w:t>
            </w:r>
          </w:p>
        </w:tc>
        <w:tc>
          <w:tcPr>
            <w:tcW w:w="8658" w:type="dxa"/>
            <w:vAlign w:val="center"/>
          </w:tcPr>
          <w:p w14:paraId="6476BAC6" w14:textId="77777777" w:rsidR="002C4EF9" w:rsidRPr="002C4EF9" w:rsidRDefault="002C4EF9" w:rsidP="002C4EF9">
            <w:pPr>
              <w:pStyle w:val="NLalt"/>
              <w:rPr>
                <w:bCs/>
                <w:iCs/>
              </w:rPr>
            </w:pPr>
            <w:r w:rsidRPr="00F91326">
              <w:t>Relevant</w:t>
            </w:r>
          </w:p>
        </w:tc>
      </w:tr>
      <w:tr w:rsidR="002C4EF9" w:rsidRPr="002C4EF9" w14:paraId="7BB4CF2F" w14:textId="77777777" w:rsidTr="00D12D74">
        <w:tc>
          <w:tcPr>
            <w:tcW w:w="810" w:type="dxa"/>
            <w:tcBorders>
              <w:top w:val="single" w:sz="4" w:space="0" w:color="auto"/>
              <w:bottom w:val="single" w:sz="4" w:space="0" w:color="auto"/>
            </w:tcBorders>
            <w:vAlign w:val="center"/>
          </w:tcPr>
          <w:p w14:paraId="1BB32666" w14:textId="77777777" w:rsidR="002C4EF9" w:rsidRPr="002C4EF9" w:rsidRDefault="002C4EF9" w:rsidP="002C4EF9">
            <w:pPr>
              <w:pStyle w:val="NLalt"/>
              <w:rPr>
                <w:bCs/>
                <w:iCs/>
              </w:rPr>
            </w:pPr>
            <w:r w:rsidRPr="00F91326">
              <w:t>EC</w:t>
            </w:r>
          </w:p>
        </w:tc>
        <w:tc>
          <w:tcPr>
            <w:tcW w:w="8658" w:type="dxa"/>
            <w:vAlign w:val="center"/>
          </w:tcPr>
          <w:p w14:paraId="42D4E07C" w14:textId="77777777" w:rsidR="002C4EF9" w:rsidRPr="002C4EF9" w:rsidRDefault="002C4EF9" w:rsidP="002C4EF9">
            <w:pPr>
              <w:pStyle w:val="NLalt"/>
              <w:rPr>
                <w:bCs/>
                <w:iCs/>
              </w:rPr>
            </w:pPr>
            <w:r w:rsidRPr="00F91326">
              <w:t>Timely</w:t>
            </w:r>
          </w:p>
        </w:tc>
      </w:tr>
      <w:tr w:rsidR="002C4EF9" w:rsidRPr="002C4EF9" w14:paraId="38A69E96" w14:textId="77777777" w:rsidTr="00D12D74">
        <w:tc>
          <w:tcPr>
            <w:tcW w:w="810" w:type="dxa"/>
            <w:tcBorders>
              <w:top w:val="single" w:sz="4" w:space="0" w:color="auto"/>
              <w:bottom w:val="single" w:sz="4" w:space="0" w:color="auto"/>
            </w:tcBorders>
            <w:vAlign w:val="center"/>
          </w:tcPr>
          <w:p w14:paraId="627D2B9E" w14:textId="77777777" w:rsidR="002C4EF9" w:rsidRPr="002C4EF9" w:rsidRDefault="002C4EF9" w:rsidP="002C4EF9">
            <w:pPr>
              <w:pStyle w:val="NLalt"/>
              <w:rPr>
                <w:bCs/>
                <w:iCs/>
              </w:rPr>
            </w:pPr>
            <w:r w:rsidRPr="00F91326">
              <w:t>EC</w:t>
            </w:r>
          </w:p>
        </w:tc>
        <w:tc>
          <w:tcPr>
            <w:tcW w:w="8658" w:type="dxa"/>
            <w:vAlign w:val="center"/>
          </w:tcPr>
          <w:p w14:paraId="76FF3BD0" w14:textId="77777777" w:rsidR="002C4EF9" w:rsidRPr="002C4EF9" w:rsidRDefault="002C4EF9" w:rsidP="002C4EF9">
            <w:pPr>
              <w:pStyle w:val="NLalt"/>
              <w:rPr>
                <w:bCs/>
                <w:iCs/>
              </w:rPr>
            </w:pPr>
            <w:r w:rsidRPr="00F91326">
              <w:t>Understandable</w:t>
            </w:r>
          </w:p>
        </w:tc>
      </w:tr>
      <w:tr w:rsidR="002C4EF9" w:rsidRPr="002C4EF9" w14:paraId="5EA42FB3" w14:textId="77777777" w:rsidTr="00D12D74">
        <w:tc>
          <w:tcPr>
            <w:tcW w:w="810" w:type="dxa"/>
            <w:tcBorders>
              <w:top w:val="single" w:sz="4" w:space="0" w:color="auto"/>
              <w:bottom w:val="single" w:sz="4" w:space="0" w:color="auto"/>
            </w:tcBorders>
            <w:vAlign w:val="center"/>
          </w:tcPr>
          <w:p w14:paraId="6B1EBC6D" w14:textId="77777777" w:rsidR="002C4EF9" w:rsidRPr="002C4EF9" w:rsidRDefault="002C4EF9" w:rsidP="002C4EF9">
            <w:pPr>
              <w:pStyle w:val="NLalt"/>
              <w:rPr>
                <w:bCs/>
                <w:iCs/>
              </w:rPr>
            </w:pPr>
            <w:r w:rsidRPr="00F91326">
              <w:t>FC</w:t>
            </w:r>
          </w:p>
        </w:tc>
        <w:tc>
          <w:tcPr>
            <w:tcW w:w="8658" w:type="dxa"/>
            <w:vAlign w:val="center"/>
          </w:tcPr>
          <w:p w14:paraId="152F9CEF" w14:textId="77777777" w:rsidR="002C4EF9" w:rsidRPr="002C4EF9" w:rsidRDefault="002C4EF9" w:rsidP="002C4EF9">
            <w:pPr>
              <w:pStyle w:val="NLalt"/>
              <w:rPr>
                <w:bCs/>
                <w:iCs/>
              </w:rPr>
            </w:pPr>
            <w:r w:rsidRPr="00F91326">
              <w:t>Faithful representation</w:t>
            </w:r>
          </w:p>
        </w:tc>
      </w:tr>
      <w:tr w:rsidR="002C4EF9" w:rsidRPr="002C4EF9" w14:paraId="4632D37B" w14:textId="77777777" w:rsidTr="00D12D74">
        <w:tc>
          <w:tcPr>
            <w:tcW w:w="810" w:type="dxa"/>
            <w:tcBorders>
              <w:top w:val="single" w:sz="4" w:space="0" w:color="auto"/>
              <w:bottom w:val="single" w:sz="4" w:space="0" w:color="auto"/>
            </w:tcBorders>
            <w:vAlign w:val="center"/>
          </w:tcPr>
          <w:p w14:paraId="5BC6CCAD" w14:textId="77777777" w:rsidR="002C4EF9" w:rsidRPr="00F91326" w:rsidRDefault="002C4EF9" w:rsidP="002C4EF9">
            <w:pPr>
              <w:pStyle w:val="NLalt"/>
            </w:pPr>
            <w:r w:rsidRPr="00F91326">
              <w:t>EC</w:t>
            </w:r>
          </w:p>
        </w:tc>
        <w:tc>
          <w:tcPr>
            <w:tcW w:w="8658" w:type="dxa"/>
            <w:vAlign w:val="center"/>
          </w:tcPr>
          <w:p w14:paraId="74A70334" w14:textId="77777777" w:rsidR="002C4EF9" w:rsidRPr="002C4EF9" w:rsidRDefault="002C4EF9" w:rsidP="002C4EF9">
            <w:pPr>
              <w:pStyle w:val="NLalt"/>
              <w:rPr>
                <w:bCs/>
                <w:iCs/>
              </w:rPr>
            </w:pPr>
            <w:r w:rsidRPr="00F91326">
              <w:t>Verifiable</w:t>
            </w:r>
          </w:p>
        </w:tc>
      </w:tr>
    </w:tbl>
    <w:p w14:paraId="26E7FD9C" w14:textId="075B58E1" w:rsidR="00424A7B" w:rsidRDefault="00310ABE" w:rsidP="00424A7B">
      <w:pPr>
        <w:pStyle w:val="BheadSolutionNumber"/>
      </w:pPr>
      <w:r>
        <w:t>Solution to BE2-10</w:t>
      </w:r>
    </w:p>
    <w:p w14:paraId="2CF9210A" w14:textId="77777777" w:rsidR="00F91326" w:rsidRPr="00F91326" w:rsidRDefault="00F91326" w:rsidP="00424A7B">
      <w:pPr>
        <w:pStyle w:val="TextBasic"/>
        <w:keepNext/>
        <w:spacing w:after="120"/>
      </w:pPr>
      <w:r w:rsidRPr="00F91326">
        <w:t xml:space="preserve">The component of a </w:t>
      </w:r>
      <w:r w:rsidRPr="00F91326">
        <w:rPr>
          <w:i/>
        </w:rPr>
        <w:t>faithful representation</w:t>
      </w:r>
      <w:r w:rsidRPr="00F91326">
        <w:t xml:space="preserve"> is matched with its definition:</w:t>
      </w:r>
    </w:p>
    <w:tbl>
      <w:tblPr>
        <w:tblW w:w="0" w:type="auto"/>
        <w:tblLook w:val="04A0" w:firstRow="1" w:lastRow="0" w:firstColumn="1" w:lastColumn="0" w:noHBand="0" w:noVBand="1"/>
      </w:tblPr>
      <w:tblGrid>
        <w:gridCol w:w="3031"/>
        <w:gridCol w:w="6329"/>
      </w:tblGrid>
      <w:tr w:rsidR="00F91326" w:rsidRPr="00F91326" w14:paraId="56EBEE77" w14:textId="77777777" w:rsidTr="00F91326">
        <w:tc>
          <w:tcPr>
            <w:tcW w:w="3078" w:type="dxa"/>
            <w:tcBorders>
              <w:bottom w:val="single" w:sz="4" w:space="0" w:color="auto"/>
              <w:right w:val="single" w:sz="4" w:space="0" w:color="auto"/>
            </w:tcBorders>
          </w:tcPr>
          <w:p w14:paraId="6C754E87" w14:textId="77777777" w:rsidR="00F91326" w:rsidRPr="00F91326" w:rsidRDefault="00F91326" w:rsidP="00424A7B">
            <w:pPr>
              <w:pStyle w:val="TCH"/>
              <w:keepNext/>
            </w:pPr>
            <w:r w:rsidRPr="00F91326">
              <w:t>Component of a Faithful Representation</w:t>
            </w:r>
          </w:p>
        </w:tc>
        <w:tc>
          <w:tcPr>
            <w:tcW w:w="6498" w:type="dxa"/>
            <w:tcBorders>
              <w:left w:val="single" w:sz="4" w:space="0" w:color="auto"/>
              <w:bottom w:val="single" w:sz="4" w:space="0" w:color="auto"/>
            </w:tcBorders>
          </w:tcPr>
          <w:p w14:paraId="6B527F56" w14:textId="77777777" w:rsidR="00F91326" w:rsidRPr="00F91326" w:rsidRDefault="00F91326" w:rsidP="00424A7B">
            <w:pPr>
              <w:pStyle w:val="TCH"/>
              <w:keepNext/>
            </w:pPr>
            <w:r w:rsidRPr="00F91326">
              <w:t>Definition</w:t>
            </w:r>
          </w:p>
        </w:tc>
      </w:tr>
      <w:tr w:rsidR="00F91326" w:rsidRPr="00F91326" w14:paraId="7F1C89E4" w14:textId="77777777" w:rsidTr="00F91326">
        <w:tc>
          <w:tcPr>
            <w:tcW w:w="3078" w:type="dxa"/>
            <w:tcBorders>
              <w:top w:val="single" w:sz="4" w:space="0" w:color="auto"/>
              <w:right w:val="single" w:sz="4" w:space="0" w:color="auto"/>
            </w:tcBorders>
          </w:tcPr>
          <w:p w14:paraId="34283E8C" w14:textId="77777777" w:rsidR="00F91326" w:rsidRPr="00F91326" w:rsidRDefault="00F91326" w:rsidP="00424A7B">
            <w:pPr>
              <w:pStyle w:val="NL"/>
              <w:keepNext/>
            </w:pPr>
            <w:r w:rsidRPr="00F91326">
              <w:t>1. Complete</w:t>
            </w:r>
          </w:p>
          <w:p w14:paraId="06F4493E" w14:textId="77777777" w:rsidR="00F91326" w:rsidRPr="00F91326" w:rsidRDefault="00F91326" w:rsidP="00424A7B">
            <w:pPr>
              <w:pStyle w:val="NL"/>
              <w:keepNext/>
            </w:pPr>
          </w:p>
        </w:tc>
        <w:tc>
          <w:tcPr>
            <w:tcW w:w="6498" w:type="dxa"/>
            <w:tcBorders>
              <w:top w:val="single" w:sz="4" w:space="0" w:color="auto"/>
              <w:left w:val="single" w:sz="4" w:space="0" w:color="auto"/>
            </w:tcBorders>
          </w:tcPr>
          <w:p w14:paraId="64AA94D5" w14:textId="77777777" w:rsidR="00F91326" w:rsidRPr="00F91326" w:rsidRDefault="00F91326" w:rsidP="00424A7B">
            <w:pPr>
              <w:pStyle w:val="NL"/>
              <w:keepNext/>
            </w:pPr>
            <w:r w:rsidRPr="00F91326">
              <w:t xml:space="preserve">C. </w:t>
            </w:r>
            <w:r w:rsidR="00814856">
              <w:tab/>
            </w:r>
            <w:r w:rsidRPr="00814856">
              <w:t>Includes</w:t>
            </w:r>
            <w:r w:rsidRPr="00F91326">
              <w:t xml:space="preserve"> all information that is necessary for the user to understand the underlying economic event being depicted </w:t>
            </w:r>
          </w:p>
        </w:tc>
      </w:tr>
      <w:tr w:rsidR="00F91326" w:rsidRPr="00F91326" w14:paraId="73C95B63" w14:textId="77777777" w:rsidTr="00F91326">
        <w:tc>
          <w:tcPr>
            <w:tcW w:w="3078" w:type="dxa"/>
            <w:tcBorders>
              <w:right w:val="single" w:sz="4" w:space="0" w:color="auto"/>
            </w:tcBorders>
          </w:tcPr>
          <w:p w14:paraId="04E2D9DB" w14:textId="77777777" w:rsidR="00F91326" w:rsidRPr="00F91326" w:rsidRDefault="00F91326" w:rsidP="00814856">
            <w:pPr>
              <w:pStyle w:val="NL"/>
            </w:pPr>
            <w:r w:rsidRPr="00F91326">
              <w:t>2. Neutral</w:t>
            </w:r>
          </w:p>
        </w:tc>
        <w:tc>
          <w:tcPr>
            <w:tcW w:w="6498" w:type="dxa"/>
            <w:tcBorders>
              <w:left w:val="single" w:sz="4" w:space="0" w:color="auto"/>
            </w:tcBorders>
          </w:tcPr>
          <w:p w14:paraId="0DCC5AF0" w14:textId="77777777" w:rsidR="00F91326" w:rsidRPr="00F91326" w:rsidRDefault="00F91326" w:rsidP="00814856">
            <w:pPr>
              <w:pStyle w:val="NL"/>
            </w:pPr>
            <w:r w:rsidRPr="00F91326">
              <w:t xml:space="preserve">A. </w:t>
            </w:r>
            <w:r w:rsidR="00814856">
              <w:tab/>
            </w:r>
            <w:r w:rsidRPr="00F91326">
              <w:t>Information is free from bias in both selection and presentation of financial data</w:t>
            </w:r>
          </w:p>
        </w:tc>
      </w:tr>
      <w:tr w:rsidR="00F91326" w:rsidRPr="00F91326" w14:paraId="03D9781C" w14:textId="77777777" w:rsidTr="00F91326">
        <w:tc>
          <w:tcPr>
            <w:tcW w:w="3078" w:type="dxa"/>
            <w:tcBorders>
              <w:right w:val="single" w:sz="4" w:space="0" w:color="auto"/>
            </w:tcBorders>
          </w:tcPr>
          <w:p w14:paraId="0EC3D9A2" w14:textId="77777777" w:rsidR="00F91326" w:rsidRPr="00F91326" w:rsidRDefault="00F91326" w:rsidP="00814856">
            <w:pPr>
              <w:pStyle w:val="NL"/>
            </w:pPr>
            <w:r w:rsidRPr="00F91326">
              <w:t xml:space="preserve">3. Free from error </w:t>
            </w:r>
          </w:p>
          <w:p w14:paraId="0A80C84A" w14:textId="77777777" w:rsidR="00F91326" w:rsidRPr="00F91326" w:rsidRDefault="00F91326" w:rsidP="00814856">
            <w:pPr>
              <w:pStyle w:val="NL"/>
            </w:pPr>
          </w:p>
        </w:tc>
        <w:tc>
          <w:tcPr>
            <w:tcW w:w="6498" w:type="dxa"/>
            <w:tcBorders>
              <w:left w:val="single" w:sz="4" w:space="0" w:color="auto"/>
            </w:tcBorders>
          </w:tcPr>
          <w:p w14:paraId="09906759" w14:textId="77777777" w:rsidR="00F91326" w:rsidRPr="00F91326" w:rsidRDefault="00F91326" w:rsidP="00814856">
            <w:pPr>
              <w:pStyle w:val="NL"/>
            </w:pPr>
            <w:r w:rsidRPr="00F91326">
              <w:t>B.</w:t>
            </w:r>
            <w:r w:rsidR="00814856">
              <w:tab/>
            </w:r>
            <w:r w:rsidRPr="00F91326">
              <w:t xml:space="preserve"> Information should not contain errors or omissions in the description of the economic event and there are no errors in the process used to produce the financial information</w:t>
            </w:r>
          </w:p>
        </w:tc>
      </w:tr>
    </w:tbl>
    <w:p w14:paraId="48E1752E" w14:textId="3FDFAB7F" w:rsidR="000F3346" w:rsidRDefault="00310ABE" w:rsidP="00053F05">
      <w:pPr>
        <w:pStyle w:val="TextBasic"/>
        <w:keepNext/>
        <w:spacing w:after="120"/>
        <w:rPr>
          <w:b/>
        </w:rPr>
      </w:pPr>
      <w:r>
        <w:rPr>
          <w:b/>
        </w:rPr>
        <w:t>Solution to BE2-11</w:t>
      </w:r>
    </w:p>
    <w:p w14:paraId="0C594998" w14:textId="77777777" w:rsidR="00F91326" w:rsidRPr="00F91326" w:rsidRDefault="00F91326" w:rsidP="00053F05">
      <w:pPr>
        <w:pStyle w:val="TextBasic"/>
        <w:keepNext/>
        <w:spacing w:after="120"/>
      </w:pPr>
      <w:r w:rsidRPr="00F91326">
        <w:t>The Enhancing Characteristic is matched with its definition:</w:t>
      </w:r>
    </w:p>
    <w:tbl>
      <w:tblPr>
        <w:tblW w:w="0" w:type="auto"/>
        <w:tblLook w:val="04A0" w:firstRow="1" w:lastRow="0" w:firstColumn="1" w:lastColumn="0" w:noHBand="0" w:noVBand="1"/>
      </w:tblPr>
      <w:tblGrid>
        <w:gridCol w:w="3045"/>
        <w:gridCol w:w="6315"/>
      </w:tblGrid>
      <w:tr w:rsidR="00F91326" w:rsidRPr="00F91326" w14:paraId="04BA9C87" w14:textId="77777777" w:rsidTr="00F91326">
        <w:tc>
          <w:tcPr>
            <w:tcW w:w="3078" w:type="dxa"/>
            <w:tcBorders>
              <w:bottom w:val="single" w:sz="4" w:space="0" w:color="auto"/>
            </w:tcBorders>
          </w:tcPr>
          <w:p w14:paraId="58690490" w14:textId="77777777" w:rsidR="00F91326" w:rsidRPr="00F91326" w:rsidRDefault="00F91326" w:rsidP="00053F05">
            <w:pPr>
              <w:pStyle w:val="TCH"/>
              <w:keepNext/>
            </w:pPr>
            <w:r w:rsidRPr="00F91326">
              <w:t>Enhancing Characteristic</w:t>
            </w:r>
          </w:p>
        </w:tc>
        <w:tc>
          <w:tcPr>
            <w:tcW w:w="6498" w:type="dxa"/>
            <w:tcBorders>
              <w:bottom w:val="single" w:sz="4" w:space="0" w:color="auto"/>
            </w:tcBorders>
          </w:tcPr>
          <w:p w14:paraId="4FE0F8EE" w14:textId="77777777" w:rsidR="00F91326" w:rsidRPr="00F91326" w:rsidRDefault="00F91326" w:rsidP="00053F05">
            <w:pPr>
              <w:pStyle w:val="TCH"/>
              <w:keepNext/>
            </w:pPr>
            <w:r w:rsidRPr="00F91326">
              <w:t>Definition</w:t>
            </w:r>
          </w:p>
        </w:tc>
      </w:tr>
      <w:tr w:rsidR="00F91326" w:rsidRPr="00F91326" w14:paraId="314A61B7" w14:textId="77777777" w:rsidTr="00F91326">
        <w:tc>
          <w:tcPr>
            <w:tcW w:w="3078" w:type="dxa"/>
            <w:tcBorders>
              <w:top w:val="single" w:sz="4" w:space="0" w:color="auto"/>
              <w:right w:val="single" w:sz="4" w:space="0" w:color="auto"/>
            </w:tcBorders>
          </w:tcPr>
          <w:p w14:paraId="0613A743" w14:textId="77777777" w:rsidR="00F91326" w:rsidRPr="00F91326" w:rsidRDefault="00F91326" w:rsidP="00053F05">
            <w:pPr>
              <w:pStyle w:val="NL"/>
              <w:keepNext/>
            </w:pPr>
            <w:r>
              <w:t>1.</w:t>
            </w:r>
            <w:r>
              <w:tab/>
            </w:r>
            <w:r w:rsidRPr="00F91326">
              <w:t>Comparability</w:t>
            </w:r>
          </w:p>
        </w:tc>
        <w:tc>
          <w:tcPr>
            <w:tcW w:w="6498" w:type="dxa"/>
            <w:tcBorders>
              <w:top w:val="single" w:sz="4" w:space="0" w:color="auto"/>
              <w:left w:val="single" w:sz="4" w:space="0" w:color="auto"/>
            </w:tcBorders>
          </w:tcPr>
          <w:p w14:paraId="3B045C01" w14:textId="77777777" w:rsidR="00F91326" w:rsidRPr="00F91326" w:rsidRDefault="00F91326" w:rsidP="00053F05">
            <w:pPr>
              <w:pStyle w:val="NL"/>
              <w:keepNext/>
            </w:pPr>
            <w:r w:rsidRPr="00F91326">
              <w:t>C.</w:t>
            </w:r>
            <w:r>
              <w:tab/>
            </w:r>
            <w:r w:rsidRPr="00F91326">
              <w:t>Users of the financial statements can identify and understand similarities and differences between different entities</w:t>
            </w:r>
          </w:p>
        </w:tc>
      </w:tr>
      <w:tr w:rsidR="00F91326" w:rsidRPr="00F91326" w14:paraId="424A1C3B" w14:textId="77777777" w:rsidTr="00F91326">
        <w:tc>
          <w:tcPr>
            <w:tcW w:w="3078" w:type="dxa"/>
            <w:tcBorders>
              <w:right w:val="single" w:sz="4" w:space="0" w:color="auto"/>
            </w:tcBorders>
          </w:tcPr>
          <w:p w14:paraId="0D936AAC" w14:textId="77777777" w:rsidR="00F91326" w:rsidRPr="00F91326" w:rsidRDefault="00F91326" w:rsidP="00814856">
            <w:pPr>
              <w:pStyle w:val="NL"/>
            </w:pPr>
            <w:r>
              <w:t>2.</w:t>
            </w:r>
            <w:r>
              <w:tab/>
            </w:r>
            <w:r w:rsidRPr="00F91326">
              <w:t>Verifiability</w:t>
            </w:r>
          </w:p>
        </w:tc>
        <w:tc>
          <w:tcPr>
            <w:tcW w:w="6498" w:type="dxa"/>
            <w:tcBorders>
              <w:left w:val="single" w:sz="4" w:space="0" w:color="auto"/>
            </w:tcBorders>
          </w:tcPr>
          <w:p w14:paraId="6B6FFD02" w14:textId="77777777" w:rsidR="00F91326" w:rsidRPr="00F91326" w:rsidRDefault="00F91326" w:rsidP="00814856">
            <w:pPr>
              <w:pStyle w:val="NL"/>
            </w:pPr>
            <w:r w:rsidRPr="00F91326">
              <w:t>A.</w:t>
            </w:r>
            <w:r>
              <w:tab/>
            </w:r>
            <w:r w:rsidRPr="00F91326">
              <w:t>Different knowledgeable parties could reach a consensus that a particular depiction is a faithful representation</w:t>
            </w:r>
            <w:r w:rsidR="00424A7B">
              <w:t xml:space="preserve"> </w:t>
            </w:r>
          </w:p>
        </w:tc>
      </w:tr>
      <w:tr w:rsidR="00F91326" w:rsidRPr="00F91326" w14:paraId="4BACC3B3" w14:textId="77777777" w:rsidTr="00F91326">
        <w:tc>
          <w:tcPr>
            <w:tcW w:w="3078" w:type="dxa"/>
            <w:tcBorders>
              <w:right w:val="single" w:sz="4" w:space="0" w:color="auto"/>
            </w:tcBorders>
          </w:tcPr>
          <w:p w14:paraId="3029C97E" w14:textId="77777777" w:rsidR="00F91326" w:rsidRPr="00F91326" w:rsidRDefault="00F91326" w:rsidP="00814856">
            <w:pPr>
              <w:pStyle w:val="NL"/>
            </w:pPr>
            <w:r>
              <w:t>3.</w:t>
            </w:r>
            <w:r>
              <w:tab/>
            </w:r>
            <w:r w:rsidRPr="00F91326">
              <w:t>Timely</w:t>
            </w:r>
          </w:p>
        </w:tc>
        <w:tc>
          <w:tcPr>
            <w:tcW w:w="6498" w:type="dxa"/>
            <w:tcBorders>
              <w:left w:val="single" w:sz="4" w:space="0" w:color="auto"/>
            </w:tcBorders>
          </w:tcPr>
          <w:p w14:paraId="4E23BA3E" w14:textId="77777777" w:rsidR="00F91326" w:rsidRPr="00F91326" w:rsidRDefault="00F91326" w:rsidP="00814856">
            <w:pPr>
              <w:pStyle w:val="NL"/>
            </w:pPr>
            <w:r>
              <w:t>D.</w:t>
            </w:r>
            <w:r>
              <w:tab/>
            </w:r>
            <w:r w:rsidRPr="00F91326">
              <w:t>Information is available to financial statements users soon enough to be useful</w:t>
            </w:r>
          </w:p>
        </w:tc>
      </w:tr>
      <w:tr w:rsidR="00F91326" w:rsidRPr="00F91326" w14:paraId="34BC3783" w14:textId="77777777" w:rsidTr="00F91326">
        <w:tc>
          <w:tcPr>
            <w:tcW w:w="3078" w:type="dxa"/>
            <w:tcBorders>
              <w:right w:val="single" w:sz="4" w:space="0" w:color="auto"/>
            </w:tcBorders>
          </w:tcPr>
          <w:p w14:paraId="3DDC8870" w14:textId="77777777" w:rsidR="00F91326" w:rsidRPr="00F91326" w:rsidRDefault="00F91326" w:rsidP="00814856">
            <w:pPr>
              <w:pStyle w:val="NL"/>
            </w:pPr>
            <w:r>
              <w:t>4.</w:t>
            </w:r>
            <w:r>
              <w:tab/>
            </w:r>
            <w:r w:rsidRPr="00F91326">
              <w:t>Understandable</w:t>
            </w:r>
          </w:p>
        </w:tc>
        <w:tc>
          <w:tcPr>
            <w:tcW w:w="6498" w:type="dxa"/>
            <w:tcBorders>
              <w:left w:val="single" w:sz="4" w:space="0" w:color="auto"/>
            </w:tcBorders>
          </w:tcPr>
          <w:p w14:paraId="506B056E" w14:textId="77777777" w:rsidR="00F91326" w:rsidRPr="00F91326" w:rsidRDefault="00F91326" w:rsidP="00814856">
            <w:pPr>
              <w:pStyle w:val="NL"/>
            </w:pPr>
            <w:r>
              <w:t>B.</w:t>
            </w:r>
            <w:r>
              <w:tab/>
              <w:t>I</w:t>
            </w:r>
            <w:r w:rsidRPr="00F91326">
              <w:t>nformation is classified, characterized and presented clearly</w:t>
            </w:r>
          </w:p>
        </w:tc>
      </w:tr>
    </w:tbl>
    <w:p w14:paraId="6CE4F39E" w14:textId="77777777" w:rsidR="007841F7" w:rsidRDefault="007841F7" w:rsidP="00450A41">
      <w:pPr>
        <w:pStyle w:val="TextBasic"/>
        <w:rPr>
          <w:b/>
        </w:rPr>
      </w:pPr>
    </w:p>
    <w:p w14:paraId="3D54496F" w14:textId="77777777" w:rsidR="007841F7" w:rsidRDefault="007841F7">
      <w:pPr>
        <w:rPr>
          <w:rFonts w:ascii="Avenir LT Std 45 Book" w:hAnsi="Avenir LT Std 45 Book" w:cs="Arial"/>
          <w:b/>
          <w:bCs/>
          <w:iCs/>
          <w:sz w:val="24"/>
          <w:szCs w:val="24"/>
        </w:rPr>
      </w:pPr>
      <w:r>
        <w:rPr>
          <w:b/>
        </w:rPr>
        <w:br w:type="page"/>
      </w:r>
    </w:p>
    <w:p w14:paraId="33AA5B4E" w14:textId="2662F4C1" w:rsidR="000F3346" w:rsidRDefault="00310ABE" w:rsidP="00450A41">
      <w:pPr>
        <w:pStyle w:val="TextBasic"/>
        <w:rPr>
          <w:b/>
        </w:rPr>
      </w:pPr>
      <w:r>
        <w:rPr>
          <w:b/>
        </w:rPr>
        <w:t>Solution to BE2-12</w:t>
      </w:r>
    </w:p>
    <w:p w14:paraId="297D9A73" w14:textId="77777777" w:rsidR="00F91326" w:rsidRPr="00F91326" w:rsidRDefault="00F91326" w:rsidP="00450A41">
      <w:pPr>
        <w:pStyle w:val="TextBasic"/>
      </w:pPr>
      <w:r w:rsidRPr="00F91326">
        <w:t>Revenues are inflows or other enhancements of assets of an entity or settlements of its liabilities (or a combination of both) from delivering or producing goods, rendering services, or other activities that constitute the entity's ongoing major or central operations.</w:t>
      </w:r>
      <w:r w:rsidR="00424A7B">
        <w:t xml:space="preserve"> </w:t>
      </w:r>
      <w:r w:rsidRPr="00F91326">
        <w:t>Gains are increases in equity (net assets) from peripheral or incidental transactions of an entity and from all other transactions and other events and circumstances affecting the entity except those that result from revenues or investments by owners.</w:t>
      </w:r>
    </w:p>
    <w:p w14:paraId="529B02D2" w14:textId="7FC22C44" w:rsidR="000F3346" w:rsidRDefault="00310ABE" w:rsidP="00407DF1">
      <w:pPr>
        <w:pStyle w:val="TextBasic"/>
        <w:keepNext/>
        <w:rPr>
          <w:b/>
        </w:rPr>
      </w:pPr>
      <w:r>
        <w:rPr>
          <w:b/>
        </w:rPr>
        <w:t>Solution to BE2-13</w:t>
      </w:r>
    </w:p>
    <w:p w14:paraId="1FC81259" w14:textId="77777777" w:rsidR="00F91326" w:rsidRPr="00F91326" w:rsidRDefault="00F91326" w:rsidP="00450A41">
      <w:pPr>
        <w:pStyle w:val="TextBasic"/>
      </w:pPr>
      <w:r w:rsidRPr="00F91326">
        <w:t>IFRS defines capital maintenance adjustments as revaluations</w:t>
      </w:r>
      <w:r w:rsidR="00424A7B">
        <w:t xml:space="preserve"> </w:t>
      </w:r>
      <w:r w:rsidRPr="00F91326">
        <w:t>or restatements of reported amounts of assets and liabilities.</w:t>
      </w:r>
      <w:r w:rsidR="00424A7B">
        <w:t xml:space="preserve"> </w:t>
      </w:r>
      <w:r w:rsidRPr="00F91326">
        <w:t>The revaluation or restatement of assets and liabilities gives rise to increases or decreases in equity. Upward revaluations are included in equity as capital maintenance adjustments or revaluation reserves. The adjustments are typically reported in other comprehensive income. Downward revaluations are included in net income.</w:t>
      </w:r>
    </w:p>
    <w:p w14:paraId="5974B4ED" w14:textId="608A3F2A" w:rsidR="000F3346" w:rsidRDefault="00310ABE" w:rsidP="00450A41">
      <w:pPr>
        <w:pStyle w:val="TextBasic"/>
        <w:rPr>
          <w:b/>
        </w:rPr>
      </w:pPr>
      <w:r>
        <w:rPr>
          <w:b/>
        </w:rPr>
        <w:t>Solution to BE2-14</w:t>
      </w:r>
    </w:p>
    <w:p w14:paraId="6D4DC4B5" w14:textId="77777777" w:rsidR="00F91326" w:rsidRPr="00F91326" w:rsidRDefault="00F91326" w:rsidP="00450A41">
      <w:pPr>
        <w:pStyle w:val="TextBasic"/>
      </w:pPr>
      <w:r w:rsidRPr="00F91326">
        <w:t>Expense recognition involves the timing of when an expense is reported on the income statement.</w:t>
      </w:r>
      <w:r w:rsidR="00424A7B">
        <w:t xml:space="preserve"> </w:t>
      </w:r>
      <w:r w:rsidRPr="00F91326">
        <w:t>There are three approaches used that include: (1) matching expenses such as cost of goods sold with revenues, (2) recording expenses in the period incurred such as wages, and (3) systematically allocating a cost over several years such as depreciation expense or amortization expense. Some expenses are matched with their related revenues. A good example of this is cost of goods sold.</w:t>
      </w:r>
      <w:r w:rsidR="00424A7B">
        <w:t xml:space="preserve"> </w:t>
      </w:r>
      <w:r w:rsidRPr="00F91326">
        <w:t>This expense is directly matched with the goods that are sold and recognized during the same period. Some expenses are recorded in the period in which they are incurred.</w:t>
      </w:r>
      <w:r w:rsidR="00424A7B">
        <w:t xml:space="preserve"> </w:t>
      </w:r>
      <w:r w:rsidRPr="00F91326">
        <w:t>For example, the salary of a salesperson is recorded in the period worked. Some expenses are allocated systematically over the periods during which the related asset provides benefit.</w:t>
      </w:r>
      <w:r w:rsidR="00424A7B">
        <w:t xml:space="preserve"> </w:t>
      </w:r>
      <w:r w:rsidRPr="00F91326">
        <w:t xml:space="preserve">For example, a building is depreciated (i.e., expensed) over the periods that it will provide a benefit to the entity. </w:t>
      </w:r>
    </w:p>
    <w:p w14:paraId="5B804113" w14:textId="27B98B6F" w:rsidR="00F91326" w:rsidRPr="00F91326" w:rsidRDefault="00F91326" w:rsidP="00F91326">
      <w:pPr>
        <w:pStyle w:val="BheadSolutionNumber"/>
      </w:pPr>
      <w:r w:rsidRPr="00F91326">
        <w:t xml:space="preserve">Solution to </w:t>
      </w:r>
      <w:r w:rsidR="00310ABE">
        <w:t>BE2-15</w:t>
      </w:r>
      <w:r w:rsidRPr="00F91326">
        <w:t xml:space="preserve"> </w:t>
      </w:r>
    </w:p>
    <w:tbl>
      <w:tblPr>
        <w:tblW w:w="0" w:type="auto"/>
        <w:tblLook w:val="04A0" w:firstRow="1" w:lastRow="0" w:firstColumn="1" w:lastColumn="0" w:noHBand="0" w:noVBand="1"/>
      </w:tblPr>
      <w:tblGrid>
        <w:gridCol w:w="1367"/>
        <w:gridCol w:w="270"/>
        <w:gridCol w:w="7723"/>
      </w:tblGrid>
      <w:tr w:rsidR="00F91326" w:rsidRPr="00F91326" w14:paraId="63F8BBEE" w14:textId="77777777" w:rsidTr="00814856">
        <w:tc>
          <w:tcPr>
            <w:tcW w:w="1368" w:type="dxa"/>
            <w:tcBorders>
              <w:bottom w:val="single" w:sz="4" w:space="0" w:color="auto"/>
              <w:right w:val="single" w:sz="4" w:space="0" w:color="auto"/>
            </w:tcBorders>
          </w:tcPr>
          <w:p w14:paraId="624D5057" w14:textId="77777777" w:rsidR="00F91326" w:rsidRPr="00F91326" w:rsidRDefault="00F91326" w:rsidP="00F91326">
            <w:pPr>
              <w:pStyle w:val="TCH"/>
              <w:jc w:val="left"/>
            </w:pPr>
            <w:r w:rsidRPr="00F91326">
              <w:t>Element</w:t>
            </w:r>
          </w:p>
        </w:tc>
        <w:tc>
          <w:tcPr>
            <w:tcW w:w="270" w:type="dxa"/>
            <w:tcBorders>
              <w:left w:val="single" w:sz="4" w:space="0" w:color="auto"/>
              <w:bottom w:val="single" w:sz="4" w:space="0" w:color="auto"/>
            </w:tcBorders>
          </w:tcPr>
          <w:p w14:paraId="4B0FFCA9" w14:textId="77777777" w:rsidR="00F91326" w:rsidRPr="00F91326" w:rsidRDefault="00F91326" w:rsidP="00F91326">
            <w:pPr>
              <w:pStyle w:val="TCH"/>
            </w:pPr>
          </w:p>
        </w:tc>
        <w:tc>
          <w:tcPr>
            <w:tcW w:w="7740" w:type="dxa"/>
            <w:tcBorders>
              <w:bottom w:val="single" w:sz="4" w:space="0" w:color="auto"/>
            </w:tcBorders>
            <w:vAlign w:val="bottom"/>
          </w:tcPr>
          <w:p w14:paraId="3F5CBE2E" w14:textId="77777777" w:rsidR="00F91326" w:rsidRPr="00F91326" w:rsidRDefault="00F91326" w:rsidP="00F91326">
            <w:pPr>
              <w:pStyle w:val="TCH"/>
            </w:pPr>
            <w:r w:rsidRPr="00F91326">
              <w:t>Definition</w:t>
            </w:r>
          </w:p>
        </w:tc>
      </w:tr>
      <w:tr w:rsidR="00F91326" w:rsidRPr="00F91326" w14:paraId="6B60C160" w14:textId="77777777" w:rsidTr="00814856">
        <w:tc>
          <w:tcPr>
            <w:tcW w:w="1368" w:type="dxa"/>
            <w:tcBorders>
              <w:top w:val="single" w:sz="4" w:space="0" w:color="auto"/>
              <w:right w:val="single" w:sz="4" w:space="0" w:color="auto"/>
            </w:tcBorders>
          </w:tcPr>
          <w:p w14:paraId="584E95C4" w14:textId="77777777" w:rsidR="00F91326" w:rsidRPr="00F91326" w:rsidRDefault="00F91326" w:rsidP="00450A41">
            <w:pPr>
              <w:pStyle w:val="TextBasic"/>
            </w:pPr>
            <w:r w:rsidRPr="00F91326">
              <w:t>Liabilities</w:t>
            </w:r>
          </w:p>
        </w:tc>
        <w:tc>
          <w:tcPr>
            <w:tcW w:w="270" w:type="dxa"/>
            <w:tcBorders>
              <w:top w:val="single" w:sz="4" w:space="0" w:color="auto"/>
              <w:left w:val="single" w:sz="4" w:space="0" w:color="auto"/>
            </w:tcBorders>
            <w:vAlign w:val="bottom"/>
          </w:tcPr>
          <w:p w14:paraId="59D46727" w14:textId="77777777" w:rsidR="00F91326" w:rsidRPr="00F91326" w:rsidRDefault="00F91326" w:rsidP="00450A41">
            <w:pPr>
              <w:pStyle w:val="TextBasic"/>
            </w:pPr>
          </w:p>
        </w:tc>
        <w:tc>
          <w:tcPr>
            <w:tcW w:w="7740" w:type="dxa"/>
            <w:tcBorders>
              <w:top w:val="single" w:sz="4" w:space="0" w:color="auto"/>
            </w:tcBorders>
          </w:tcPr>
          <w:p w14:paraId="44863309" w14:textId="77777777" w:rsidR="00F91326" w:rsidRPr="00F91326" w:rsidRDefault="00F91326" w:rsidP="00450A41">
            <w:pPr>
              <w:pStyle w:val="TextBasic"/>
            </w:pPr>
            <w:r w:rsidRPr="00F91326">
              <w:t xml:space="preserve">Probable future sacrifices of economic benefits arising from present obligations of a particular entity to transfer assets or provide services to other entities in the future as a result of past transactions or events. </w:t>
            </w:r>
          </w:p>
        </w:tc>
      </w:tr>
      <w:tr w:rsidR="00F91326" w:rsidRPr="00F91326" w14:paraId="17E8681D" w14:textId="77777777" w:rsidTr="00814856">
        <w:tc>
          <w:tcPr>
            <w:tcW w:w="1368" w:type="dxa"/>
            <w:tcBorders>
              <w:right w:val="single" w:sz="4" w:space="0" w:color="auto"/>
            </w:tcBorders>
          </w:tcPr>
          <w:p w14:paraId="79E7694C" w14:textId="77777777" w:rsidR="00F91326" w:rsidRPr="00F91326" w:rsidRDefault="00F91326" w:rsidP="00450A41">
            <w:pPr>
              <w:pStyle w:val="TextBasic"/>
            </w:pPr>
            <w:r w:rsidRPr="00F91326">
              <w:t>Equity</w:t>
            </w:r>
          </w:p>
        </w:tc>
        <w:tc>
          <w:tcPr>
            <w:tcW w:w="270" w:type="dxa"/>
            <w:tcBorders>
              <w:left w:val="single" w:sz="4" w:space="0" w:color="auto"/>
            </w:tcBorders>
            <w:vAlign w:val="bottom"/>
          </w:tcPr>
          <w:p w14:paraId="3DBF7854" w14:textId="77777777" w:rsidR="00F91326" w:rsidRPr="00F91326" w:rsidRDefault="00F91326" w:rsidP="00450A41">
            <w:pPr>
              <w:pStyle w:val="TextBasic"/>
            </w:pPr>
          </w:p>
        </w:tc>
        <w:tc>
          <w:tcPr>
            <w:tcW w:w="7740" w:type="dxa"/>
          </w:tcPr>
          <w:p w14:paraId="757801C2" w14:textId="77777777" w:rsidR="00F91326" w:rsidRPr="00F91326" w:rsidRDefault="00F91326" w:rsidP="00450A41">
            <w:pPr>
              <w:pStyle w:val="TextBasic"/>
            </w:pPr>
            <w:r w:rsidRPr="00F91326">
              <w:t>The net assets are the residual interest in the assets of an entity that remains after deducting its liabilities.</w:t>
            </w:r>
          </w:p>
        </w:tc>
      </w:tr>
      <w:tr w:rsidR="00F91326" w:rsidRPr="00F91326" w14:paraId="2FEA25F7" w14:textId="77777777" w:rsidTr="00814856">
        <w:tc>
          <w:tcPr>
            <w:tcW w:w="1368" w:type="dxa"/>
            <w:tcBorders>
              <w:right w:val="single" w:sz="4" w:space="0" w:color="auto"/>
            </w:tcBorders>
          </w:tcPr>
          <w:p w14:paraId="49EEE518" w14:textId="77777777" w:rsidR="00F91326" w:rsidRPr="00F91326" w:rsidRDefault="00F91326" w:rsidP="00450A41">
            <w:pPr>
              <w:pStyle w:val="TextBasic"/>
            </w:pPr>
            <w:r w:rsidRPr="00F91326">
              <w:t>Assets</w:t>
            </w:r>
          </w:p>
        </w:tc>
        <w:tc>
          <w:tcPr>
            <w:tcW w:w="270" w:type="dxa"/>
            <w:tcBorders>
              <w:left w:val="single" w:sz="4" w:space="0" w:color="auto"/>
            </w:tcBorders>
            <w:vAlign w:val="bottom"/>
          </w:tcPr>
          <w:p w14:paraId="6CD7AB46" w14:textId="77777777" w:rsidR="00F91326" w:rsidRPr="00F91326" w:rsidRDefault="00F91326" w:rsidP="00450A41">
            <w:pPr>
              <w:pStyle w:val="TextBasic"/>
            </w:pPr>
          </w:p>
        </w:tc>
        <w:tc>
          <w:tcPr>
            <w:tcW w:w="7740" w:type="dxa"/>
          </w:tcPr>
          <w:p w14:paraId="28D2894D" w14:textId="77777777" w:rsidR="00F91326" w:rsidRPr="00F91326" w:rsidRDefault="00F91326" w:rsidP="00450A41">
            <w:pPr>
              <w:pStyle w:val="TextBasic"/>
            </w:pPr>
            <w:r w:rsidRPr="00F91326">
              <w:t xml:space="preserve">Probable future economic benefits obtained or controlled by a particular entity as a result of past transactions or events. </w:t>
            </w:r>
          </w:p>
        </w:tc>
      </w:tr>
    </w:tbl>
    <w:p w14:paraId="44BF4A26" w14:textId="77777777" w:rsidR="000F3346" w:rsidRDefault="000F3346" w:rsidP="00F91326">
      <w:pPr>
        <w:pStyle w:val="BheadSolutionNumber"/>
      </w:pPr>
    </w:p>
    <w:p w14:paraId="798C7057" w14:textId="77777777" w:rsidR="000F3346" w:rsidRDefault="000F3346" w:rsidP="000F3346">
      <w:pPr>
        <w:rPr>
          <w:rFonts w:ascii="Avenir LT Std 45 Book" w:hAnsi="Avenir LT Std 45 Book" w:cs="Arial"/>
          <w:sz w:val="24"/>
          <w:szCs w:val="24"/>
        </w:rPr>
      </w:pPr>
      <w:r>
        <w:br w:type="page"/>
      </w:r>
    </w:p>
    <w:p w14:paraId="1BBE9FF6" w14:textId="360E30F9" w:rsidR="000F3346" w:rsidRPr="00F91326" w:rsidRDefault="00F91326" w:rsidP="00F91326">
      <w:pPr>
        <w:pStyle w:val="BheadSolutionNumber"/>
      </w:pPr>
      <w:r w:rsidRPr="00F91326">
        <w:t>Solution to BE2-1</w:t>
      </w:r>
      <w:r w:rsidR="00310ABE">
        <w:t>6</w:t>
      </w:r>
    </w:p>
    <w:tbl>
      <w:tblPr>
        <w:tblW w:w="9738" w:type="dxa"/>
        <w:tblLook w:val="04A0" w:firstRow="1" w:lastRow="0" w:firstColumn="1" w:lastColumn="0" w:noHBand="0" w:noVBand="1"/>
      </w:tblPr>
      <w:tblGrid>
        <w:gridCol w:w="2448"/>
        <w:gridCol w:w="7290"/>
      </w:tblGrid>
      <w:tr w:rsidR="00F91326" w:rsidRPr="00F91326" w14:paraId="2662529F" w14:textId="77777777" w:rsidTr="00053F05">
        <w:trPr>
          <w:tblHeader/>
        </w:trPr>
        <w:tc>
          <w:tcPr>
            <w:tcW w:w="2448" w:type="dxa"/>
            <w:tcBorders>
              <w:bottom w:val="single" w:sz="4" w:space="0" w:color="auto"/>
              <w:right w:val="single" w:sz="4" w:space="0" w:color="auto"/>
            </w:tcBorders>
          </w:tcPr>
          <w:p w14:paraId="7B0B58A3" w14:textId="77777777" w:rsidR="00F91326" w:rsidRPr="00F91326" w:rsidRDefault="00F91326" w:rsidP="00F91326">
            <w:pPr>
              <w:pStyle w:val="TCH"/>
            </w:pPr>
            <w:r w:rsidRPr="00F91326">
              <w:t>Element</w:t>
            </w:r>
          </w:p>
        </w:tc>
        <w:tc>
          <w:tcPr>
            <w:tcW w:w="7290" w:type="dxa"/>
            <w:tcBorders>
              <w:left w:val="single" w:sz="4" w:space="0" w:color="auto"/>
              <w:bottom w:val="single" w:sz="4" w:space="0" w:color="auto"/>
            </w:tcBorders>
          </w:tcPr>
          <w:p w14:paraId="7D544EDC" w14:textId="77777777" w:rsidR="00F91326" w:rsidRPr="00F91326" w:rsidRDefault="00F91326" w:rsidP="00F91326">
            <w:pPr>
              <w:pStyle w:val="TCH"/>
            </w:pPr>
            <w:r w:rsidRPr="00F91326">
              <w:t>U.S. GAAP Definition</w:t>
            </w:r>
          </w:p>
        </w:tc>
      </w:tr>
      <w:tr w:rsidR="00F91326" w:rsidRPr="00F91326" w14:paraId="7BAAF847" w14:textId="77777777" w:rsidTr="00F91326">
        <w:tc>
          <w:tcPr>
            <w:tcW w:w="2448" w:type="dxa"/>
            <w:tcBorders>
              <w:top w:val="single" w:sz="4" w:space="0" w:color="auto"/>
              <w:right w:val="single" w:sz="4" w:space="0" w:color="auto"/>
            </w:tcBorders>
          </w:tcPr>
          <w:p w14:paraId="25086B9D" w14:textId="77777777" w:rsidR="00F91326" w:rsidRPr="00F91326" w:rsidRDefault="00F91326" w:rsidP="00814856">
            <w:pPr>
              <w:pStyle w:val="NL"/>
            </w:pPr>
            <w:r>
              <w:t>1.</w:t>
            </w:r>
            <w:r>
              <w:tab/>
            </w:r>
            <w:r w:rsidRPr="00F91326">
              <w:t>Gains</w:t>
            </w:r>
          </w:p>
        </w:tc>
        <w:tc>
          <w:tcPr>
            <w:tcW w:w="7290" w:type="dxa"/>
            <w:tcBorders>
              <w:top w:val="single" w:sz="4" w:space="0" w:color="auto"/>
              <w:left w:val="single" w:sz="4" w:space="0" w:color="auto"/>
            </w:tcBorders>
          </w:tcPr>
          <w:p w14:paraId="4F15354F" w14:textId="77777777" w:rsidR="00F91326" w:rsidRPr="00F91326" w:rsidRDefault="00F91326" w:rsidP="00814856">
            <w:pPr>
              <w:pStyle w:val="NL"/>
            </w:pPr>
            <w:r>
              <w:t>E.</w:t>
            </w:r>
            <w:r>
              <w:tab/>
            </w:r>
            <w:r w:rsidRPr="00F91326">
              <w:t>Increases in equity (net assets) from an entity’s peripheral or incidental transactions and from all other transactions and other events and circumstances affecting the entity except those that result from revenues or investments by owners.</w:t>
            </w:r>
          </w:p>
        </w:tc>
      </w:tr>
      <w:tr w:rsidR="00F91326" w:rsidRPr="00F91326" w14:paraId="02C9F58C" w14:textId="77777777" w:rsidTr="00F91326">
        <w:tc>
          <w:tcPr>
            <w:tcW w:w="2448" w:type="dxa"/>
            <w:tcBorders>
              <w:right w:val="single" w:sz="4" w:space="0" w:color="auto"/>
            </w:tcBorders>
          </w:tcPr>
          <w:p w14:paraId="6903C12A" w14:textId="77777777" w:rsidR="00F91326" w:rsidRPr="00F91326" w:rsidRDefault="00F91326" w:rsidP="00814856">
            <w:pPr>
              <w:pStyle w:val="NL"/>
            </w:pPr>
            <w:r>
              <w:t>2.</w:t>
            </w:r>
            <w:r>
              <w:tab/>
            </w:r>
            <w:r w:rsidRPr="00F91326">
              <w:t>Comprehensive income</w:t>
            </w:r>
          </w:p>
        </w:tc>
        <w:tc>
          <w:tcPr>
            <w:tcW w:w="7290" w:type="dxa"/>
            <w:tcBorders>
              <w:left w:val="single" w:sz="4" w:space="0" w:color="auto"/>
            </w:tcBorders>
          </w:tcPr>
          <w:p w14:paraId="50164E62" w14:textId="77777777" w:rsidR="00F91326" w:rsidRPr="00F91326" w:rsidRDefault="00F91326" w:rsidP="00814856">
            <w:pPr>
              <w:pStyle w:val="NL"/>
            </w:pPr>
            <w:r w:rsidRPr="00F91326">
              <w:t>C.</w:t>
            </w:r>
            <w:r>
              <w:tab/>
            </w:r>
            <w:r w:rsidRPr="00F91326">
              <w:t>The change in equity of a business enterprise during a period from transactions and other events and circumstances from nonowner sources. It includes all changes in equity during a period except those resulting from investments by owners and distributions to owners.</w:t>
            </w:r>
          </w:p>
        </w:tc>
      </w:tr>
      <w:tr w:rsidR="00F91326" w:rsidRPr="00F91326" w14:paraId="5DC263A0" w14:textId="77777777" w:rsidTr="00F91326">
        <w:tc>
          <w:tcPr>
            <w:tcW w:w="2448" w:type="dxa"/>
            <w:tcBorders>
              <w:right w:val="single" w:sz="4" w:space="0" w:color="auto"/>
            </w:tcBorders>
          </w:tcPr>
          <w:p w14:paraId="18DDBD93" w14:textId="77777777" w:rsidR="00F91326" w:rsidRPr="00F91326" w:rsidRDefault="00F91326" w:rsidP="00814856">
            <w:pPr>
              <w:pStyle w:val="NL"/>
            </w:pPr>
            <w:r>
              <w:t>3.</w:t>
            </w:r>
            <w:r>
              <w:tab/>
            </w:r>
            <w:r w:rsidRPr="00F91326">
              <w:t>Losses</w:t>
            </w:r>
          </w:p>
        </w:tc>
        <w:tc>
          <w:tcPr>
            <w:tcW w:w="7290" w:type="dxa"/>
            <w:tcBorders>
              <w:left w:val="single" w:sz="4" w:space="0" w:color="auto"/>
            </w:tcBorders>
          </w:tcPr>
          <w:p w14:paraId="0DBE6F59" w14:textId="77777777" w:rsidR="00F91326" w:rsidRPr="00F91326" w:rsidRDefault="00F91326" w:rsidP="00814856">
            <w:pPr>
              <w:pStyle w:val="NL"/>
            </w:pPr>
            <w:r>
              <w:t>F.</w:t>
            </w:r>
            <w:r>
              <w:tab/>
            </w:r>
            <w:r w:rsidRPr="00F91326">
              <w:t>Decreases in equity (net assets) from an entity’s peripheral or incidental transactions and from all other transactions and other events and circumstances affecting the entity except those that result from expenses or distributions to owners.</w:t>
            </w:r>
          </w:p>
        </w:tc>
      </w:tr>
      <w:tr w:rsidR="00F91326" w:rsidRPr="00F91326" w14:paraId="62384618" w14:textId="77777777" w:rsidTr="00F91326">
        <w:tc>
          <w:tcPr>
            <w:tcW w:w="2448" w:type="dxa"/>
            <w:tcBorders>
              <w:right w:val="single" w:sz="4" w:space="0" w:color="auto"/>
            </w:tcBorders>
          </w:tcPr>
          <w:p w14:paraId="0574D71B" w14:textId="77777777" w:rsidR="00F91326" w:rsidRPr="00F91326" w:rsidRDefault="00F91326" w:rsidP="00814856">
            <w:pPr>
              <w:pStyle w:val="NL"/>
            </w:pPr>
            <w:r>
              <w:t>4.</w:t>
            </w:r>
            <w:r>
              <w:tab/>
            </w:r>
            <w:r w:rsidRPr="00F91326">
              <w:t>Expenses</w:t>
            </w:r>
          </w:p>
        </w:tc>
        <w:tc>
          <w:tcPr>
            <w:tcW w:w="7290" w:type="dxa"/>
            <w:tcBorders>
              <w:left w:val="single" w:sz="4" w:space="0" w:color="auto"/>
            </w:tcBorders>
          </w:tcPr>
          <w:p w14:paraId="6E6CE273" w14:textId="77777777" w:rsidR="00F91326" w:rsidRPr="00F91326" w:rsidRDefault="00F91326" w:rsidP="00814856">
            <w:pPr>
              <w:pStyle w:val="NL"/>
            </w:pPr>
            <w:r>
              <w:t>A.</w:t>
            </w:r>
            <w:r>
              <w:tab/>
            </w:r>
            <w:r w:rsidRPr="00F91326">
              <w:t xml:space="preserve">Outflows or other consumption of assets or incurrences of liabilities (or a combination of both) from delivering or producing goods, rendering services, or carrying out other activities that constitute the entity's ongoing major or central operations. </w:t>
            </w:r>
          </w:p>
        </w:tc>
      </w:tr>
      <w:tr w:rsidR="00F91326" w:rsidRPr="00F91326" w14:paraId="19680069" w14:textId="77777777" w:rsidTr="00F91326">
        <w:tc>
          <w:tcPr>
            <w:tcW w:w="2448" w:type="dxa"/>
            <w:tcBorders>
              <w:right w:val="single" w:sz="4" w:space="0" w:color="auto"/>
            </w:tcBorders>
          </w:tcPr>
          <w:p w14:paraId="23E5EB59" w14:textId="77777777" w:rsidR="00F91326" w:rsidRPr="00F91326" w:rsidRDefault="00F91326" w:rsidP="00814856">
            <w:pPr>
              <w:pStyle w:val="NL"/>
            </w:pPr>
            <w:r>
              <w:t>5.</w:t>
            </w:r>
            <w:r>
              <w:tab/>
            </w:r>
            <w:r w:rsidRPr="00F91326">
              <w:t>Revenues</w:t>
            </w:r>
          </w:p>
        </w:tc>
        <w:tc>
          <w:tcPr>
            <w:tcW w:w="7290" w:type="dxa"/>
            <w:tcBorders>
              <w:left w:val="single" w:sz="4" w:space="0" w:color="auto"/>
            </w:tcBorders>
          </w:tcPr>
          <w:p w14:paraId="46828D00" w14:textId="77777777" w:rsidR="00F91326" w:rsidRPr="00F91326" w:rsidRDefault="00F91326" w:rsidP="00814856">
            <w:pPr>
              <w:pStyle w:val="NL"/>
            </w:pPr>
            <w:r>
              <w:t>B.</w:t>
            </w:r>
            <w:r>
              <w:tab/>
            </w:r>
            <w:r w:rsidRPr="00F91326">
              <w:t xml:space="preserve">Inflows or other enhancements of an entity’s assets or settlements of its liabilities (or a combination of both) from delivering or producing goods, rendering services, or other activities that constitute the entity's ongoing major or central operations. </w:t>
            </w:r>
          </w:p>
        </w:tc>
      </w:tr>
      <w:tr w:rsidR="00F91326" w:rsidRPr="00F91326" w14:paraId="13CD7FEC" w14:textId="77777777" w:rsidTr="00F91326">
        <w:trPr>
          <w:trHeight w:val="1358"/>
        </w:trPr>
        <w:tc>
          <w:tcPr>
            <w:tcW w:w="2448" w:type="dxa"/>
            <w:tcBorders>
              <w:right w:val="single" w:sz="4" w:space="0" w:color="auto"/>
            </w:tcBorders>
          </w:tcPr>
          <w:p w14:paraId="45E47397" w14:textId="77777777" w:rsidR="00F91326" w:rsidRPr="00F91326" w:rsidRDefault="00F91326" w:rsidP="00814856">
            <w:pPr>
              <w:pStyle w:val="NL"/>
            </w:pPr>
            <w:r>
              <w:t>6.</w:t>
            </w:r>
            <w:r>
              <w:tab/>
            </w:r>
            <w:r w:rsidRPr="00F91326">
              <w:t>Distributions to owners</w:t>
            </w:r>
          </w:p>
        </w:tc>
        <w:tc>
          <w:tcPr>
            <w:tcW w:w="7290" w:type="dxa"/>
            <w:tcBorders>
              <w:left w:val="single" w:sz="4" w:space="0" w:color="auto"/>
            </w:tcBorders>
          </w:tcPr>
          <w:p w14:paraId="68335194" w14:textId="77777777" w:rsidR="00F91326" w:rsidRPr="00F91326" w:rsidRDefault="00F91326" w:rsidP="00814856">
            <w:pPr>
              <w:pStyle w:val="NL"/>
            </w:pPr>
            <w:r>
              <w:t>D.</w:t>
            </w:r>
            <w:r>
              <w:tab/>
            </w:r>
            <w:r w:rsidRPr="00F91326">
              <w:t>Decreases in equity of a particular business enterprise resulting from transferring assets, rendering services, or incurring liabilities by the enterprise to owners. Distributions to owners decrease ownership interest (or equity) in an enterprise.</w:t>
            </w:r>
          </w:p>
        </w:tc>
      </w:tr>
      <w:tr w:rsidR="00F91326" w:rsidRPr="00F91326" w14:paraId="0E0DE940" w14:textId="77777777" w:rsidTr="00F91326">
        <w:tc>
          <w:tcPr>
            <w:tcW w:w="2448" w:type="dxa"/>
            <w:tcBorders>
              <w:right w:val="single" w:sz="4" w:space="0" w:color="auto"/>
            </w:tcBorders>
          </w:tcPr>
          <w:p w14:paraId="4DB13C74" w14:textId="77777777" w:rsidR="00F91326" w:rsidRPr="00F91326" w:rsidRDefault="00F91326" w:rsidP="00814856">
            <w:pPr>
              <w:pStyle w:val="NL"/>
            </w:pPr>
            <w:r>
              <w:t>7.</w:t>
            </w:r>
            <w:r>
              <w:tab/>
            </w:r>
            <w:r w:rsidRPr="00F91326">
              <w:t>Investments by owners</w:t>
            </w:r>
          </w:p>
        </w:tc>
        <w:tc>
          <w:tcPr>
            <w:tcW w:w="7290" w:type="dxa"/>
            <w:tcBorders>
              <w:left w:val="single" w:sz="4" w:space="0" w:color="auto"/>
            </w:tcBorders>
          </w:tcPr>
          <w:p w14:paraId="2368FF11" w14:textId="4C3A0B87" w:rsidR="00F91326" w:rsidRPr="00F91326" w:rsidRDefault="00F91326" w:rsidP="005C753D">
            <w:pPr>
              <w:pStyle w:val="NL"/>
            </w:pPr>
            <w:r>
              <w:t>G.</w:t>
            </w:r>
            <w:r>
              <w:tab/>
            </w:r>
            <w:r w:rsidRPr="00F91326">
              <w:t xml:space="preserve">Increases in equity of a particular business enterprise resulting from transfers to it from other entities of something valuable to obtain or increase ownership interests (or equity) in it. </w:t>
            </w:r>
          </w:p>
        </w:tc>
      </w:tr>
    </w:tbl>
    <w:p w14:paraId="46B9E6F6" w14:textId="77777777" w:rsidR="000F3346" w:rsidRDefault="000F3346" w:rsidP="00814856">
      <w:pPr>
        <w:pStyle w:val="TextBasic"/>
        <w:spacing w:after="120"/>
        <w:rPr>
          <w:b/>
        </w:rPr>
      </w:pPr>
    </w:p>
    <w:p w14:paraId="64DE335F" w14:textId="77777777" w:rsidR="000F3346" w:rsidRDefault="000F3346" w:rsidP="000F3346">
      <w:pPr>
        <w:rPr>
          <w:rFonts w:ascii="Avenir LT Std 45 Book" w:hAnsi="Avenir LT Std 45 Book" w:cs="Arial"/>
          <w:sz w:val="24"/>
          <w:szCs w:val="24"/>
        </w:rPr>
      </w:pPr>
      <w:r>
        <w:br w:type="page"/>
      </w:r>
    </w:p>
    <w:p w14:paraId="3B65B2B5" w14:textId="2A26BB84" w:rsidR="000F3346" w:rsidRDefault="000F3346" w:rsidP="00814856">
      <w:pPr>
        <w:pStyle w:val="TextBasic"/>
        <w:spacing w:after="120"/>
        <w:rPr>
          <w:b/>
        </w:rPr>
      </w:pPr>
      <w:r>
        <w:rPr>
          <w:b/>
        </w:rPr>
        <w:t>Solution to BE2-1</w:t>
      </w:r>
      <w:r w:rsidR="00310ABE">
        <w:rPr>
          <w:b/>
        </w:rPr>
        <w:t>7</w:t>
      </w:r>
    </w:p>
    <w:p w14:paraId="47859282" w14:textId="77777777" w:rsidR="00F91326" w:rsidRPr="00F91326" w:rsidRDefault="00F91326" w:rsidP="00814856">
      <w:pPr>
        <w:pStyle w:val="TextBasic"/>
        <w:spacing w:after="120"/>
      </w:pPr>
      <w:r w:rsidRPr="00F91326">
        <w:t>The elements below are identified as elements under US GAAP, IFRS, or both, and point or period in time.</w:t>
      </w:r>
    </w:p>
    <w:tbl>
      <w:tblPr>
        <w:tblW w:w="9090" w:type="dxa"/>
        <w:tblInd w:w="108" w:type="dxa"/>
        <w:tblLook w:val="04A0" w:firstRow="1" w:lastRow="0" w:firstColumn="1" w:lastColumn="0" w:noHBand="0" w:noVBand="1"/>
      </w:tblPr>
      <w:tblGrid>
        <w:gridCol w:w="1710"/>
        <w:gridCol w:w="248"/>
        <w:gridCol w:w="2272"/>
        <w:gridCol w:w="360"/>
        <w:gridCol w:w="4500"/>
      </w:tblGrid>
      <w:tr w:rsidR="00F91326" w:rsidRPr="00F91326" w14:paraId="3C485EE0" w14:textId="77777777" w:rsidTr="00814856">
        <w:tc>
          <w:tcPr>
            <w:tcW w:w="1710" w:type="dxa"/>
            <w:tcBorders>
              <w:bottom w:val="single" w:sz="4" w:space="0" w:color="auto"/>
            </w:tcBorders>
            <w:vAlign w:val="bottom"/>
          </w:tcPr>
          <w:p w14:paraId="6A526D60" w14:textId="77777777" w:rsidR="00F91326" w:rsidRPr="00F91326" w:rsidRDefault="00F91326" w:rsidP="00F91326">
            <w:pPr>
              <w:pStyle w:val="TCH"/>
            </w:pPr>
            <w:r w:rsidRPr="00F91326">
              <w:t>US GAAP, IFRS, or Both</w:t>
            </w:r>
          </w:p>
        </w:tc>
        <w:tc>
          <w:tcPr>
            <w:tcW w:w="248" w:type="dxa"/>
          </w:tcPr>
          <w:p w14:paraId="773AE825" w14:textId="77777777" w:rsidR="00F91326" w:rsidRPr="00F91326" w:rsidRDefault="00F91326" w:rsidP="00F91326">
            <w:pPr>
              <w:pStyle w:val="TCH"/>
            </w:pPr>
          </w:p>
        </w:tc>
        <w:tc>
          <w:tcPr>
            <w:tcW w:w="2272" w:type="dxa"/>
            <w:tcBorders>
              <w:bottom w:val="single" w:sz="4" w:space="0" w:color="auto"/>
            </w:tcBorders>
            <w:vAlign w:val="bottom"/>
          </w:tcPr>
          <w:p w14:paraId="29E8BF57" w14:textId="77777777" w:rsidR="00F91326" w:rsidRPr="00F91326" w:rsidRDefault="00F91326" w:rsidP="00F91326">
            <w:pPr>
              <w:pStyle w:val="TCH"/>
            </w:pPr>
            <w:r w:rsidRPr="00F91326">
              <w:t>Point in Time or Period of Time</w:t>
            </w:r>
          </w:p>
        </w:tc>
        <w:tc>
          <w:tcPr>
            <w:tcW w:w="360" w:type="dxa"/>
          </w:tcPr>
          <w:p w14:paraId="610135A9" w14:textId="77777777" w:rsidR="00F91326" w:rsidRPr="00F91326" w:rsidRDefault="00F91326" w:rsidP="00F91326">
            <w:pPr>
              <w:pStyle w:val="TCH"/>
            </w:pPr>
          </w:p>
        </w:tc>
        <w:tc>
          <w:tcPr>
            <w:tcW w:w="4500" w:type="dxa"/>
            <w:tcBorders>
              <w:bottom w:val="single" w:sz="4" w:space="0" w:color="auto"/>
            </w:tcBorders>
            <w:vAlign w:val="bottom"/>
          </w:tcPr>
          <w:p w14:paraId="0674720F" w14:textId="77777777" w:rsidR="00F91326" w:rsidRPr="00F91326" w:rsidRDefault="00F91326" w:rsidP="00F91326">
            <w:pPr>
              <w:pStyle w:val="TCH"/>
            </w:pPr>
            <w:r w:rsidRPr="00F91326">
              <w:t>Element</w:t>
            </w:r>
          </w:p>
        </w:tc>
      </w:tr>
      <w:tr w:rsidR="00F91326" w:rsidRPr="00F91326" w14:paraId="7DA12F67" w14:textId="77777777" w:rsidTr="000F3346">
        <w:tc>
          <w:tcPr>
            <w:tcW w:w="1710" w:type="dxa"/>
            <w:tcBorders>
              <w:top w:val="single" w:sz="4" w:space="0" w:color="auto"/>
            </w:tcBorders>
          </w:tcPr>
          <w:p w14:paraId="3F6C7E68" w14:textId="77777777" w:rsidR="00F91326" w:rsidRPr="00F91326" w:rsidRDefault="00F91326" w:rsidP="00450A41">
            <w:pPr>
              <w:pStyle w:val="TBText"/>
            </w:pPr>
            <w:r w:rsidRPr="00F91326">
              <w:t>US GAAP</w:t>
            </w:r>
          </w:p>
        </w:tc>
        <w:tc>
          <w:tcPr>
            <w:tcW w:w="248" w:type="dxa"/>
          </w:tcPr>
          <w:p w14:paraId="403A3D1D" w14:textId="77777777" w:rsidR="00F91326" w:rsidRPr="00F91326" w:rsidRDefault="00F91326" w:rsidP="00450A41">
            <w:pPr>
              <w:pStyle w:val="TBText"/>
            </w:pPr>
          </w:p>
        </w:tc>
        <w:tc>
          <w:tcPr>
            <w:tcW w:w="2272" w:type="dxa"/>
            <w:tcBorders>
              <w:top w:val="single" w:sz="4" w:space="0" w:color="auto"/>
            </w:tcBorders>
          </w:tcPr>
          <w:p w14:paraId="15475981" w14:textId="77777777" w:rsidR="00F91326" w:rsidRPr="00F91326" w:rsidRDefault="00F91326" w:rsidP="00450A41">
            <w:pPr>
              <w:pStyle w:val="TBText"/>
            </w:pPr>
            <w:r w:rsidRPr="00F91326">
              <w:t>Period of Time</w:t>
            </w:r>
          </w:p>
        </w:tc>
        <w:tc>
          <w:tcPr>
            <w:tcW w:w="360" w:type="dxa"/>
          </w:tcPr>
          <w:p w14:paraId="6D4166C7" w14:textId="77777777" w:rsidR="00F91326" w:rsidRPr="00F91326" w:rsidRDefault="00F91326" w:rsidP="00450A41">
            <w:pPr>
              <w:pStyle w:val="TextBasic"/>
            </w:pPr>
          </w:p>
        </w:tc>
        <w:tc>
          <w:tcPr>
            <w:tcW w:w="4500" w:type="dxa"/>
            <w:tcBorders>
              <w:top w:val="single" w:sz="4" w:space="0" w:color="auto"/>
            </w:tcBorders>
          </w:tcPr>
          <w:p w14:paraId="0110D3FD" w14:textId="77777777" w:rsidR="00F91326" w:rsidRPr="00F91326" w:rsidRDefault="00F91326" w:rsidP="00450A41">
            <w:pPr>
              <w:pStyle w:val="TBText"/>
            </w:pPr>
            <w:r w:rsidRPr="00F91326">
              <w:t>Investments by owners</w:t>
            </w:r>
          </w:p>
        </w:tc>
      </w:tr>
      <w:tr w:rsidR="00F91326" w:rsidRPr="00F91326" w14:paraId="41A1897E" w14:textId="77777777" w:rsidTr="000F3346">
        <w:tc>
          <w:tcPr>
            <w:tcW w:w="1710" w:type="dxa"/>
          </w:tcPr>
          <w:p w14:paraId="2BA47FDA" w14:textId="77777777" w:rsidR="00F91326" w:rsidRPr="00F91326" w:rsidRDefault="00F91326" w:rsidP="00450A41">
            <w:pPr>
              <w:pStyle w:val="TBText"/>
            </w:pPr>
            <w:r w:rsidRPr="00F91326">
              <w:t>IFRS</w:t>
            </w:r>
          </w:p>
        </w:tc>
        <w:tc>
          <w:tcPr>
            <w:tcW w:w="248" w:type="dxa"/>
          </w:tcPr>
          <w:p w14:paraId="60C98FC2" w14:textId="77777777" w:rsidR="00F91326" w:rsidRPr="00F91326" w:rsidRDefault="00F91326" w:rsidP="00450A41">
            <w:pPr>
              <w:pStyle w:val="TBText"/>
            </w:pPr>
          </w:p>
        </w:tc>
        <w:tc>
          <w:tcPr>
            <w:tcW w:w="2272" w:type="dxa"/>
          </w:tcPr>
          <w:p w14:paraId="2F9CDCD8" w14:textId="77777777" w:rsidR="00F91326" w:rsidRPr="00F91326" w:rsidRDefault="00F91326" w:rsidP="00450A41">
            <w:pPr>
              <w:pStyle w:val="TBText"/>
            </w:pPr>
            <w:r w:rsidRPr="00F91326">
              <w:t>Period of Time</w:t>
            </w:r>
          </w:p>
        </w:tc>
        <w:tc>
          <w:tcPr>
            <w:tcW w:w="360" w:type="dxa"/>
          </w:tcPr>
          <w:p w14:paraId="2FD11C5E" w14:textId="77777777" w:rsidR="00F91326" w:rsidRPr="00F91326" w:rsidRDefault="00F91326" w:rsidP="00450A41">
            <w:pPr>
              <w:pStyle w:val="TextBasic"/>
            </w:pPr>
          </w:p>
        </w:tc>
        <w:tc>
          <w:tcPr>
            <w:tcW w:w="4500" w:type="dxa"/>
          </w:tcPr>
          <w:p w14:paraId="043A0A15" w14:textId="77777777" w:rsidR="00F91326" w:rsidRPr="00F91326" w:rsidRDefault="00F91326" w:rsidP="00450A41">
            <w:pPr>
              <w:pStyle w:val="TBText"/>
            </w:pPr>
            <w:r w:rsidRPr="00F91326">
              <w:t>Income</w:t>
            </w:r>
          </w:p>
        </w:tc>
      </w:tr>
      <w:tr w:rsidR="00F91326" w:rsidRPr="00F91326" w14:paraId="14816BBE" w14:textId="77777777" w:rsidTr="000F3346">
        <w:tc>
          <w:tcPr>
            <w:tcW w:w="1710" w:type="dxa"/>
          </w:tcPr>
          <w:p w14:paraId="6D2473A6" w14:textId="77777777" w:rsidR="00F91326" w:rsidRPr="00F91326" w:rsidRDefault="00F91326" w:rsidP="00450A41">
            <w:pPr>
              <w:pStyle w:val="TBText"/>
            </w:pPr>
            <w:r w:rsidRPr="00F91326">
              <w:t>US GAAP</w:t>
            </w:r>
          </w:p>
        </w:tc>
        <w:tc>
          <w:tcPr>
            <w:tcW w:w="248" w:type="dxa"/>
          </w:tcPr>
          <w:p w14:paraId="2A758F15" w14:textId="77777777" w:rsidR="00F91326" w:rsidRPr="00F91326" w:rsidRDefault="00F91326" w:rsidP="00450A41">
            <w:pPr>
              <w:pStyle w:val="TBText"/>
            </w:pPr>
          </w:p>
        </w:tc>
        <w:tc>
          <w:tcPr>
            <w:tcW w:w="2272" w:type="dxa"/>
          </w:tcPr>
          <w:p w14:paraId="7AFEE221" w14:textId="77777777" w:rsidR="00F91326" w:rsidRPr="00F91326" w:rsidRDefault="00F91326" w:rsidP="00450A41">
            <w:pPr>
              <w:pStyle w:val="TBText"/>
            </w:pPr>
            <w:r w:rsidRPr="00F91326">
              <w:t>Period of Time</w:t>
            </w:r>
          </w:p>
        </w:tc>
        <w:tc>
          <w:tcPr>
            <w:tcW w:w="360" w:type="dxa"/>
          </w:tcPr>
          <w:p w14:paraId="1F361376" w14:textId="77777777" w:rsidR="00F91326" w:rsidRPr="00F91326" w:rsidRDefault="00F91326" w:rsidP="00450A41">
            <w:pPr>
              <w:pStyle w:val="TextBasic"/>
            </w:pPr>
          </w:p>
        </w:tc>
        <w:tc>
          <w:tcPr>
            <w:tcW w:w="4500" w:type="dxa"/>
          </w:tcPr>
          <w:p w14:paraId="789558ED" w14:textId="77777777" w:rsidR="00F91326" w:rsidRPr="00F91326" w:rsidRDefault="00F91326" w:rsidP="00450A41">
            <w:pPr>
              <w:pStyle w:val="TBText"/>
            </w:pPr>
            <w:r w:rsidRPr="00F91326">
              <w:t>Losses</w:t>
            </w:r>
          </w:p>
        </w:tc>
      </w:tr>
      <w:tr w:rsidR="00F91326" w:rsidRPr="00F91326" w14:paraId="215A5F72" w14:textId="77777777" w:rsidTr="000F3346">
        <w:tc>
          <w:tcPr>
            <w:tcW w:w="1710" w:type="dxa"/>
          </w:tcPr>
          <w:p w14:paraId="440F2460" w14:textId="77777777" w:rsidR="00F91326" w:rsidRPr="00F91326" w:rsidRDefault="00F91326" w:rsidP="00450A41">
            <w:pPr>
              <w:pStyle w:val="TBText"/>
            </w:pPr>
            <w:r w:rsidRPr="00F91326">
              <w:t>Both</w:t>
            </w:r>
          </w:p>
        </w:tc>
        <w:tc>
          <w:tcPr>
            <w:tcW w:w="248" w:type="dxa"/>
          </w:tcPr>
          <w:p w14:paraId="13F3543D" w14:textId="77777777" w:rsidR="00F91326" w:rsidRPr="00F91326" w:rsidRDefault="00F91326" w:rsidP="00450A41">
            <w:pPr>
              <w:pStyle w:val="TBText"/>
            </w:pPr>
          </w:p>
        </w:tc>
        <w:tc>
          <w:tcPr>
            <w:tcW w:w="2272" w:type="dxa"/>
          </w:tcPr>
          <w:p w14:paraId="78F36812" w14:textId="77777777" w:rsidR="00F91326" w:rsidRPr="00F91326" w:rsidRDefault="00F91326" w:rsidP="00450A41">
            <w:pPr>
              <w:pStyle w:val="TBText"/>
            </w:pPr>
            <w:r w:rsidRPr="00F91326">
              <w:t>Point in Time</w:t>
            </w:r>
          </w:p>
        </w:tc>
        <w:tc>
          <w:tcPr>
            <w:tcW w:w="360" w:type="dxa"/>
          </w:tcPr>
          <w:p w14:paraId="2CEC786C" w14:textId="77777777" w:rsidR="00F91326" w:rsidRPr="00F91326" w:rsidRDefault="00F91326" w:rsidP="00450A41">
            <w:pPr>
              <w:pStyle w:val="TextBasic"/>
            </w:pPr>
          </w:p>
        </w:tc>
        <w:tc>
          <w:tcPr>
            <w:tcW w:w="4500" w:type="dxa"/>
          </w:tcPr>
          <w:p w14:paraId="06D480B5" w14:textId="77777777" w:rsidR="00F91326" w:rsidRPr="00F91326" w:rsidRDefault="00F91326" w:rsidP="00450A41">
            <w:pPr>
              <w:pStyle w:val="TBText"/>
            </w:pPr>
            <w:r w:rsidRPr="00F91326">
              <w:t>Liabilities</w:t>
            </w:r>
          </w:p>
        </w:tc>
      </w:tr>
      <w:tr w:rsidR="00F91326" w:rsidRPr="00F91326" w14:paraId="71227242" w14:textId="77777777" w:rsidTr="000F3346">
        <w:tc>
          <w:tcPr>
            <w:tcW w:w="1710" w:type="dxa"/>
          </w:tcPr>
          <w:p w14:paraId="230C5B07" w14:textId="77777777" w:rsidR="00F91326" w:rsidRPr="00F91326" w:rsidRDefault="00F91326" w:rsidP="00450A41">
            <w:pPr>
              <w:pStyle w:val="TBText"/>
            </w:pPr>
            <w:r w:rsidRPr="00F91326">
              <w:t>Both</w:t>
            </w:r>
          </w:p>
        </w:tc>
        <w:tc>
          <w:tcPr>
            <w:tcW w:w="248" w:type="dxa"/>
          </w:tcPr>
          <w:p w14:paraId="2C0CE161" w14:textId="77777777" w:rsidR="00F91326" w:rsidRPr="00F91326" w:rsidRDefault="00F91326" w:rsidP="00450A41">
            <w:pPr>
              <w:pStyle w:val="TBText"/>
            </w:pPr>
          </w:p>
        </w:tc>
        <w:tc>
          <w:tcPr>
            <w:tcW w:w="2272" w:type="dxa"/>
          </w:tcPr>
          <w:p w14:paraId="052F04CF" w14:textId="77777777" w:rsidR="00F91326" w:rsidRPr="00F91326" w:rsidRDefault="00F91326" w:rsidP="00450A41">
            <w:pPr>
              <w:pStyle w:val="TBText"/>
            </w:pPr>
            <w:r w:rsidRPr="00F91326">
              <w:t>Point in Time</w:t>
            </w:r>
          </w:p>
        </w:tc>
        <w:tc>
          <w:tcPr>
            <w:tcW w:w="360" w:type="dxa"/>
          </w:tcPr>
          <w:p w14:paraId="77D82002" w14:textId="77777777" w:rsidR="00F91326" w:rsidRPr="00F91326" w:rsidRDefault="00F91326" w:rsidP="00450A41">
            <w:pPr>
              <w:pStyle w:val="TextBasic"/>
            </w:pPr>
          </w:p>
        </w:tc>
        <w:tc>
          <w:tcPr>
            <w:tcW w:w="4500" w:type="dxa"/>
          </w:tcPr>
          <w:p w14:paraId="3950F060" w14:textId="77777777" w:rsidR="00F91326" w:rsidRPr="00F91326" w:rsidRDefault="00F91326" w:rsidP="00450A41">
            <w:pPr>
              <w:pStyle w:val="TBText"/>
            </w:pPr>
            <w:r w:rsidRPr="00F91326">
              <w:t>Equity</w:t>
            </w:r>
          </w:p>
        </w:tc>
      </w:tr>
      <w:tr w:rsidR="00F91326" w:rsidRPr="00F91326" w14:paraId="1396E18D" w14:textId="77777777" w:rsidTr="000F3346">
        <w:tc>
          <w:tcPr>
            <w:tcW w:w="1710" w:type="dxa"/>
          </w:tcPr>
          <w:p w14:paraId="51863095" w14:textId="77777777" w:rsidR="00F91326" w:rsidRPr="00F91326" w:rsidRDefault="00F91326" w:rsidP="00450A41">
            <w:pPr>
              <w:pStyle w:val="TBText"/>
            </w:pPr>
            <w:r w:rsidRPr="00F91326">
              <w:t>US GAAP</w:t>
            </w:r>
          </w:p>
        </w:tc>
        <w:tc>
          <w:tcPr>
            <w:tcW w:w="248" w:type="dxa"/>
          </w:tcPr>
          <w:p w14:paraId="24029F78" w14:textId="77777777" w:rsidR="00F91326" w:rsidRPr="00F91326" w:rsidRDefault="00F91326" w:rsidP="00450A41">
            <w:pPr>
              <w:pStyle w:val="TBText"/>
            </w:pPr>
          </w:p>
        </w:tc>
        <w:tc>
          <w:tcPr>
            <w:tcW w:w="2272" w:type="dxa"/>
          </w:tcPr>
          <w:p w14:paraId="13AC822F" w14:textId="77777777" w:rsidR="00F91326" w:rsidRPr="00F91326" w:rsidRDefault="00F91326" w:rsidP="00450A41">
            <w:pPr>
              <w:pStyle w:val="TBText"/>
            </w:pPr>
            <w:r w:rsidRPr="00F91326">
              <w:t>Period of Time</w:t>
            </w:r>
          </w:p>
        </w:tc>
        <w:tc>
          <w:tcPr>
            <w:tcW w:w="360" w:type="dxa"/>
          </w:tcPr>
          <w:p w14:paraId="5C0AF268" w14:textId="77777777" w:rsidR="00F91326" w:rsidRPr="00F91326" w:rsidRDefault="00F91326" w:rsidP="00450A41">
            <w:pPr>
              <w:pStyle w:val="TextBasic"/>
            </w:pPr>
          </w:p>
        </w:tc>
        <w:tc>
          <w:tcPr>
            <w:tcW w:w="4500" w:type="dxa"/>
          </w:tcPr>
          <w:p w14:paraId="2B025580" w14:textId="77777777" w:rsidR="00F91326" w:rsidRPr="00F91326" w:rsidRDefault="00F91326" w:rsidP="00450A41">
            <w:pPr>
              <w:pStyle w:val="TBText"/>
            </w:pPr>
            <w:r w:rsidRPr="00F91326">
              <w:t>Comprehensive income</w:t>
            </w:r>
          </w:p>
        </w:tc>
      </w:tr>
      <w:tr w:rsidR="00F91326" w:rsidRPr="00F91326" w14:paraId="40EB71AE" w14:textId="77777777" w:rsidTr="000F3346">
        <w:tc>
          <w:tcPr>
            <w:tcW w:w="1710" w:type="dxa"/>
          </w:tcPr>
          <w:p w14:paraId="1E578DBB" w14:textId="77777777" w:rsidR="00F91326" w:rsidRPr="00F91326" w:rsidRDefault="00F91326" w:rsidP="00450A41">
            <w:pPr>
              <w:pStyle w:val="TBText"/>
            </w:pPr>
            <w:r w:rsidRPr="00F91326">
              <w:t>Both</w:t>
            </w:r>
          </w:p>
        </w:tc>
        <w:tc>
          <w:tcPr>
            <w:tcW w:w="248" w:type="dxa"/>
          </w:tcPr>
          <w:p w14:paraId="1FE4F88E" w14:textId="77777777" w:rsidR="00F91326" w:rsidRPr="00F91326" w:rsidRDefault="00F91326" w:rsidP="00450A41">
            <w:pPr>
              <w:pStyle w:val="TBText"/>
            </w:pPr>
          </w:p>
        </w:tc>
        <w:tc>
          <w:tcPr>
            <w:tcW w:w="2272" w:type="dxa"/>
          </w:tcPr>
          <w:p w14:paraId="2E202D37" w14:textId="77777777" w:rsidR="00F91326" w:rsidRPr="00F91326" w:rsidRDefault="00F91326" w:rsidP="00450A41">
            <w:pPr>
              <w:pStyle w:val="TBText"/>
            </w:pPr>
            <w:r w:rsidRPr="00F91326">
              <w:t>Point in Time</w:t>
            </w:r>
          </w:p>
        </w:tc>
        <w:tc>
          <w:tcPr>
            <w:tcW w:w="360" w:type="dxa"/>
          </w:tcPr>
          <w:p w14:paraId="2373515A" w14:textId="77777777" w:rsidR="00F91326" w:rsidRPr="00F91326" w:rsidRDefault="00F91326" w:rsidP="00450A41">
            <w:pPr>
              <w:pStyle w:val="TextBasic"/>
            </w:pPr>
          </w:p>
        </w:tc>
        <w:tc>
          <w:tcPr>
            <w:tcW w:w="4500" w:type="dxa"/>
          </w:tcPr>
          <w:p w14:paraId="1A04B048" w14:textId="77777777" w:rsidR="00F91326" w:rsidRPr="00F91326" w:rsidRDefault="00F91326" w:rsidP="00450A41">
            <w:pPr>
              <w:pStyle w:val="TBText"/>
            </w:pPr>
            <w:r w:rsidRPr="00F91326">
              <w:t>Assets</w:t>
            </w:r>
          </w:p>
        </w:tc>
      </w:tr>
      <w:tr w:rsidR="00F91326" w:rsidRPr="00F91326" w14:paraId="4F6EE568" w14:textId="77777777" w:rsidTr="000F3346">
        <w:tc>
          <w:tcPr>
            <w:tcW w:w="1710" w:type="dxa"/>
          </w:tcPr>
          <w:p w14:paraId="2374EA8B" w14:textId="77777777" w:rsidR="00F91326" w:rsidRPr="00F91326" w:rsidRDefault="00F91326" w:rsidP="00450A41">
            <w:pPr>
              <w:pStyle w:val="TBText"/>
            </w:pPr>
            <w:r w:rsidRPr="00F91326">
              <w:t>US GAAP</w:t>
            </w:r>
          </w:p>
        </w:tc>
        <w:tc>
          <w:tcPr>
            <w:tcW w:w="248" w:type="dxa"/>
          </w:tcPr>
          <w:p w14:paraId="5756912A" w14:textId="77777777" w:rsidR="00F91326" w:rsidRPr="00F91326" w:rsidRDefault="00F91326" w:rsidP="00450A41">
            <w:pPr>
              <w:pStyle w:val="TBText"/>
            </w:pPr>
          </w:p>
        </w:tc>
        <w:tc>
          <w:tcPr>
            <w:tcW w:w="2272" w:type="dxa"/>
          </w:tcPr>
          <w:p w14:paraId="2F0BDAB7" w14:textId="77777777" w:rsidR="00F91326" w:rsidRPr="00F91326" w:rsidRDefault="00F91326" w:rsidP="00450A41">
            <w:pPr>
              <w:pStyle w:val="TBText"/>
            </w:pPr>
            <w:r w:rsidRPr="00F91326">
              <w:t>Period of Time</w:t>
            </w:r>
          </w:p>
        </w:tc>
        <w:tc>
          <w:tcPr>
            <w:tcW w:w="360" w:type="dxa"/>
          </w:tcPr>
          <w:p w14:paraId="74D26BE1" w14:textId="77777777" w:rsidR="00F91326" w:rsidRPr="00F91326" w:rsidRDefault="00F91326" w:rsidP="00450A41">
            <w:pPr>
              <w:pStyle w:val="TextBasic"/>
            </w:pPr>
          </w:p>
        </w:tc>
        <w:tc>
          <w:tcPr>
            <w:tcW w:w="4500" w:type="dxa"/>
          </w:tcPr>
          <w:p w14:paraId="478188EE" w14:textId="77777777" w:rsidR="00F91326" w:rsidRPr="00F91326" w:rsidRDefault="00F91326" w:rsidP="00450A41">
            <w:pPr>
              <w:pStyle w:val="TBText"/>
            </w:pPr>
            <w:r w:rsidRPr="00F91326">
              <w:t>Gains</w:t>
            </w:r>
          </w:p>
        </w:tc>
      </w:tr>
      <w:tr w:rsidR="00F91326" w:rsidRPr="00F91326" w14:paraId="757EEDC1" w14:textId="77777777" w:rsidTr="000F3346">
        <w:tc>
          <w:tcPr>
            <w:tcW w:w="1710" w:type="dxa"/>
          </w:tcPr>
          <w:p w14:paraId="6C63A38A" w14:textId="77777777" w:rsidR="00F91326" w:rsidRPr="00F91326" w:rsidRDefault="00F91326" w:rsidP="00450A41">
            <w:pPr>
              <w:pStyle w:val="TBText"/>
            </w:pPr>
            <w:r w:rsidRPr="00F91326">
              <w:t>IFRS</w:t>
            </w:r>
          </w:p>
        </w:tc>
        <w:tc>
          <w:tcPr>
            <w:tcW w:w="248" w:type="dxa"/>
          </w:tcPr>
          <w:p w14:paraId="4585E064" w14:textId="77777777" w:rsidR="00F91326" w:rsidRPr="00F91326" w:rsidRDefault="00F91326" w:rsidP="00450A41">
            <w:pPr>
              <w:pStyle w:val="TBText"/>
            </w:pPr>
          </w:p>
        </w:tc>
        <w:tc>
          <w:tcPr>
            <w:tcW w:w="2272" w:type="dxa"/>
          </w:tcPr>
          <w:p w14:paraId="3BFE2E86" w14:textId="77777777" w:rsidR="00F91326" w:rsidRPr="00F91326" w:rsidRDefault="00F91326" w:rsidP="00450A41">
            <w:pPr>
              <w:pStyle w:val="TBText"/>
            </w:pPr>
            <w:r w:rsidRPr="00F91326">
              <w:t>Period of Time</w:t>
            </w:r>
          </w:p>
        </w:tc>
        <w:tc>
          <w:tcPr>
            <w:tcW w:w="360" w:type="dxa"/>
          </w:tcPr>
          <w:p w14:paraId="214BAE7D" w14:textId="77777777" w:rsidR="00F91326" w:rsidRPr="00F91326" w:rsidRDefault="00F91326" w:rsidP="00450A41">
            <w:pPr>
              <w:pStyle w:val="TextBasic"/>
            </w:pPr>
          </w:p>
        </w:tc>
        <w:tc>
          <w:tcPr>
            <w:tcW w:w="4500" w:type="dxa"/>
          </w:tcPr>
          <w:p w14:paraId="6F71A2C9" w14:textId="77777777" w:rsidR="00F91326" w:rsidRPr="00F91326" w:rsidRDefault="00F91326" w:rsidP="00450A41">
            <w:pPr>
              <w:pStyle w:val="TBText"/>
            </w:pPr>
            <w:r w:rsidRPr="00F91326">
              <w:t>Capital maintenance adjustment</w:t>
            </w:r>
          </w:p>
        </w:tc>
      </w:tr>
      <w:tr w:rsidR="00F91326" w:rsidRPr="00F91326" w14:paraId="1AE80825" w14:textId="77777777" w:rsidTr="000F3346">
        <w:tc>
          <w:tcPr>
            <w:tcW w:w="1710" w:type="dxa"/>
          </w:tcPr>
          <w:p w14:paraId="21740551" w14:textId="77777777" w:rsidR="00F91326" w:rsidRPr="00F91326" w:rsidRDefault="00F91326" w:rsidP="00450A41">
            <w:pPr>
              <w:pStyle w:val="TBText"/>
            </w:pPr>
            <w:r w:rsidRPr="00F91326">
              <w:t>Both</w:t>
            </w:r>
          </w:p>
        </w:tc>
        <w:tc>
          <w:tcPr>
            <w:tcW w:w="248" w:type="dxa"/>
          </w:tcPr>
          <w:p w14:paraId="7AFCC62B" w14:textId="77777777" w:rsidR="00F91326" w:rsidRPr="00F91326" w:rsidRDefault="00F91326" w:rsidP="00450A41">
            <w:pPr>
              <w:pStyle w:val="TBText"/>
            </w:pPr>
          </w:p>
        </w:tc>
        <w:tc>
          <w:tcPr>
            <w:tcW w:w="2272" w:type="dxa"/>
          </w:tcPr>
          <w:p w14:paraId="4E4B6657" w14:textId="77777777" w:rsidR="00F91326" w:rsidRPr="00F91326" w:rsidRDefault="00F91326" w:rsidP="00450A41">
            <w:pPr>
              <w:pStyle w:val="TBText"/>
            </w:pPr>
            <w:r w:rsidRPr="00F91326">
              <w:t>Period of Time</w:t>
            </w:r>
          </w:p>
        </w:tc>
        <w:tc>
          <w:tcPr>
            <w:tcW w:w="360" w:type="dxa"/>
          </w:tcPr>
          <w:p w14:paraId="3DA20839" w14:textId="77777777" w:rsidR="00F91326" w:rsidRPr="00F91326" w:rsidRDefault="00F91326" w:rsidP="00450A41">
            <w:pPr>
              <w:pStyle w:val="TextBasic"/>
            </w:pPr>
          </w:p>
        </w:tc>
        <w:tc>
          <w:tcPr>
            <w:tcW w:w="4500" w:type="dxa"/>
          </w:tcPr>
          <w:p w14:paraId="0C224CC6" w14:textId="77777777" w:rsidR="00F91326" w:rsidRPr="00F91326" w:rsidRDefault="00F91326" w:rsidP="00450A41">
            <w:pPr>
              <w:pStyle w:val="TBText"/>
            </w:pPr>
            <w:r w:rsidRPr="00F91326">
              <w:t>Expenses</w:t>
            </w:r>
          </w:p>
        </w:tc>
      </w:tr>
      <w:tr w:rsidR="00F91326" w:rsidRPr="00F91326" w14:paraId="018EAFAA" w14:textId="77777777" w:rsidTr="000F3346">
        <w:tc>
          <w:tcPr>
            <w:tcW w:w="1710" w:type="dxa"/>
          </w:tcPr>
          <w:p w14:paraId="528D4078" w14:textId="77777777" w:rsidR="00F91326" w:rsidRPr="00F91326" w:rsidRDefault="00F91326" w:rsidP="00450A41">
            <w:pPr>
              <w:pStyle w:val="TBText"/>
            </w:pPr>
            <w:r w:rsidRPr="00F91326">
              <w:t>US GAAP</w:t>
            </w:r>
          </w:p>
        </w:tc>
        <w:tc>
          <w:tcPr>
            <w:tcW w:w="248" w:type="dxa"/>
          </w:tcPr>
          <w:p w14:paraId="0FEF0AF2" w14:textId="77777777" w:rsidR="00F91326" w:rsidRPr="00F91326" w:rsidRDefault="00F91326" w:rsidP="00450A41">
            <w:pPr>
              <w:pStyle w:val="TBText"/>
            </w:pPr>
          </w:p>
        </w:tc>
        <w:tc>
          <w:tcPr>
            <w:tcW w:w="2272" w:type="dxa"/>
          </w:tcPr>
          <w:p w14:paraId="6083A71A" w14:textId="77777777" w:rsidR="00F91326" w:rsidRPr="00F91326" w:rsidRDefault="00F91326" w:rsidP="00450A41">
            <w:pPr>
              <w:pStyle w:val="TBText"/>
            </w:pPr>
            <w:r w:rsidRPr="00F91326">
              <w:t>Period of Time</w:t>
            </w:r>
          </w:p>
        </w:tc>
        <w:tc>
          <w:tcPr>
            <w:tcW w:w="360" w:type="dxa"/>
          </w:tcPr>
          <w:p w14:paraId="35AE6B56" w14:textId="77777777" w:rsidR="00F91326" w:rsidRPr="00F91326" w:rsidRDefault="00F91326" w:rsidP="00450A41">
            <w:pPr>
              <w:pStyle w:val="TextBasic"/>
            </w:pPr>
          </w:p>
        </w:tc>
        <w:tc>
          <w:tcPr>
            <w:tcW w:w="4500" w:type="dxa"/>
          </w:tcPr>
          <w:p w14:paraId="7F588261" w14:textId="77777777" w:rsidR="00F91326" w:rsidRPr="00F91326" w:rsidRDefault="00F91326" w:rsidP="00450A41">
            <w:pPr>
              <w:pStyle w:val="TBText"/>
            </w:pPr>
            <w:r w:rsidRPr="00F91326">
              <w:t>Distributions to owners</w:t>
            </w:r>
          </w:p>
        </w:tc>
      </w:tr>
      <w:tr w:rsidR="00F91326" w:rsidRPr="00F91326" w14:paraId="3AE0F76F" w14:textId="77777777" w:rsidTr="000F3346">
        <w:tc>
          <w:tcPr>
            <w:tcW w:w="1710" w:type="dxa"/>
          </w:tcPr>
          <w:p w14:paraId="59F5B9F0" w14:textId="77777777" w:rsidR="00F91326" w:rsidRPr="00F91326" w:rsidRDefault="00F91326" w:rsidP="00450A41">
            <w:pPr>
              <w:pStyle w:val="TBText"/>
            </w:pPr>
            <w:r w:rsidRPr="00F91326">
              <w:t>US GAAP</w:t>
            </w:r>
          </w:p>
        </w:tc>
        <w:tc>
          <w:tcPr>
            <w:tcW w:w="248" w:type="dxa"/>
          </w:tcPr>
          <w:p w14:paraId="42EB1A55" w14:textId="77777777" w:rsidR="00F91326" w:rsidRPr="00F91326" w:rsidRDefault="00F91326" w:rsidP="00450A41">
            <w:pPr>
              <w:pStyle w:val="TBText"/>
            </w:pPr>
          </w:p>
        </w:tc>
        <w:tc>
          <w:tcPr>
            <w:tcW w:w="2272" w:type="dxa"/>
          </w:tcPr>
          <w:p w14:paraId="505E14A1" w14:textId="77777777" w:rsidR="00F91326" w:rsidRPr="00F91326" w:rsidRDefault="00F91326" w:rsidP="00450A41">
            <w:pPr>
              <w:pStyle w:val="TBText"/>
            </w:pPr>
            <w:r w:rsidRPr="00F91326">
              <w:t>Period of Time</w:t>
            </w:r>
          </w:p>
        </w:tc>
        <w:tc>
          <w:tcPr>
            <w:tcW w:w="360" w:type="dxa"/>
          </w:tcPr>
          <w:p w14:paraId="444A57F4" w14:textId="77777777" w:rsidR="00F91326" w:rsidRPr="00F91326" w:rsidRDefault="00F91326" w:rsidP="00450A41">
            <w:pPr>
              <w:pStyle w:val="TextBasic"/>
            </w:pPr>
          </w:p>
        </w:tc>
        <w:tc>
          <w:tcPr>
            <w:tcW w:w="4500" w:type="dxa"/>
          </w:tcPr>
          <w:p w14:paraId="731D01F5" w14:textId="77777777" w:rsidR="00F91326" w:rsidRPr="00F91326" w:rsidRDefault="00F91326" w:rsidP="00450A41">
            <w:pPr>
              <w:pStyle w:val="TBText"/>
            </w:pPr>
            <w:r w:rsidRPr="00F91326">
              <w:t>Revenues</w:t>
            </w:r>
          </w:p>
        </w:tc>
      </w:tr>
      <w:tr w:rsidR="00F91326" w:rsidRPr="00F91326" w14:paraId="1F5162DB" w14:textId="77777777" w:rsidTr="000F3346">
        <w:tc>
          <w:tcPr>
            <w:tcW w:w="1710" w:type="dxa"/>
          </w:tcPr>
          <w:p w14:paraId="638138A9" w14:textId="77777777" w:rsidR="00F91326" w:rsidRPr="00F91326" w:rsidRDefault="00F91326" w:rsidP="00450A41">
            <w:pPr>
              <w:pStyle w:val="TBText"/>
            </w:pPr>
            <w:r w:rsidRPr="00F91326">
              <w:t>IFRS</w:t>
            </w:r>
          </w:p>
        </w:tc>
        <w:tc>
          <w:tcPr>
            <w:tcW w:w="248" w:type="dxa"/>
          </w:tcPr>
          <w:p w14:paraId="6F679557" w14:textId="77777777" w:rsidR="00F91326" w:rsidRPr="00F91326" w:rsidRDefault="00F91326" w:rsidP="00450A41">
            <w:pPr>
              <w:pStyle w:val="TBText"/>
            </w:pPr>
          </w:p>
        </w:tc>
        <w:tc>
          <w:tcPr>
            <w:tcW w:w="2272" w:type="dxa"/>
          </w:tcPr>
          <w:p w14:paraId="73D924A9" w14:textId="77777777" w:rsidR="00F91326" w:rsidRPr="00F91326" w:rsidRDefault="00F91326" w:rsidP="00450A41">
            <w:pPr>
              <w:pStyle w:val="TBText"/>
            </w:pPr>
            <w:r w:rsidRPr="00F91326">
              <w:t>Period of Time</w:t>
            </w:r>
          </w:p>
        </w:tc>
        <w:tc>
          <w:tcPr>
            <w:tcW w:w="360" w:type="dxa"/>
          </w:tcPr>
          <w:p w14:paraId="6C60638C" w14:textId="77777777" w:rsidR="00F91326" w:rsidRPr="00F91326" w:rsidRDefault="00F91326" w:rsidP="00450A41">
            <w:pPr>
              <w:pStyle w:val="TextBasic"/>
            </w:pPr>
          </w:p>
        </w:tc>
        <w:tc>
          <w:tcPr>
            <w:tcW w:w="4500" w:type="dxa"/>
          </w:tcPr>
          <w:p w14:paraId="48D7F150" w14:textId="77777777" w:rsidR="00F91326" w:rsidRPr="00F91326" w:rsidRDefault="00F91326" w:rsidP="00450A41">
            <w:pPr>
              <w:pStyle w:val="TBText"/>
            </w:pPr>
            <w:r w:rsidRPr="00F91326">
              <w:t>Performance</w:t>
            </w:r>
          </w:p>
        </w:tc>
      </w:tr>
    </w:tbl>
    <w:p w14:paraId="104A2867" w14:textId="7EDD2188" w:rsidR="000F3346" w:rsidRDefault="000F3346" w:rsidP="00814856">
      <w:pPr>
        <w:pStyle w:val="TextBasic"/>
        <w:keepNext/>
        <w:spacing w:after="120"/>
      </w:pPr>
      <w:r>
        <w:rPr>
          <w:b/>
        </w:rPr>
        <w:t>Solution to BE2-1</w:t>
      </w:r>
      <w:r w:rsidR="00310ABE">
        <w:rPr>
          <w:b/>
        </w:rPr>
        <w:t>8</w:t>
      </w:r>
      <w:r w:rsidR="00424A7B">
        <w:t xml:space="preserve"> </w:t>
      </w:r>
    </w:p>
    <w:p w14:paraId="07FCBDC8" w14:textId="77777777" w:rsidR="00F91326" w:rsidRPr="00F91326" w:rsidRDefault="00F91326" w:rsidP="00814856">
      <w:pPr>
        <w:pStyle w:val="TextBasic"/>
        <w:keepNext/>
        <w:spacing w:after="120"/>
      </w:pPr>
      <w:r w:rsidRPr="00F91326">
        <w:t>The items below are identified as part of the general recognition principle under US GAAP, IFRS, or both.</w:t>
      </w:r>
    </w:p>
    <w:tbl>
      <w:tblPr>
        <w:tblW w:w="0" w:type="auto"/>
        <w:tblInd w:w="108" w:type="dxa"/>
        <w:tblLook w:val="04A0" w:firstRow="1" w:lastRow="0" w:firstColumn="1" w:lastColumn="0" w:noHBand="0" w:noVBand="1"/>
      </w:tblPr>
      <w:tblGrid>
        <w:gridCol w:w="1964"/>
        <w:gridCol w:w="7288"/>
      </w:tblGrid>
      <w:tr w:rsidR="00F91326" w:rsidRPr="00F91326" w14:paraId="397D6D2C" w14:textId="77777777" w:rsidTr="00814856">
        <w:tc>
          <w:tcPr>
            <w:tcW w:w="1980" w:type="dxa"/>
            <w:tcBorders>
              <w:bottom w:val="single" w:sz="4" w:space="0" w:color="auto"/>
              <w:right w:val="single" w:sz="4" w:space="0" w:color="auto"/>
            </w:tcBorders>
          </w:tcPr>
          <w:p w14:paraId="06094447" w14:textId="4BC06E20" w:rsidR="00F91326" w:rsidRPr="00F91326" w:rsidRDefault="00F91326" w:rsidP="00814856">
            <w:pPr>
              <w:pStyle w:val="TCH"/>
              <w:keepNext/>
            </w:pPr>
            <w:r w:rsidRPr="00F91326">
              <w:t>US GAAP,</w:t>
            </w:r>
            <w:r w:rsidR="00711C10">
              <w:t xml:space="preserve"> </w:t>
            </w:r>
            <w:r w:rsidRPr="00F91326">
              <w:t>IFRS, or Both</w:t>
            </w:r>
          </w:p>
        </w:tc>
        <w:tc>
          <w:tcPr>
            <w:tcW w:w="7380" w:type="dxa"/>
            <w:tcBorders>
              <w:left w:val="single" w:sz="4" w:space="0" w:color="auto"/>
              <w:bottom w:val="single" w:sz="4" w:space="0" w:color="auto"/>
            </w:tcBorders>
            <w:vAlign w:val="bottom"/>
          </w:tcPr>
          <w:p w14:paraId="2C8D0820" w14:textId="77777777" w:rsidR="00F91326" w:rsidRPr="00F91326" w:rsidRDefault="00F91326" w:rsidP="00814856">
            <w:pPr>
              <w:pStyle w:val="TCH"/>
              <w:keepNext/>
            </w:pPr>
            <w:r w:rsidRPr="00F91326">
              <w:t>Item</w:t>
            </w:r>
          </w:p>
        </w:tc>
      </w:tr>
      <w:tr w:rsidR="00F91326" w:rsidRPr="00F91326" w14:paraId="2BBFEF89" w14:textId="77777777" w:rsidTr="00814856">
        <w:tc>
          <w:tcPr>
            <w:tcW w:w="1980" w:type="dxa"/>
            <w:tcBorders>
              <w:top w:val="single" w:sz="4" w:space="0" w:color="auto"/>
              <w:right w:val="single" w:sz="4" w:space="0" w:color="auto"/>
            </w:tcBorders>
          </w:tcPr>
          <w:p w14:paraId="1BD1F7A5" w14:textId="37F811A1" w:rsidR="00F91326" w:rsidRPr="00F91326" w:rsidRDefault="00F91326" w:rsidP="00814856">
            <w:pPr>
              <w:pStyle w:val="TBText"/>
              <w:keepNext/>
            </w:pPr>
            <w:r w:rsidRPr="00F91326">
              <w:t>US</w:t>
            </w:r>
            <w:r w:rsidR="00502F2E">
              <w:t xml:space="preserve"> </w:t>
            </w:r>
            <w:r w:rsidRPr="00F91326">
              <w:t>GAAP</w:t>
            </w:r>
          </w:p>
        </w:tc>
        <w:tc>
          <w:tcPr>
            <w:tcW w:w="7380" w:type="dxa"/>
            <w:tcBorders>
              <w:top w:val="single" w:sz="4" w:space="0" w:color="auto"/>
              <w:left w:val="single" w:sz="4" w:space="0" w:color="auto"/>
            </w:tcBorders>
          </w:tcPr>
          <w:p w14:paraId="6116336E" w14:textId="2B932A12" w:rsidR="00F91326" w:rsidRPr="00F91326" w:rsidRDefault="00F91326" w:rsidP="00814856">
            <w:pPr>
              <w:pStyle w:val="TBText"/>
              <w:keepNext/>
            </w:pPr>
            <w:r w:rsidRPr="00F91326">
              <w:t>Relevant</w:t>
            </w:r>
          </w:p>
        </w:tc>
      </w:tr>
      <w:tr w:rsidR="00F91326" w:rsidRPr="00F91326" w14:paraId="66EA065E" w14:textId="77777777" w:rsidTr="00814856">
        <w:tc>
          <w:tcPr>
            <w:tcW w:w="1980" w:type="dxa"/>
            <w:tcBorders>
              <w:right w:val="single" w:sz="4" w:space="0" w:color="auto"/>
            </w:tcBorders>
          </w:tcPr>
          <w:p w14:paraId="7D5515CF" w14:textId="77777777" w:rsidR="00F91326" w:rsidRPr="00F91326" w:rsidRDefault="00F91326" w:rsidP="00814856">
            <w:pPr>
              <w:pStyle w:val="TBText"/>
              <w:keepNext/>
            </w:pPr>
            <w:r w:rsidRPr="00F91326">
              <w:t>Both</w:t>
            </w:r>
          </w:p>
        </w:tc>
        <w:tc>
          <w:tcPr>
            <w:tcW w:w="7380" w:type="dxa"/>
            <w:tcBorders>
              <w:left w:val="single" w:sz="4" w:space="0" w:color="auto"/>
            </w:tcBorders>
          </w:tcPr>
          <w:p w14:paraId="4432AB7F" w14:textId="77777777" w:rsidR="00F91326" w:rsidRPr="00F91326" w:rsidRDefault="00F91326" w:rsidP="00814856">
            <w:pPr>
              <w:pStyle w:val="TBText"/>
              <w:keepNext/>
            </w:pPr>
            <w:r w:rsidRPr="00F91326">
              <w:t>Subject to materiality constraint</w:t>
            </w:r>
          </w:p>
        </w:tc>
      </w:tr>
      <w:tr w:rsidR="00F91326" w:rsidRPr="00F91326" w14:paraId="1D071F16" w14:textId="77777777" w:rsidTr="00814856">
        <w:tc>
          <w:tcPr>
            <w:tcW w:w="1980" w:type="dxa"/>
            <w:tcBorders>
              <w:right w:val="single" w:sz="4" w:space="0" w:color="auto"/>
            </w:tcBorders>
          </w:tcPr>
          <w:p w14:paraId="3B033F2E" w14:textId="77777777" w:rsidR="00F91326" w:rsidRPr="00F91326" w:rsidRDefault="00F91326" w:rsidP="00814856">
            <w:pPr>
              <w:pStyle w:val="TBText"/>
              <w:keepNext/>
            </w:pPr>
            <w:r w:rsidRPr="00F91326">
              <w:t>Both</w:t>
            </w:r>
          </w:p>
        </w:tc>
        <w:tc>
          <w:tcPr>
            <w:tcW w:w="7380" w:type="dxa"/>
            <w:tcBorders>
              <w:left w:val="single" w:sz="4" w:space="0" w:color="auto"/>
            </w:tcBorders>
          </w:tcPr>
          <w:p w14:paraId="069BAB4B" w14:textId="77777777" w:rsidR="00F91326" w:rsidRPr="00F91326" w:rsidRDefault="00F91326" w:rsidP="00814856">
            <w:pPr>
              <w:pStyle w:val="TBText"/>
              <w:keepNext/>
            </w:pPr>
            <w:r w:rsidRPr="00F91326">
              <w:t>An element of the financial statements</w:t>
            </w:r>
          </w:p>
        </w:tc>
      </w:tr>
      <w:tr w:rsidR="00F91326" w:rsidRPr="00F91326" w14:paraId="31304BC8" w14:textId="77777777" w:rsidTr="00814856">
        <w:tc>
          <w:tcPr>
            <w:tcW w:w="1980" w:type="dxa"/>
            <w:tcBorders>
              <w:right w:val="single" w:sz="4" w:space="0" w:color="auto"/>
            </w:tcBorders>
          </w:tcPr>
          <w:p w14:paraId="3540435E" w14:textId="77777777" w:rsidR="00F91326" w:rsidRPr="00F91326" w:rsidRDefault="00F91326" w:rsidP="00814856">
            <w:pPr>
              <w:pStyle w:val="TBText"/>
              <w:keepNext/>
            </w:pPr>
            <w:r w:rsidRPr="00F91326">
              <w:t>IFRS</w:t>
            </w:r>
          </w:p>
        </w:tc>
        <w:tc>
          <w:tcPr>
            <w:tcW w:w="7380" w:type="dxa"/>
            <w:tcBorders>
              <w:left w:val="single" w:sz="4" w:space="0" w:color="auto"/>
            </w:tcBorders>
          </w:tcPr>
          <w:p w14:paraId="7D6545B6" w14:textId="77777777" w:rsidR="00F91326" w:rsidRPr="00F91326" w:rsidRDefault="00F91326" w:rsidP="00814856">
            <w:pPr>
              <w:pStyle w:val="TBText"/>
              <w:keepNext/>
            </w:pPr>
            <w:r w:rsidRPr="00F91326">
              <w:t>Probable that any future economic benefit associated with the item will flow to or from the company</w:t>
            </w:r>
          </w:p>
        </w:tc>
      </w:tr>
      <w:tr w:rsidR="00F91326" w:rsidRPr="00F91326" w14:paraId="534B2ADE" w14:textId="77777777" w:rsidTr="00814856">
        <w:tc>
          <w:tcPr>
            <w:tcW w:w="1980" w:type="dxa"/>
            <w:tcBorders>
              <w:right w:val="single" w:sz="4" w:space="0" w:color="auto"/>
            </w:tcBorders>
          </w:tcPr>
          <w:p w14:paraId="24D80A74" w14:textId="77777777" w:rsidR="00F91326" w:rsidRPr="00F91326" w:rsidRDefault="00F91326" w:rsidP="00814856">
            <w:pPr>
              <w:pStyle w:val="TBText"/>
              <w:keepNext/>
            </w:pPr>
            <w:r w:rsidRPr="00F91326">
              <w:t>Both</w:t>
            </w:r>
          </w:p>
        </w:tc>
        <w:tc>
          <w:tcPr>
            <w:tcW w:w="7380" w:type="dxa"/>
            <w:tcBorders>
              <w:left w:val="single" w:sz="4" w:space="0" w:color="auto"/>
            </w:tcBorders>
          </w:tcPr>
          <w:p w14:paraId="0F15D2F8" w14:textId="77777777" w:rsidR="00F91326" w:rsidRPr="00F91326" w:rsidRDefault="00F91326" w:rsidP="00814856">
            <w:pPr>
              <w:pStyle w:val="TBText"/>
              <w:keepNext/>
            </w:pPr>
            <w:r w:rsidRPr="00F91326">
              <w:t>Measurable</w:t>
            </w:r>
            <w:r w:rsidR="00424A7B">
              <w:t xml:space="preserve"> </w:t>
            </w:r>
          </w:p>
        </w:tc>
      </w:tr>
      <w:tr w:rsidR="00F91326" w:rsidRPr="00F91326" w14:paraId="3402DA60" w14:textId="77777777" w:rsidTr="00814856">
        <w:tc>
          <w:tcPr>
            <w:tcW w:w="1980" w:type="dxa"/>
            <w:tcBorders>
              <w:right w:val="single" w:sz="4" w:space="0" w:color="auto"/>
            </w:tcBorders>
          </w:tcPr>
          <w:p w14:paraId="05B85806" w14:textId="77777777" w:rsidR="00F91326" w:rsidRPr="00F91326" w:rsidRDefault="00F91326" w:rsidP="00814856">
            <w:pPr>
              <w:pStyle w:val="TBText"/>
              <w:keepNext/>
            </w:pPr>
            <w:r w:rsidRPr="00F91326">
              <w:t>Both</w:t>
            </w:r>
          </w:p>
        </w:tc>
        <w:tc>
          <w:tcPr>
            <w:tcW w:w="7380" w:type="dxa"/>
            <w:tcBorders>
              <w:left w:val="single" w:sz="4" w:space="0" w:color="auto"/>
            </w:tcBorders>
          </w:tcPr>
          <w:p w14:paraId="0C159BB3" w14:textId="77777777" w:rsidR="00F91326" w:rsidRPr="00F91326" w:rsidRDefault="00F91326" w:rsidP="00814856">
            <w:pPr>
              <w:pStyle w:val="TBText"/>
              <w:keepNext/>
            </w:pPr>
            <w:r w:rsidRPr="00F91326">
              <w:t xml:space="preserve">Reliable </w:t>
            </w:r>
          </w:p>
        </w:tc>
      </w:tr>
      <w:tr w:rsidR="00F91326" w:rsidRPr="00F91326" w14:paraId="6CBB8C72" w14:textId="77777777" w:rsidTr="00814856">
        <w:tc>
          <w:tcPr>
            <w:tcW w:w="1980" w:type="dxa"/>
            <w:tcBorders>
              <w:right w:val="single" w:sz="4" w:space="0" w:color="auto"/>
            </w:tcBorders>
          </w:tcPr>
          <w:p w14:paraId="6C805F20" w14:textId="77777777" w:rsidR="00F91326" w:rsidRPr="00F91326" w:rsidRDefault="00F91326" w:rsidP="00450A41">
            <w:pPr>
              <w:pStyle w:val="TBText"/>
            </w:pPr>
            <w:r w:rsidRPr="00F91326">
              <w:t>Both</w:t>
            </w:r>
          </w:p>
        </w:tc>
        <w:tc>
          <w:tcPr>
            <w:tcW w:w="7380" w:type="dxa"/>
            <w:tcBorders>
              <w:left w:val="single" w:sz="4" w:space="0" w:color="auto"/>
            </w:tcBorders>
          </w:tcPr>
          <w:p w14:paraId="13CE4F0E" w14:textId="77777777" w:rsidR="00F91326" w:rsidRPr="00F91326" w:rsidRDefault="00F91326" w:rsidP="00450A41">
            <w:pPr>
              <w:pStyle w:val="TBText"/>
            </w:pPr>
            <w:r w:rsidRPr="00F91326">
              <w:t>Subject to cost-benefit constraint</w:t>
            </w:r>
          </w:p>
        </w:tc>
      </w:tr>
    </w:tbl>
    <w:p w14:paraId="7207F2BD" w14:textId="684165FF" w:rsidR="000F3346" w:rsidRDefault="000F3346" w:rsidP="00814856">
      <w:pPr>
        <w:pStyle w:val="TextBasic"/>
        <w:spacing w:after="120"/>
        <w:rPr>
          <w:b/>
        </w:rPr>
      </w:pPr>
      <w:r>
        <w:rPr>
          <w:b/>
        </w:rPr>
        <w:t>Solution to BE2-1</w:t>
      </w:r>
      <w:r w:rsidR="00310ABE">
        <w:rPr>
          <w:b/>
        </w:rPr>
        <w:t>9</w:t>
      </w:r>
      <w:r w:rsidR="00424A7B">
        <w:rPr>
          <w:b/>
        </w:rPr>
        <w:t xml:space="preserve"> </w:t>
      </w:r>
      <w:r w:rsidR="00F91326" w:rsidRPr="00F91326">
        <w:rPr>
          <w:b/>
        </w:rPr>
        <w:t xml:space="preserve"> </w:t>
      </w:r>
    </w:p>
    <w:p w14:paraId="35F82A48" w14:textId="77777777" w:rsidR="00F91326" w:rsidRPr="00F91326" w:rsidRDefault="00F91326" w:rsidP="00814856">
      <w:pPr>
        <w:pStyle w:val="TextBasic"/>
        <w:spacing w:after="120"/>
      </w:pPr>
      <w:r w:rsidRPr="00F91326">
        <w:t>The measurement bases are matched with its definition.</w:t>
      </w:r>
    </w:p>
    <w:tbl>
      <w:tblPr>
        <w:tblW w:w="0" w:type="auto"/>
        <w:tblInd w:w="198" w:type="dxa"/>
        <w:tblLook w:val="04A0" w:firstRow="1" w:lastRow="0" w:firstColumn="1" w:lastColumn="0" w:noHBand="0" w:noVBand="1"/>
      </w:tblPr>
      <w:tblGrid>
        <w:gridCol w:w="2663"/>
        <w:gridCol w:w="6499"/>
      </w:tblGrid>
      <w:tr w:rsidR="00F91326" w:rsidRPr="00F91326" w14:paraId="1612CB86" w14:textId="77777777" w:rsidTr="00814856">
        <w:tc>
          <w:tcPr>
            <w:tcW w:w="2700" w:type="dxa"/>
            <w:tcBorders>
              <w:bottom w:val="single" w:sz="4" w:space="0" w:color="auto"/>
              <w:right w:val="single" w:sz="4" w:space="0" w:color="auto"/>
            </w:tcBorders>
          </w:tcPr>
          <w:p w14:paraId="0C7ADC1C" w14:textId="77777777" w:rsidR="00F91326" w:rsidRPr="00F91326" w:rsidRDefault="00F91326" w:rsidP="00EC345F">
            <w:pPr>
              <w:pStyle w:val="TCH"/>
            </w:pPr>
            <w:r w:rsidRPr="00F91326">
              <w:t>Measurement Bases</w:t>
            </w:r>
          </w:p>
        </w:tc>
        <w:tc>
          <w:tcPr>
            <w:tcW w:w="6678" w:type="dxa"/>
            <w:tcBorders>
              <w:left w:val="single" w:sz="4" w:space="0" w:color="auto"/>
              <w:bottom w:val="single" w:sz="4" w:space="0" w:color="auto"/>
            </w:tcBorders>
          </w:tcPr>
          <w:p w14:paraId="605ACA61" w14:textId="77777777" w:rsidR="00F91326" w:rsidRPr="00F91326" w:rsidRDefault="00F91326" w:rsidP="00EC345F">
            <w:pPr>
              <w:pStyle w:val="TCH"/>
            </w:pPr>
            <w:r w:rsidRPr="00F91326">
              <w:t>Definition</w:t>
            </w:r>
          </w:p>
        </w:tc>
      </w:tr>
      <w:tr w:rsidR="00F91326" w:rsidRPr="00F91326" w14:paraId="69A1A66D" w14:textId="77777777" w:rsidTr="00814856">
        <w:tc>
          <w:tcPr>
            <w:tcW w:w="2700" w:type="dxa"/>
            <w:tcBorders>
              <w:top w:val="single" w:sz="4" w:space="0" w:color="auto"/>
              <w:right w:val="single" w:sz="4" w:space="0" w:color="auto"/>
            </w:tcBorders>
          </w:tcPr>
          <w:p w14:paraId="6A1696D0" w14:textId="77777777" w:rsidR="00F91326" w:rsidRPr="00F91326" w:rsidRDefault="00EC345F" w:rsidP="00814856">
            <w:pPr>
              <w:pStyle w:val="NL"/>
            </w:pPr>
            <w:r>
              <w:t>1.</w:t>
            </w:r>
            <w:r>
              <w:tab/>
            </w:r>
            <w:r w:rsidR="00F91326" w:rsidRPr="00F91326">
              <w:t>Historical cost</w:t>
            </w:r>
          </w:p>
        </w:tc>
        <w:tc>
          <w:tcPr>
            <w:tcW w:w="6678" w:type="dxa"/>
            <w:tcBorders>
              <w:top w:val="single" w:sz="4" w:space="0" w:color="auto"/>
              <w:left w:val="single" w:sz="4" w:space="0" w:color="auto"/>
            </w:tcBorders>
          </w:tcPr>
          <w:p w14:paraId="7FA4A02C" w14:textId="77777777" w:rsidR="00F91326" w:rsidRPr="00F91326" w:rsidRDefault="00EC345F" w:rsidP="00814856">
            <w:pPr>
              <w:pStyle w:val="NL"/>
            </w:pPr>
            <w:r>
              <w:t>C.</w:t>
            </w:r>
            <w:r>
              <w:tab/>
            </w:r>
            <w:r w:rsidR="00F91326" w:rsidRPr="00F91326">
              <w:t>Amount of cash (or equivalent) that is paid to acquire the asset.</w:t>
            </w:r>
            <w:r w:rsidR="00424A7B">
              <w:t xml:space="preserve"> </w:t>
            </w:r>
            <w:r w:rsidR="00F91326" w:rsidRPr="00F91326">
              <w:t>In the case of a liability, this measurement base is the amount of cash (or equivalent) that is received when the obligation was incurred.</w:t>
            </w:r>
            <w:r w:rsidR="00424A7B">
              <w:t xml:space="preserve"> </w:t>
            </w:r>
            <w:r w:rsidR="00F91326" w:rsidRPr="00F91326">
              <w:t>This measurement base may change over the life of the asset/liability if it is adjusted for depreciation or amortization.</w:t>
            </w:r>
          </w:p>
        </w:tc>
      </w:tr>
      <w:tr w:rsidR="00F91326" w:rsidRPr="00F91326" w14:paraId="1CB1E86A" w14:textId="77777777" w:rsidTr="00814856">
        <w:tc>
          <w:tcPr>
            <w:tcW w:w="2700" w:type="dxa"/>
            <w:tcBorders>
              <w:right w:val="single" w:sz="4" w:space="0" w:color="auto"/>
            </w:tcBorders>
          </w:tcPr>
          <w:p w14:paraId="797A99E8" w14:textId="77777777" w:rsidR="00F91326" w:rsidRPr="00F91326" w:rsidRDefault="00EC345F" w:rsidP="00814856">
            <w:pPr>
              <w:pStyle w:val="NL"/>
            </w:pPr>
            <w:r>
              <w:t>2.</w:t>
            </w:r>
            <w:r>
              <w:tab/>
            </w:r>
            <w:r w:rsidR="00F91326" w:rsidRPr="00F91326">
              <w:t>Current cost</w:t>
            </w:r>
          </w:p>
        </w:tc>
        <w:tc>
          <w:tcPr>
            <w:tcW w:w="6678" w:type="dxa"/>
            <w:tcBorders>
              <w:left w:val="single" w:sz="4" w:space="0" w:color="auto"/>
            </w:tcBorders>
          </w:tcPr>
          <w:p w14:paraId="6F6F5237" w14:textId="77777777" w:rsidR="00F91326" w:rsidRPr="00F91326" w:rsidRDefault="00EC345F" w:rsidP="00814856">
            <w:pPr>
              <w:pStyle w:val="NL"/>
            </w:pPr>
            <w:r>
              <w:t>A.</w:t>
            </w:r>
            <w:r>
              <w:tab/>
            </w:r>
            <w:r w:rsidR="00F91326" w:rsidRPr="00F91326">
              <w:t>Amount of cash (or equivalent) that would be required if the asset were acquired currently.</w:t>
            </w:r>
            <w:r w:rsidR="00424A7B">
              <w:t xml:space="preserve"> </w:t>
            </w:r>
          </w:p>
        </w:tc>
      </w:tr>
      <w:tr w:rsidR="00F91326" w:rsidRPr="00F91326" w14:paraId="66AAB095" w14:textId="77777777" w:rsidTr="00814856">
        <w:tc>
          <w:tcPr>
            <w:tcW w:w="2700" w:type="dxa"/>
            <w:tcBorders>
              <w:right w:val="single" w:sz="4" w:space="0" w:color="auto"/>
            </w:tcBorders>
          </w:tcPr>
          <w:p w14:paraId="702DFBA7" w14:textId="77777777" w:rsidR="00F91326" w:rsidRPr="00F91326" w:rsidRDefault="00EC345F" w:rsidP="00814856">
            <w:pPr>
              <w:pStyle w:val="NL"/>
            </w:pPr>
            <w:r>
              <w:t>3.</w:t>
            </w:r>
            <w:r>
              <w:tab/>
            </w:r>
            <w:r w:rsidR="00F91326" w:rsidRPr="00F91326">
              <w:t>Net realizable value</w:t>
            </w:r>
          </w:p>
        </w:tc>
        <w:tc>
          <w:tcPr>
            <w:tcW w:w="6678" w:type="dxa"/>
            <w:tcBorders>
              <w:left w:val="single" w:sz="4" w:space="0" w:color="auto"/>
            </w:tcBorders>
          </w:tcPr>
          <w:p w14:paraId="2F1C2B02" w14:textId="5EF48848" w:rsidR="00F91326" w:rsidRPr="00F91326" w:rsidRDefault="00EC345F" w:rsidP="00276904">
            <w:pPr>
              <w:pStyle w:val="NL"/>
            </w:pPr>
            <w:r>
              <w:t>D.</w:t>
            </w:r>
            <w:r>
              <w:tab/>
            </w:r>
            <w:r w:rsidR="00F91326" w:rsidRPr="00F91326">
              <w:t>Amount of cash (or equivalent) that is expected to be received in exchange for an asset, less the direct costs of the disposal.</w:t>
            </w:r>
            <w:r w:rsidR="00424A7B">
              <w:t xml:space="preserve"> </w:t>
            </w:r>
            <w:r w:rsidR="00F91326" w:rsidRPr="00F91326">
              <w:t>In the case of a liability, it is the amount of cash (or equivalent) expected to be paid to liquidate the obligation, including any direct costs of liquidation.</w:t>
            </w:r>
          </w:p>
        </w:tc>
      </w:tr>
      <w:tr w:rsidR="00F91326" w:rsidRPr="00F91326" w14:paraId="48E7A6A8" w14:textId="77777777" w:rsidTr="00814856">
        <w:tc>
          <w:tcPr>
            <w:tcW w:w="2700" w:type="dxa"/>
            <w:tcBorders>
              <w:right w:val="single" w:sz="4" w:space="0" w:color="auto"/>
            </w:tcBorders>
          </w:tcPr>
          <w:p w14:paraId="3D45418F" w14:textId="77777777" w:rsidR="00F91326" w:rsidRPr="00F91326" w:rsidRDefault="00EC345F" w:rsidP="00814856">
            <w:pPr>
              <w:pStyle w:val="NL"/>
            </w:pPr>
            <w:r>
              <w:t>4.</w:t>
            </w:r>
            <w:r>
              <w:tab/>
            </w:r>
            <w:r w:rsidR="00F91326" w:rsidRPr="00F91326">
              <w:t>Present value of future cash flows</w:t>
            </w:r>
          </w:p>
        </w:tc>
        <w:tc>
          <w:tcPr>
            <w:tcW w:w="6678" w:type="dxa"/>
            <w:tcBorders>
              <w:left w:val="single" w:sz="4" w:space="0" w:color="auto"/>
            </w:tcBorders>
          </w:tcPr>
          <w:p w14:paraId="24F0E756" w14:textId="77777777" w:rsidR="00F91326" w:rsidRPr="00F91326" w:rsidRDefault="00EC345F" w:rsidP="00814856">
            <w:pPr>
              <w:pStyle w:val="NL"/>
            </w:pPr>
            <w:r>
              <w:t>E.</w:t>
            </w:r>
            <w:r>
              <w:tab/>
            </w:r>
            <w:r w:rsidR="00F91326" w:rsidRPr="00F91326">
              <w:t>Discounted net cash flows expected to be received for an asset, or paid out in the case of a liability.</w:t>
            </w:r>
          </w:p>
        </w:tc>
      </w:tr>
      <w:tr w:rsidR="00F91326" w:rsidRPr="00F91326" w14:paraId="04A8F850" w14:textId="77777777" w:rsidTr="00814856">
        <w:tc>
          <w:tcPr>
            <w:tcW w:w="2700" w:type="dxa"/>
            <w:tcBorders>
              <w:right w:val="single" w:sz="4" w:space="0" w:color="auto"/>
            </w:tcBorders>
          </w:tcPr>
          <w:p w14:paraId="79F161C1" w14:textId="77777777" w:rsidR="00F91326" w:rsidRPr="00F91326" w:rsidRDefault="00EC345F" w:rsidP="00814856">
            <w:pPr>
              <w:pStyle w:val="NL"/>
            </w:pPr>
            <w:r>
              <w:t>5.</w:t>
            </w:r>
            <w:r>
              <w:tab/>
            </w:r>
            <w:r w:rsidR="00F91326" w:rsidRPr="00F91326">
              <w:t>Current market value</w:t>
            </w:r>
          </w:p>
        </w:tc>
        <w:tc>
          <w:tcPr>
            <w:tcW w:w="6678" w:type="dxa"/>
            <w:tcBorders>
              <w:left w:val="single" w:sz="4" w:space="0" w:color="auto"/>
            </w:tcBorders>
          </w:tcPr>
          <w:p w14:paraId="3C402A71" w14:textId="77777777" w:rsidR="00F91326" w:rsidRPr="00F91326" w:rsidRDefault="00EC345F" w:rsidP="00814856">
            <w:pPr>
              <w:pStyle w:val="NL"/>
            </w:pPr>
            <w:r>
              <w:t>B.</w:t>
            </w:r>
            <w:r>
              <w:tab/>
            </w:r>
            <w:r w:rsidR="00F91326" w:rsidRPr="00F91326">
              <w:t>Amount of cash (or equivalent) that would be received by selling the asset in an orderly liquidation.</w:t>
            </w:r>
            <w:r w:rsidR="00424A7B">
              <w:t xml:space="preserve"> </w:t>
            </w:r>
            <w:r w:rsidR="00F91326" w:rsidRPr="00F91326">
              <w:t>Liabilities may also be measured at current market value.</w:t>
            </w:r>
          </w:p>
        </w:tc>
      </w:tr>
    </w:tbl>
    <w:p w14:paraId="614ABE92" w14:textId="14A6956D" w:rsidR="00F91326" w:rsidRPr="00EC345F" w:rsidRDefault="00310ABE" w:rsidP="00814856">
      <w:pPr>
        <w:pStyle w:val="BheadSolutionNumber"/>
      </w:pPr>
      <w:r>
        <w:t>Solution to BE2-20</w:t>
      </w:r>
      <w:r w:rsidR="00F91326" w:rsidRPr="00F91326">
        <w:t xml:space="preserve"> </w:t>
      </w:r>
    </w:p>
    <w:tbl>
      <w:tblPr>
        <w:tblStyle w:val="TableGrid"/>
        <w:tblW w:w="0" w:type="auto"/>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2610"/>
        <w:gridCol w:w="2970"/>
      </w:tblGrid>
      <w:tr w:rsidR="00F91326" w:rsidRPr="00F91326" w14:paraId="79C1A95B" w14:textId="77777777" w:rsidTr="00814856">
        <w:tc>
          <w:tcPr>
            <w:tcW w:w="720" w:type="dxa"/>
            <w:tcBorders>
              <w:bottom w:val="single" w:sz="4" w:space="0" w:color="auto"/>
            </w:tcBorders>
          </w:tcPr>
          <w:p w14:paraId="0B7DD902" w14:textId="77777777" w:rsidR="00F91326" w:rsidRPr="00F91326" w:rsidRDefault="00F91326" w:rsidP="00814856">
            <w:pPr>
              <w:pStyle w:val="TCH"/>
              <w:keepNext/>
            </w:pPr>
            <w:r w:rsidRPr="00F91326">
              <w:t>Item</w:t>
            </w:r>
          </w:p>
        </w:tc>
        <w:tc>
          <w:tcPr>
            <w:tcW w:w="2610" w:type="dxa"/>
            <w:tcBorders>
              <w:bottom w:val="single" w:sz="4" w:space="0" w:color="auto"/>
              <w:right w:val="single" w:sz="4" w:space="0" w:color="auto"/>
            </w:tcBorders>
          </w:tcPr>
          <w:p w14:paraId="75FADFC4" w14:textId="77777777" w:rsidR="00F91326" w:rsidRPr="00F91326" w:rsidRDefault="00F91326" w:rsidP="00814856">
            <w:pPr>
              <w:pStyle w:val="TCH"/>
              <w:keepNext/>
            </w:pPr>
            <w:r w:rsidRPr="00F91326">
              <w:t>Cash-Basis Accounting</w:t>
            </w:r>
          </w:p>
        </w:tc>
        <w:tc>
          <w:tcPr>
            <w:tcW w:w="2970" w:type="dxa"/>
            <w:tcBorders>
              <w:left w:val="single" w:sz="4" w:space="0" w:color="auto"/>
              <w:bottom w:val="single" w:sz="4" w:space="0" w:color="auto"/>
            </w:tcBorders>
          </w:tcPr>
          <w:p w14:paraId="34674B54" w14:textId="77777777" w:rsidR="00F91326" w:rsidRPr="00F91326" w:rsidRDefault="00F91326" w:rsidP="00814856">
            <w:pPr>
              <w:pStyle w:val="TCH"/>
              <w:keepNext/>
            </w:pPr>
            <w:r w:rsidRPr="00F91326">
              <w:t>Accrual-Basis Accounting</w:t>
            </w:r>
          </w:p>
        </w:tc>
      </w:tr>
      <w:tr w:rsidR="00F91326" w:rsidRPr="00F91326" w14:paraId="602B9B40" w14:textId="77777777" w:rsidTr="00814856">
        <w:tc>
          <w:tcPr>
            <w:tcW w:w="720" w:type="dxa"/>
            <w:tcBorders>
              <w:top w:val="single" w:sz="4" w:space="0" w:color="auto"/>
            </w:tcBorders>
          </w:tcPr>
          <w:p w14:paraId="158B1214" w14:textId="77777777" w:rsidR="00F91326" w:rsidRPr="00F91326" w:rsidRDefault="00F91326" w:rsidP="00814856">
            <w:pPr>
              <w:pStyle w:val="TBText"/>
              <w:keepNext/>
            </w:pPr>
            <w:r w:rsidRPr="00F91326">
              <w:t>a.</w:t>
            </w:r>
          </w:p>
        </w:tc>
        <w:tc>
          <w:tcPr>
            <w:tcW w:w="2610" w:type="dxa"/>
            <w:tcBorders>
              <w:top w:val="single" w:sz="4" w:space="0" w:color="auto"/>
              <w:right w:val="single" w:sz="4" w:space="0" w:color="auto"/>
            </w:tcBorders>
          </w:tcPr>
          <w:p w14:paraId="13415339" w14:textId="77777777" w:rsidR="00F91326" w:rsidRPr="00F91326" w:rsidRDefault="00F91326" w:rsidP="00814856">
            <w:pPr>
              <w:pStyle w:val="TBText"/>
              <w:keepNext/>
            </w:pPr>
            <w:r w:rsidRPr="00F91326">
              <w:t>no effect</w:t>
            </w:r>
          </w:p>
        </w:tc>
        <w:tc>
          <w:tcPr>
            <w:tcW w:w="2970" w:type="dxa"/>
            <w:tcBorders>
              <w:top w:val="single" w:sz="4" w:space="0" w:color="auto"/>
              <w:left w:val="single" w:sz="4" w:space="0" w:color="auto"/>
            </w:tcBorders>
          </w:tcPr>
          <w:p w14:paraId="4C226FE6" w14:textId="77777777" w:rsidR="00F91326" w:rsidRPr="00F91326" w:rsidRDefault="00F91326" w:rsidP="00814856">
            <w:pPr>
              <w:pStyle w:val="TBText"/>
              <w:keepNext/>
            </w:pPr>
            <w:r w:rsidRPr="00F91326">
              <w:t>$2,000 revenue</w:t>
            </w:r>
          </w:p>
        </w:tc>
      </w:tr>
      <w:tr w:rsidR="00F91326" w:rsidRPr="00F91326" w14:paraId="41938523" w14:textId="77777777" w:rsidTr="00814856">
        <w:tc>
          <w:tcPr>
            <w:tcW w:w="720" w:type="dxa"/>
          </w:tcPr>
          <w:p w14:paraId="03EFD825" w14:textId="77777777" w:rsidR="00F91326" w:rsidRPr="00F91326" w:rsidRDefault="00F91326" w:rsidP="00450A41">
            <w:pPr>
              <w:pStyle w:val="TBText"/>
            </w:pPr>
            <w:r w:rsidRPr="00F91326">
              <w:t>b.</w:t>
            </w:r>
          </w:p>
        </w:tc>
        <w:tc>
          <w:tcPr>
            <w:tcW w:w="2610" w:type="dxa"/>
            <w:tcBorders>
              <w:right w:val="single" w:sz="4" w:space="0" w:color="auto"/>
            </w:tcBorders>
          </w:tcPr>
          <w:p w14:paraId="2343BA84" w14:textId="77777777" w:rsidR="00F91326" w:rsidRPr="00F91326" w:rsidRDefault="00F91326" w:rsidP="00450A41">
            <w:pPr>
              <w:pStyle w:val="TBText"/>
            </w:pPr>
            <w:r w:rsidRPr="00F91326">
              <w:t>$1,500 revenue</w:t>
            </w:r>
          </w:p>
        </w:tc>
        <w:tc>
          <w:tcPr>
            <w:tcW w:w="2970" w:type="dxa"/>
            <w:tcBorders>
              <w:left w:val="single" w:sz="4" w:space="0" w:color="auto"/>
            </w:tcBorders>
          </w:tcPr>
          <w:p w14:paraId="785720D5" w14:textId="77777777" w:rsidR="00F91326" w:rsidRPr="00F91326" w:rsidRDefault="00F91326" w:rsidP="00450A41">
            <w:pPr>
              <w:pStyle w:val="TBText"/>
            </w:pPr>
            <w:r w:rsidRPr="00F91326">
              <w:t>no effect</w:t>
            </w:r>
          </w:p>
        </w:tc>
      </w:tr>
      <w:tr w:rsidR="00F91326" w:rsidRPr="00F91326" w14:paraId="05562CD1" w14:textId="77777777" w:rsidTr="00814856">
        <w:tc>
          <w:tcPr>
            <w:tcW w:w="720" w:type="dxa"/>
          </w:tcPr>
          <w:p w14:paraId="53676FFF" w14:textId="77777777" w:rsidR="00F91326" w:rsidRPr="00F91326" w:rsidRDefault="00F91326" w:rsidP="00450A41">
            <w:pPr>
              <w:pStyle w:val="TBText"/>
            </w:pPr>
            <w:r w:rsidRPr="00F91326">
              <w:t>c.</w:t>
            </w:r>
          </w:p>
        </w:tc>
        <w:tc>
          <w:tcPr>
            <w:tcW w:w="2610" w:type="dxa"/>
            <w:tcBorders>
              <w:right w:val="single" w:sz="4" w:space="0" w:color="auto"/>
            </w:tcBorders>
          </w:tcPr>
          <w:p w14:paraId="42407323" w14:textId="77777777" w:rsidR="00F91326" w:rsidRPr="00F91326" w:rsidRDefault="00F91326" w:rsidP="00450A41">
            <w:pPr>
              <w:pStyle w:val="TBText"/>
            </w:pPr>
            <w:r w:rsidRPr="00F91326">
              <w:t>$300 expense</w:t>
            </w:r>
          </w:p>
        </w:tc>
        <w:tc>
          <w:tcPr>
            <w:tcW w:w="2970" w:type="dxa"/>
            <w:tcBorders>
              <w:left w:val="single" w:sz="4" w:space="0" w:color="auto"/>
            </w:tcBorders>
          </w:tcPr>
          <w:p w14:paraId="3D8DD5F7" w14:textId="77777777" w:rsidR="00F91326" w:rsidRPr="00F91326" w:rsidRDefault="00F91326" w:rsidP="00450A41">
            <w:pPr>
              <w:pStyle w:val="TBText"/>
            </w:pPr>
            <w:r w:rsidRPr="00F91326">
              <w:t>$300 expense</w:t>
            </w:r>
          </w:p>
        </w:tc>
      </w:tr>
      <w:tr w:rsidR="00F91326" w:rsidRPr="00F91326" w14:paraId="5742BF71" w14:textId="77777777" w:rsidTr="00814856">
        <w:tc>
          <w:tcPr>
            <w:tcW w:w="720" w:type="dxa"/>
          </w:tcPr>
          <w:p w14:paraId="5601F75C" w14:textId="77777777" w:rsidR="00F91326" w:rsidRPr="00F91326" w:rsidRDefault="00F91326" w:rsidP="00450A41">
            <w:pPr>
              <w:pStyle w:val="TBText"/>
            </w:pPr>
            <w:r w:rsidRPr="00F91326">
              <w:t>d.</w:t>
            </w:r>
          </w:p>
        </w:tc>
        <w:tc>
          <w:tcPr>
            <w:tcW w:w="2610" w:type="dxa"/>
            <w:tcBorders>
              <w:right w:val="single" w:sz="4" w:space="0" w:color="auto"/>
            </w:tcBorders>
          </w:tcPr>
          <w:p w14:paraId="247B6F6C" w14:textId="77777777" w:rsidR="00F91326" w:rsidRPr="00F91326" w:rsidRDefault="00F91326" w:rsidP="00450A41">
            <w:pPr>
              <w:pStyle w:val="TBText"/>
            </w:pPr>
            <w:r w:rsidRPr="00F91326">
              <w:t>no effect</w:t>
            </w:r>
          </w:p>
        </w:tc>
        <w:tc>
          <w:tcPr>
            <w:tcW w:w="2970" w:type="dxa"/>
            <w:tcBorders>
              <w:left w:val="single" w:sz="4" w:space="0" w:color="auto"/>
            </w:tcBorders>
          </w:tcPr>
          <w:p w14:paraId="2E6E4466" w14:textId="77777777" w:rsidR="00F91326" w:rsidRPr="00F91326" w:rsidRDefault="00F91326" w:rsidP="00450A41">
            <w:pPr>
              <w:pStyle w:val="TBText"/>
            </w:pPr>
            <w:r w:rsidRPr="00F91326">
              <w:t>$850 expense</w:t>
            </w:r>
          </w:p>
        </w:tc>
      </w:tr>
      <w:tr w:rsidR="00F91326" w:rsidRPr="00F91326" w14:paraId="6ED49028" w14:textId="77777777" w:rsidTr="00814856">
        <w:tc>
          <w:tcPr>
            <w:tcW w:w="720" w:type="dxa"/>
          </w:tcPr>
          <w:p w14:paraId="36B72958" w14:textId="77777777" w:rsidR="00F91326" w:rsidRPr="00F91326" w:rsidRDefault="00F91326" w:rsidP="00450A41">
            <w:pPr>
              <w:pStyle w:val="TBText"/>
            </w:pPr>
            <w:r w:rsidRPr="00F91326">
              <w:t>e.</w:t>
            </w:r>
          </w:p>
        </w:tc>
        <w:tc>
          <w:tcPr>
            <w:tcW w:w="2610" w:type="dxa"/>
            <w:tcBorders>
              <w:right w:val="single" w:sz="4" w:space="0" w:color="auto"/>
            </w:tcBorders>
          </w:tcPr>
          <w:p w14:paraId="2BB9DFE6" w14:textId="77777777" w:rsidR="00F91326" w:rsidRPr="00F91326" w:rsidRDefault="00F91326" w:rsidP="00450A41">
            <w:pPr>
              <w:pStyle w:val="TBText"/>
            </w:pPr>
            <w:r w:rsidRPr="00F91326">
              <w:t>$700 revenue</w:t>
            </w:r>
          </w:p>
        </w:tc>
        <w:tc>
          <w:tcPr>
            <w:tcW w:w="2970" w:type="dxa"/>
            <w:tcBorders>
              <w:left w:val="single" w:sz="4" w:space="0" w:color="auto"/>
            </w:tcBorders>
          </w:tcPr>
          <w:p w14:paraId="14CF469C" w14:textId="77777777" w:rsidR="00F91326" w:rsidRPr="00F91326" w:rsidRDefault="00F91326" w:rsidP="00450A41">
            <w:pPr>
              <w:pStyle w:val="TBText"/>
            </w:pPr>
            <w:r w:rsidRPr="00F91326">
              <w:t>no effect</w:t>
            </w:r>
          </w:p>
        </w:tc>
      </w:tr>
    </w:tbl>
    <w:p w14:paraId="6BAB454A" w14:textId="24C329CA" w:rsidR="00F91326" w:rsidRPr="00EC345F" w:rsidRDefault="00310ABE" w:rsidP="00EC345F">
      <w:pPr>
        <w:pStyle w:val="BheadSolutionNumber"/>
      </w:pPr>
      <w:r>
        <w:t>Solution to BE2-21</w:t>
      </w:r>
      <w:r w:rsidR="00F91326" w:rsidRPr="00F91326">
        <w:t xml:space="preserve"> </w:t>
      </w: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7538"/>
        <w:gridCol w:w="2380"/>
      </w:tblGrid>
      <w:tr w:rsidR="00F91326" w:rsidRPr="00F91326" w14:paraId="49B6757C" w14:textId="77777777" w:rsidTr="00450A41">
        <w:tc>
          <w:tcPr>
            <w:tcW w:w="7538" w:type="dxa"/>
            <w:tcBorders>
              <w:bottom w:val="single" w:sz="4" w:space="0" w:color="auto"/>
              <w:right w:val="single" w:sz="4" w:space="0" w:color="auto"/>
            </w:tcBorders>
            <w:vAlign w:val="bottom"/>
          </w:tcPr>
          <w:p w14:paraId="248E2457" w14:textId="77777777" w:rsidR="00F91326" w:rsidRPr="00F91326" w:rsidRDefault="00F91326" w:rsidP="00450A41">
            <w:pPr>
              <w:pStyle w:val="TCH"/>
            </w:pPr>
            <w:r w:rsidRPr="00F91326">
              <w:t>Scenario</w:t>
            </w:r>
          </w:p>
        </w:tc>
        <w:tc>
          <w:tcPr>
            <w:tcW w:w="2380" w:type="dxa"/>
            <w:tcBorders>
              <w:left w:val="single" w:sz="4" w:space="0" w:color="auto"/>
              <w:bottom w:val="single" w:sz="4" w:space="0" w:color="auto"/>
            </w:tcBorders>
            <w:vAlign w:val="bottom"/>
          </w:tcPr>
          <w:p w14:paraId="7C14EC34" w14:textId="77777777" w:rsidR="00F91326" w:rsidRPr="00F91326" w:rsidRDefault="00F91326" w:rsidP="00450A41">
            <w:pPr>
              <w:pStyle w:val="TCH"/>
            </w:pPr>
            <w:r w:rsidRPr="00F91326">
              <w:t>Related Assumption or Concept</w:t>
            </w:r>
          </w:p>
        </w:tc>
      </w:tr>
      <w:tr w:rsidR="00F91326" w:rsidRPr="00F91326" w14:paraId="5202FF91" w14:textId="77777777" w:rsidTr="00450A41">
        <w:tc>
          <w:tcPr>
            <w:tcW w:w="7538" w:type="dxa"/>
            <w:tcBorders>
              <w:top w:val="single" w:sz="4" w:space="0" w:color="auto"/>
              <w:right w:val="single" w:sz="4" w:space="0" w:color="auto"/>
            </w:tcBorders>
          </w:tcPr>
          <w:p w14:paraId="77C5F3C7" w14:textId="77777777" w:rsidR="00F91326" w:rsidRPr="00F91326" w:rsidRDefault="00EC345F" w:rsidP="00814856">
            <w:pPr>
              <w:pStyle w:val="NL"/>
            </w:pPr>
            <w:r>
              <w:t>a.</w:t>
            </w:r>
            <w:r>
              <w:tab/>
            </w:r>
            <w:r w:rsidR="00F91326" w:rsidRPr="00F91326">
              <w:t>Monro Manufacturing requires that its division managers report to corporate headquarters on a monthly basis.</w:t>
            </w:r>
          </w:p>
        </w:tc>
        <w:tc>
          <w:tcPr>
            <w:tcW w:w="2380" w:type="dxa"/>
            <w:tcBorders>
              <w:top w:val="single" w:sz="4" w:space="0" w:color="auto"/>
              <w:left w:val="single" w:sz="4" w:space="0" w:color="auto"/>
            </w:tcBorders>
          </w:tcPr>
          <w:p w14:paraId="0026226A" w14:textId="77777777" w:rsidR="00F91326" w:rsidRPr="00F91326" w:rsidRDefault="00F91326" w:rsidP="00450A41">
            <w:pPr>
              <w:pStyle w:val="TBText"/>
            </w:pPr>
            <w:r w:rsidRPr="00F91326">
              <w:t xml:space="preserve">Periodicity </w:t>
            </w:r>
          </w:p>
        </w:tc>
      </w:tr>
      <w:tr w:rsidR="00F91326" w:rsidRPr="00F91326" w14:paraId="0895DCDF" w14:textId="77777777" w:rsidTr="00450A41">
        <w:tc>
          <w:tcPr>
            <w:tcW w:w="7538" w:type="dxa"/>
            <w:tcBorders>
              <w:right w:val="single" w:sz="4" w:space="0" w:color="auto"/>
            </w:tcBorders>
          </w:tcPr>
          <w:p w14:paraId="58134D52" w14:textId="77777777" w:rsidR="00F91326" w:rsidRPr="00F91326" w:rsidRDefault="00EC345F" w:rsidP="00814856">
            <w:pPr>
              <w:pStyle w:val="NL"/>
            </w:pPr>
            <w:r>
              <w:t>b.</w:t>
            </w:r>
            <w:r>
              <w:tab/>
            </w:r>
            <w:r w:rsidR="00F91326" w:rsidRPr="00F91326">
              <w:t>Rainbow Paints, Inc. owns 15% of New Eljam Company. Rainbow does not consolidate this affiliate company because it cannot control its operations.</w:t>
            </w:r>
          </w:p>
        </w:tc>
        <w:tc>
          <w:tcPr>
            <w:tcW w:w="2380" w:type="dxa"/>
            <w:tcBorders>
              <w:left w:val="single" w:sz="4" w:space="0" w:color="auto"/>
            </w:tcBorders>
          </w:tcPr>
          <w:p w14:paraId="778A1D60" w14:textId="77777777" w:rsidR="00F91326" w:rsidRPr="00F91326" w:rsidRDefault="00F91326" w:rsidP="00450A41">
            <w:pPr>
              <w:pStyle w:val="TBText"/>
            </w:pPr>
            <w:r w:rsidRPr="00F91326">
              <w:t>Business or economic entity</w:t>
            </w:r>
          </w:p>
        </w:tc>
      </w:tr>
      <w:tr w:rsidR="00F91326" w:rsidRPr="00F91326" w14:paraId="0882DEFC" w14:textId="77777777" w:rsidTr="00450A41">
        <w:tc>
          <w:tcPr>
            <w:tcW w:w="7538" w:type="dxa"/>
            <w:tcBorders>
              <w:right w:val="single" w:sz="4" w:space="0" w:color="auto"/>
            </w:tcBorders>
          </w:tcPr>
          <w:p w14:paraId="78470730" w14:textId="77777777" w:rsidR="00F91326" w:rsidRPr="00F91326" w:rsidRDefault="00EC345F" w:rsidP="00814856">
            <w:pPr>
              <w:pStyle w:val="NL"/>
            </w:pPr>
            <w:r>
              <w:t>c.</w:t>
            </w:r>
            <w:r>
              <w:tab/>
            </w:r>
            <w:r w:rsidR="00F91326" w:rsidRPr="00F91326">
              <w:t>Financial analysts at Nelson Corporation use an infinite-growth assumption in building a model to value the company.</w:t>
            </w:r>
          </w:p>
        </w:tc>
        <w:tc>
          <w:tcPr>
            <w:tcW w:w="2380" w:type="dxa"/>
            <w:tcBorders>
              <w:left w:val="single" w:sz="4" w:space="0" w:color="auto"/>
            </w:tcBorders>
          </w:tcPr>
          <w:p w14:paraId="57EBB4C5" w14:textId="77777777" w:rsidR="00F91326" w:rsidRPr="00F91326" w:rsidRDefault="00F91326" w:rsidP="00450A41">
            <w:pPr>
              <w:pStyle w:val="TBText"/>
            </w:pPr>
            <w:r w:rsidRPr="00F91326">
              <w:t>Going concern</w:t>
            </w:r>
          </w:p>
        </w:tc>
      </w:tr>
      <w:tr w:rsidR="00F91326" w:rsidRPr="00F91326" w14:paraId="55CF9740" w14:textId="77777777" w:rsidTr="00450A41">
        <w:tc>
          <w:tcPr>
            <w:tcW w:w="7538" w:type="dxa"/>
            <w:tcBorders>
              <w:right w:val="single" w:sz="4" w:space="0" w:color="auto"/>
            </w:tcBorders>
          </w:tcPr>
          <w:p w14:paraId="1FB10EDD" w14:textId="77777777" w:rsidR="00F91326" w:rsidRPr="00F91326" w:rsidRDefault="00EC345F" w:rsidP="00814856">
            <w:pPr>
              <w:pStyle w:val="NL"/>
            </w:pPr>
            <w:r>
              <w:t>d.</w:t>
            </w:r>
            <w:r>
              <w:tab/>
            </w:r>
            <w:r w:rsidR="00F91326" w:rsidRPr="00F91326">
              <w:t>Factory buildings that are reported on Jack Jones Warehousing, Inc.’s balance sheet is the sum of the total cost of two plants; one of the plants was acquired in 1951 and the other was purchased in 2011.</w:t>
            </w:r>
          </w:p>
        </w:tc>
        <w:tc>
          <w:tcPr>
            <w:tcW w:w="2380" w:type="dxa"/>
            <w:tcBorders>
              <w:left w:val="single" w:sz="4" w:space="0" w:color="auto"/>
            </w:tcBorders>
          </w:tcPr>
          <w:p w14:paraId="6693F94B" w14:textId="77777777" w:rsidR="00F91326" w:rsidRPr="00F91326" w:rsidRDefault="00F91326" w:rsidP="00450A41">
            <w:pPr>
              <w:pStyle w:val="TBText"/>
            </w:pPr>
            <w:r w:rsidRPr="00F91326">
              <w:t>Monetary unit</w:t>
            </w:r>
          </w:p>
        </w:tc>
      </w:tr>
    </w:tbl>
    <w:p w14:paraId="17EA4666" w14:textId="77777777" w:rsidR="00F91326" w:rsidRPr="00F91326" w:rsidRDefault="00F91326" w:rsidP="00EC345F">
      <w:pPr>
        <w:pStyle w:val="Ahead"/>
      </w:pPr>
      <w:r w:rsidRPr="00F91326">
        <w:t>Exercises</w:t>
      </w:r>
    </w:p>
    <w:p w14:paraId="119B69DC" w14:textId="77777777" w:rsidR="00F91326" w:rsidRPr="00EC345F" w:rsidRDefault="00F91326" w:rsidP="00EC345F">
      <w:pPr>
        <w:pStyle w:val="BheadSolutionNumber"/>
      </w:pPr>
      <w:r w:rsidRPr="00F91326">
        <w:t xml:space="preserve">Solution to </w:t>
      </w:r>
      <w:r w:rsidR="004F3672">
        <w:t>E2-1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280"/>
        <w:gridCol w:w="4080"/>
      </w:tblGrid>
      <w:tr w:rsidR="00F91326" w:rsidRPr="00F91326" w14:paraId="29D9BE6F" w14:textId="77777777" w:rsidTr="00814856">
        <w:trPr>
          <w:cantSplit/>
          <w:tblHeader/>
        </w:trPr>
        <w:tc>
          <w:tcPr>
            <w:tcW w:w="5418" w:type="dxa"/>
            <w:tcBorders>
              <w:bottom w:val="single" w:sz="4" w:space="0" w:color="auto"/>
              <w:right w:val="single" w:sz="4" w:space="0" w:color="auto"/>
            </w:tcBorders>
            <w:vAlign w:val="bottom"/>
          </w:tcPr>
          <w:p w14:paraId="1238D63F" w14:textId="77777777" w:rsidR="00F91326" w:rsidRPr="00F91326" w:rsidRDefault="00F91326" w:rsidP="00450A41">
            <w:pPr>
              <w:pStyle w:val="TCH"/>
            </w:pPr>
            <w:r w:rsidRPr="00F91326">
              <w:t>Issue</w:t>
            </w:r>
          </w:p>
        </w:tc>
        <w:tc>
          <w:tcPr>
            <w:tcW w:w="4158" w:type="dxa"/>
            <w:tcBorders>
              <w:left w:val="single" w:sz="4" w:space="0" w:color="auto"/>
              <w:bottom w:val="single" w:sz="4" w:space="0" w:color="auto"/>
            </w:tcBorders>
            <w:vAlign w:val="bottom"/>
          </w:tcPr>
          <w:p w14:paraId="297FE0A4" w14:textId="77777777" w:rsidR="00F91326" w:rsidRPr="00F91326" w:rsidRDefault="00F91326" w:rsidP="00450A41">
            <w:pPr>
              <w:pStyle w:val="TCH"/>
            </w:pPr>
            <w:r w:rsidRPr="00F91326">
              <w:t>Component of the Conceptual Framework</w:t>
            </w:r>
          </w:p>
        </w:tc>
      </w:tr>
      <w:tr w:rsidR="00F91326" w:rsidRPr="00F91326" w14:paraId="0F7C2E24" w14:textId="77777777" w:rsidTr="00814856">
        <w:trPr>
          <w:cantSplit/>
        </w:trPr>
        <w:tc>
          <w:tcPr>
            <w:tcW w:w="5418" w:type="dxa"/>
            <w:tcBorders>
              <w:top w:val="single" w:sz="4" w:space="0" w:color="auto"/>
              <w:right w:val="single" w:sz="4" w:space="0" w:color="auto"/>
            </w:tcBorders>
          </w:tcPr>
          <w:p w14:paraId="216B6D69" w14:textId="77777777" w:rsidR="00F91326" w:rsidRPr="00F91326" w:rsidRDefault="00F91326" w:rsidP="00814856">
            <w:pPr>
              <w:pStyle w:val="NL"/>
            </w:pPr>
            <w:r w:rsidRPr="00F91326">
              <w:t>1.</w:t>
            </w:r>
            <w:r w:rsidR="00EC345F">
              <w:tab/>
            </w:r>
            <w:r w:rsidRPr="00F91326">
              <w:t xml:space="preserve">Noeleen’s Controller, Donald Lierni, was surprised to learn that a Form 10-Q was required to satisfy the company’s first quarter filing requirements with the SEC. Lierni was concerned that there is insufficient time to develop the “actual” numbers needed to prepare the report. The 10-Q required that significant estimates had to be made before the filing due date. </w:t>
            </w:r>
          </w:p>
        </w:tc>
        <w:tc>
          <w:tcPr>
            <w:tcW w:w="4158" w:type="dxa"/>
            <w:tcBorders>
              <w:top w:val="single" w:sz="4" w:space="0" w:color="auto"/>
              <w:left w:val="single" w:sz="4" w:space="0" w:color="auto"/>
            </w:tcBorders>
          </w:tcPr>
          <w:p w14:paraId="31511AC1" w14:textId="77777777" w:rsidR="00F91326" w:rsidRPr="00EC345F" w:rsidRDefault="00F91326" w:rsidP="00814856">
            <w:pPr>
              <w:pStyle w:val="NL"/>
            </w:pPr>
            <w:r w:rsidRPr="00EC345F">
              <w:t>1.</w:t>
            </w:r>
            <w:r w:rsidR="00EC345F">
              <w:tab/>
            </w:r>
            <w:r w:rsidRPr="00EC345F">
              <w:t>Relevance versus Faithful Representation; timeliness.</w:t>
            </w:r>
          </w:p>
        </w:tc>
      </w:tr>
      <w:tr w:rsidR="00F91326" w:rsidRPr="00F91326" w14:paraId="0D5FE8CF" w14:textId="77777777" w:rsidTr="00814856">
        <w:trPr>
          <w:cantSplit/>
        </w:trPr>
        <w:tc>
          <w:tcPr>
            <w:tcW w:w="5418" w:type="dxa"/>
            <w:tcBorders>
              <w:right w:val="single" w:sz="4" w:space="0" w:color="auto"/>
            </w:tcBorders>
          </w:tcPr>
          <w:p w14:paraId="2A02CE41" w14:textId="77777777" w:rsidR="00F91326" w:rsidRPr="00F91326" w:rsidRDefault="00F91326" w:rsidP="00814856">
            <w:pPr>
              <w:pStyle w:val="NL"/>
            </w:pPr>
            <w:r w:rsidRPr="00F91326">
              <w:t xml:space="preserve">2. </w:t>
            </w:r>
            <w:r w:rsidR="00EC345F">
              <w:tab/>
            </w:r>
            <w:r w:rsidRPr="00F91326">
              <w:t>An additional consideration was the fact that Noeleen now had to satisfy a new group of financial statement users with additional information needs.</w:t>
            </w:r>
          </w:p>
        </w:tc>
        <w:tc>
          <w:tcPr>
            <w:tcW w:w="4158" w:type="dxa"/>
            <w:tcBorders>
              <w:left w:val="single" w:sz="4" w:space="0" w:color="auto"/>
            </w:tcBorders>
          </w:tcPr>
          <w:p w14:paraId="48AF6FC6" w14:textId="77777777" w:rsidR="00F91326" w:rsidRPr="00EC345F" w:rsidRDefault="00EC345F" w:rsidP="00814856">
            <w:pPr>
              <w:pStyle w:val="NL"/>
            </w:pPr>
            <w:r>
              <w:t>2.</w:t>
            </w:r>
            <w:r>
              <w:tab/>
            </w:r>
            <w:r w:rsidR="00F91326" w:rsidRPr="00EC345F">
              <w:t>Multiple user groups, multipurpose financial statements due to unknown decision models--so information has to be complete, understandable, etc.</w:t>
            </w:r>
          </w:p>
        </w:tc>
      </w:tr>
      <w:tr w:rsidR="00F91326" w:rsidRPr="00F91326" w14:paraId="22906AD8" w14:textId="77777777" w:rsidTr="00814856">
        <w:trPr>
          <w:cantSplit/>
        </w:trPr>
        <w:tc>
          <w:tcPr>
            <w:tcW w:w="5418" w:type="dxa"/>
            <w:tcBorders>
              <w:right w:val="single" w:sz="4" w:space="0" w:color="auto"/>
            </w:tcBorders>
          </w:tcPr>
          <w:p w14:paraId="3372F390" w14:textId="77777777" w:rsidR="00F91326" w:rsidRPr="00F91326" w:rsidRDefault="00F91326" w:rsidP="00814856">
            <w:pPr>
              <w:pStyle w:val="NL"/>
            </w:pPr>
            <w:r w:rsidRPr="00F91326">
              <w:t>3.</w:t>
            </w:r>
            <w:r w:rsidR="00EC345F">
              <w:tab/>
            </w:r>
            <w:r w:rsidRPr="00F91326">
              <w:t xml:space="preserve">Resources had to be expended to meet the new reporting requirements and an assessment had to be made as to what information and disclosures to include and exclude from the financial reports. </w:t>
            </w:r>
          </w:p>
        </w:tc>
        <w:tc>
          <w:tcPr>
            <w:tcW w:w="4158" w:type="dxa"/>
            <w:tcBorders>
              <w:left w:val="single" w:sz="4" w:space="0" w:color="auto"/>
            </w:tcBorders>
          </w:tcPr>
          <w:p w14:paraId="5BF6B526" w14:textId="77777777" w:rsidR="00F91326" w:rsidRPr="00EC345F" w:rsidRDefault="00F91326" w:rsidP="00814856">
            <w:pPr>
              <w:pStyle w:val="NL"/>
            </w:pPr>
            <w:r w:rsidRPr="00EC345F">
              <w:t>3.</w:t>
            </w:r>
            <w:r w:rsidR="00EC345F">
              <w:tab/>
            </w:r>
            <w:r w:rsidRPr="00EC345F">
              <w:t>Cost Constraint and the Materiality Constraint</w:t>
            </w:r>
          </w:p>
        </w:tc>
      </w:tr>
      <w:tr w:rsidR="00F91326" w:rsidRPr="00F91326" w14:paraId="5800E489" w14:textId="77777777" w:rsidTr="00814856">
        <w:trPr>
          <w:cantSplit/>
        </w:trPr>
        <w:tc>
          <w:tcPr>
            <w:tcW w:w="5418" w:type="dxa"/>
            <w:tcBorders>
              <w:right w:val="single" w:sz="4" w:space="0" w:color="auto"/>
            </w:tcBorders>
          </w:tcPr>
          <w:p w14:paraId="195F937F" w14:textId="3BF56D86" w:rsidR="00F91326" w:rsidRPr="00F91326" w:rsidRDefault="00F91326" w:rsidP="00814856">
            <w:pPr>
              <w:pStyle w:val="NL"/>
            </w:pPr>
            <w:r w:rsidRPr="00F91326">
              <w:t>4.</w:t>
            </w:r>
            <w:r w:rsidR="00EC345F">
              <w:tab/>
            </w:r>
            <w:r w:rsidRPr="00F91326">
              <w:t>Lierni also learned that privately</w:t>
            </w:r>
            <w:r w:rsidR="00814856">
              <w:t xml:space="preserve"> </w:t>
            </w:r>
            <w:r w:rsidRPr="00F91326">
              <w:t xml:space="preserve">held companies were subject to less stringent </w:t>
            </w:r>
            <w:r w:rsidR="00652CBF">
              <w:t xml:space="preserve">U.S. </w:t>
            </w:r>
            <w:r w:rsidRPr="00F91326">
              <w:t xml:space="preserve">GAAP requirements than a publicly traded entity. That is, the company now had to follow additional </w:t>
            </w:r>
            <w:r w:rsidR="00652CBF">
              <w:t xml:space="preserve">U.S. </w:t>
            </w:r>
            <w:r w:rsidRPr="00F91326">
              <w:t>GAAP standards and was also required to change several</w:t>
            </w:r>
            <w:r w:rsidR="00424A7B">
              <w:t xml:space="preserve"> </w:t>
            </w:r>
            <w:r w:rsidRPr="00F91326">
              <w:t xml:space="preserve">accounting methods. </w:t>
            </w:r>
          </w:p>
        </w:tc>
        <w:tc>
          <w:tcPr>
            <w:tcW w:w="4158" w:type="dxa"/>
            <w:tcBorders>
              <w:left w:val="single" w:sz="4" w:space="0" w:color="auto"/>
            </w:tcBorders>
          </w:tcPr>
          <w:p w14:paraId="02AA3D5E" w14:textId="77777777" w:rsidR="00F91326" w:rsidRPr="00EC345F" w:rsidRDefault="00F91326" w:rsidP="00814856">
            <w:pPr>
              <w:pStyle w:val="NL"/>
            </w:pPr>
            <w:r w:rsidRPr="00EC345F">
              <w:t>4.</w:t>
            </w:r>
            <w:r w:rsidR="00EC345F">
              <w:tab/>
            </w:r>
            <w:r w:rsidRPr="00EC345F">
              <w:t>Comparability</w:t>
            </w:r>
          </w:p>
        </w:tc>
      </w:tr>
      <w:tr w:rsidR="00F91326" w:rsidRPr="00F91326" w14:paraId="5D068AE7" w14:textId="77777777" w:rsidTr="00814856">
        <w:trPr>
          <w:cantSplit/>
        </w:trPr>
        <w:tc>
          <w:tcPr>
            <w:tcW w:w="5418" w:type="dxa"/>
            <w:tcBorders>
              <w:right w:val="single" w:sz="4" w:space="0" w:color="auto"/>
            </w:tcBorders>
          </w:tcPr>
          <w:p w14:paraId="354C4E1D" w14:textId="77777777" w:rsidR="00F91326" w:rsidRPr="00F91326" w:rsidRDefault="00F91326" w:rsidP="00814856">
            <w:pPr>
              <w:pStyle w:val="NL"/>
            </w:pPr>
            <w:r w:rsidRPr="00F91326">
              <w:t>5.</w:t>
            </w:r>
            <w:r w:rsidR="00EC345F">
              <w:tab/>
            </w:r>
            <w:r w:rsidRPr="00F91326">
              <w:t>When considering his options, Lierni decided to take a safe approach and report the lowest income possible by adopting income-reducing standards. Here, the Controller proposed taking excessive write-downs for obsolete inventory and potentially impaired assets.</w:t>
            </w:r>
          </w:p>
        </w:tc>
        <w:tc>
          <w:tcPr>
            <w:tcW w:w="4158" w:type="dxa"/>
            <w:tcBorders>
              <w:left w:val="single" w:sz="4" w:space="0" w:color="auto"/>
            </w:tcBorders>
          </w:tcPr>
          <w:p w14:paraId="4B5D800F" w14:textId="77777777" w:rsidR="00F91326" w:rsidRPr="00EC345F" w:rsidRDefault="00F91326" w:rsidP="00814856">
            <w:pPr>
              <w:pStyle w:val="NL"/>
            </w:pPr>
            <w:r w:rsidRPr="00EC345F">
              <w:t>5.</w:t>
            </w:r>
            <w:r w:rsidR="00EC345F">
              <w:tab/>
            </w:r>
            <w:r w:rsidRPr="00EC345F">
              <w:t xml:space="preserve">Lack of neutrality; expense recognition </w:t>
            </w:r>
          </w:p>
        </w:tc>
      </w:tr>
      <w:tr w:rsidR="00F91326" w:rsidRPr="00F91326" w14:paraId="25D1E31E" w14:textId="77777777" w:rsidTr="00814856">
        <w:trPr>
          <w:cantSplit/>
        </w:trPr>
        <w:tc>
          <w:tcPr>
            <w:tcW w:w="5418" w:type="dxa"/>
            <w:tcBorders>
              <w:right w:val="single" w:sz="4" w:space="0" w:color="auto"/>
            </w:tcBorders>
          </w:tcPr>
          <w:p w14:paraId="5F0B9662" w14:textId="77777777" w:rsidR="00F91326" w:rsidRPr="00F91326" w:rsidRDefault="00F91326" w:rsidP="00814856">
            <w:pPr>
              <w:pStyle w:val="NL"/>
            </w:pPr>
            <w:r w:rsidRPr="00F91326">
              <w:t>6.</w:t>
            </w:r>
            <w:r w:rsidR="00EC345F">
              <w:tab/>
            </w:r>
            <w:r w:rsidRPr="00F91326">
              <w:t>He also decided to expense the cost of a significant investment in office equipment.</w:t>
            </w:r>
          </w:p>
        </w:tc>
        <w:tc>
          <w:tcPr>
            <w:tcW w:w="4158" w:type="dxa"/>
            <w:tcBorders>
              <w:left w:val="single" w:sz="4" w:space="0" w:color="auto"/>
            </w:tcBorders>
          </w:tcPr>
          <w:p w14:paraId="5A951EF7" w14:textId="77777777" w:rsidR="00F91326" w:rsidRPr="00EC345F" w:rsidRDefault="00F91326" w:rsidP="00814856">
            <w:pPr>
              <w:pStyle w:val="NL"/>
            </w:pPr>
            <w:r w:rsidRPr="00EC345F">
              <w:t>6.</w:t>
            </w:r>
            <w:r w:rsidR="00EC345F">
              <w:tab/>
            </w:r>
            <w:r w:rsidRPr="00EC345F">
              <w:t>Expense recognition concept</w:t>
            </w:r>
            <w:r w:rsidR="00424A7B">
              <w:t xml:space="preserve"> </w:t>
            </w:r>
            <w:r w:rsidRPr="00EC345F">
              <w:t>possibly violated; neutrality.</w:t>
            </w:r>
          </w:p>
        </w:tc>
      </w:tr>
      <w:tr w:rsidR="00F91326" w:rsidRPr="00F91326" w14:paraId="69E602D1" w14:textId="77777777" w:rsidTr="00814856">
        <w:trPr>
          <w:cantSplit/>
        </w:trPr>
        <w:tc>
          <w:tcPr>
            <w:tcW w:w="5418" w:type="dxa"/>
            <w:tcBorders>
              <w:right w:val="single" w:sz="4" w:space="0" w:color="auto"/>
            </w:tcBorders>
          </w:tcPr>
          <w:p w14:paraId="0002B345" w14:textId="77777777" w:rsidR="00F91326" w:rsidRPr="00F91326" w:rsidRDefault="00F91326" w:rsidP="00814856">
            <w:pPr>
              <w:pStyle w:val="NL"/>
            </w:pPr>
            <w:r w:rsidRPr="00F91326">
              <w:t>7.</w:t>
            </w:r>
            <w:r w:rsidR="00EC345F">
              <w:tab/>
            </w:r>
            <w:r w:rsidRPr="00F91326">
              <w:t>Finally, Noeleen created a separate legal entity to handle its auto financing, Benedict Arnold Credit Company, during the same year it went public. The separate entity is not consolidated with the primary financial statements. Lierni decided to keep this entity off balance sheet and did not see any need for disclosure of Noeleen’s relationship with Benedict Arnold Credit Company.</w:t>
            </w:r>
          </w:p>
        </w:tc>
        <w:tc>
          <w:tcPr>
            <w:tcW w:w="4158" w:type="dxa"/>
            <w:tcBorders>
              <w:left w:val="single" w:sz="4" w:space="0" w:color="auto"/>
            </w:tcBorders>
          </w:tcPr>
          <w:p w14:paraId="02A4087B" w14:textId="77777777" w:rsidR="00F91326" w:rsidRPr="00EC345F" w:rsidRDefault="00F91326" w:rsidP="00814856">
            <w:pPr>
              <w:pStyle w:val="NL"/>
            </w:pPr>
            <w:r w:rsidRPr="00EC345F">
              <w:t>7.</w:t>
            </w:r>
            <w:r w:rsidR="00EC345F">
              <w:tab/>
            </w:r>
            <w:r w:rsidRPr="00EC345F">
              <w:t>Business or economic entity assumption and lack of completeness (lack of full disclosure).</w:t>
            </w:r>
          </w:p>
        </w:tc>
      </w:tr>
    </w:tbl>
    <w:p w14:paraId="38C68C71" w14:textId="77777777" w:rsidR="007841F7" w:rsidRDefault="007841F7" w:rsidP="00814856">
      <w:pPr>
        <w:pStyle w:val="BheadSolutionNumber"/>
        <w:spacing w:after="0"/>
      </w:pPr>
    </w:p>
    <w:p w14:paraId="7A55DA03" w14:textId="77777777" w:rsidR="007841F7" w:rsidRDefault="007841F7">
      <w:pPr>
        <w:rPr>
          <w:rFonts w:ascii="Avenir LT Std 45 Book" w:hAnsi="Avenir LT Std 45 Book" w:cs="Arial"/>
          <w:b/>
          <w:sz w:val="24"/>
          <w:szCs w:val="24"/>
        </w:rPr>
      </w:pPr>
      <w:r>
        <w:br w:type="page"/>
      </w:r>
    </w:p>
    <w:p w14:paraId="3806F314" w14:textId="34068CD7" w:rsidR="00F91326" w:rsidRPr="00EC345F" w:rsidRDefault="004F3672" w:rsidP="00814856">
      <w:pPr>
        <w:pStyle w:val="BheadSolutionNumber"/>
        <w:spacing w:after="0"/>
      </w:pPr>
      <w:r>
        <w:t>Solution to E2-2</w:t>
      </w: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238"/>
        <w:gridCol w:w="2610"/>
        <w:gridCol w:w="2160"/>
      </w:tblGrid>
      <w:tr w:rsidR="00F91326" w:rsidRPr="00F91326" w14:paraId="3C5EB2BA" w14:textId="77777777" w:rsidTr="00814856">
        <w:tc>
          <w:tcPr>
            <w:tcW w:w="5238" w:type="dxa"/>
            <w:tcBorders>
              <w:bottom w:val="single" w:sz="4" w:space="0" w:color="auto"/>
            </w:tcBorders>
            <w:vAlign w:val="bottom"/>
          </w:tcPr>
          <w:p w14:paraId="7DA80DE5" w14:textId="77777777" w:rsidR="00F91326" w:rsidRPr="00F91326" w:rsidRDefault="00F91326" w:rsidP="00053F05">
            <w:pPr>
              <w:pStyle w:val="TCH"/>
              <w:keepNext/>
            </w:pPr>
            <w:r w:rsidRPr="00F91326">
              <w:t>Use of Accounting Information</w:t>
            </w:r>
          </w:p>
        </w:tc>
        <w:tc>
          <w:tcPr>
            <w:tcW w:w="2610" w:type="dxa"/>
            <w:tcBorders>
              <w:bottom w:val="single" w:sz="4" w:space="0" w:color="auto"/>
            </w:tcBorders>
            <w:vAlign w:val="bottom"/>
          </w:tcPr>
          <w:p w14:paraId="3329FCE8" w14:textId="77777777" w:rsidR="00F91326" w:rsidRPr="00F91326" w:rsidRDefault="00F91326" w:rsidP="00053F05">
            <w:pPr>
              <w:pStyle w:val="TCH"/>
              <w:keepNext/>
            </w:pPr>
            <w:r w:rsidRPr="00F91326">
              <w:t>Fundamental Characteristic</w:t>
            </w:r>
          </w:p>
        </w:tc>
        <w:tc>
          <w:tcPr>
            <w:tcW w:w="2160" w:type="dxa"/>
            <w:tcBorders>
              <w:bottom w:val="single" w:sz="4" w:space="0" w:color="auto"/>
            </w:tcBorders>
            <w:vAlign w:val="bottom"/>
          </w:tcPr>
          <w:p w14:paraId="6CD82DB7" w14:textId="77777777" w:rsidR="00F91326" w:rsidRPr="00F91326" w:rsidRDefault="00F91326" w:rsidP="00053F05">
            <w:pPr>
              <w:pStyle w:val="TCH"/>
              <w:keepNext/>
            </w:pPr>
            <w:r w:rsidRPr="00F91326">
              <w:t>Attribute</w:t>
            </w:r>
          </w:p>
        </w:tc>
      </w:tr>
      <w:tr w:rsidR="00F91326" w:rsidRPr="00F91326" w14:paraId="7A40E39E" w14:textId="77777777" w:rsidTr="00814856">
        <w:tc>
          <w:tcPr>
            <w:tcW w:w="5238" w:type="dxa"/>
            <w:tcBorders>
              <w:top w:val="single" w:sz="4" w:space="0" w:color="auto"/>
            </w:tcBorders>
          </w:tcPr>
          <w:p w14:paraId="17FB5D1E" w14:textId="77777777" w:rsidR="00F91326" w:rsidRPr="00F91326" w:rsidRDefault="00F91326" w:rsidP="00814856">
            <w:pPr>
              <w:pStyle w:val="NL"/>
            </w:pPr>
            <w:r w:rsidRPr="00F91326">
              <w:t xml:space="preserve">a. </w:t>
            </w:r>
            <w:r w:rsidR="00EC345F">
              <w:tab/>
            </w:r>
            <w:r w:rsidRPr="00F91326">
              <w:t>This year’s reported earnings per share is $.50 below analysts’ forecasts.</w:t>
            </w:r>
          </w:p>
        </w:tc>
        <w:tc>
          <w:tcPr>
            <w:tcW w:w="2610" w:type="dxa"/>
            <w:tcBorders>
              <w:top w:val="single" w:sz="4" w:space="0" w:color="auto"/>
            </w:tcBorders>
          </w:tcPr>
          <w:p w14:paraId="21300FAF" w14:textId="77777777" w:rsidR="00F91326" w:rsidRPr="00F91326" w:rsidRDefault="00F91326" w:rsidP="00450A41">
            <w:pPr>
              <w:pStyle w:val="TBText"/>
            </w:pPr>
            <w:r w:rsidRPr="00F91326">
              <w:t>Relevance</w:t>
            </w:r>
          </w:p>
        </w:tc>
        <w:tc>
          <w:tcPr>
            <w:tcW w:w="2160" w:type="dxa"/>
            <w:tcBorders>
              <w:top w:val="single" w:sz="4" w:space="0" w:color="auto"/>
            </w:tcBorders>
          </w:tcPr>
          <w:p w14:paraId="4BD66080" w14:textId="77777777" w:rsidR="00F91326" w:rsidRPr="00F91326" w:rsidRDefault="00F91326" w:rsidP="00450A41">
            <w:pPr>
              <w:pStyle w:val="TBText"/>
            </w:pPr>
            <w:r w:rsidRPr="00F91326">
              <w:t>Confirmatory value</w:t>
            </w:r>
          </w:p>
        </w:tc>
      </w:tr>
      <w:tr w:rsidR="00F91326" w:rsidRPr="00F91326" w14:paraId="37DE685F" w14:textId="77777777" w:rsidTr="00814856">
        <w:tc>
          <w:tcPr>
            <w:tcW w:w="5238" w:type="dxa"/>
          </w:tcPr>
          <w:p w14:paraId="26690B6D" w14:textId="77777777" w:rsidR="00F91326" w:rsidRPr="00F91326" w:rsidRDefault="00F91326" w:rsidP="00814856">
            <w:pPr>
              <w:pStyle w:val="NL"/>
            </w:pPr>
            <w:r w:rsidRPr="00F91326">
              <w:t xml:space="preserve">b. </w:t>
            </w:r>
            <w:r w:rsidR="00EC345F">
              <w:tab/>
            </w:r>
            <w:r w:rsidRPr="00F91326">
              <w:t>Potential creditors review a company’s long-term liabilities footnote to determine that entity’s ability to assume additional debt.</w:t>
            </w:r>
          </w:p>
        </w:tc>
        <w:tc>
          <w:tcPr>
            <w:tcW w:w="2610" w:type="dxa"/>
          </w:tcPr>
          <w:p w14:paraId="26E82526" w14:textId="77777777" w:rsidR="00F91326" w:rsidRPr="00F91326" w:rsidRDefault="00F91326" w:rsidP="00450A41">
            <w:pPr>
              <w:pStyle w:val="TBText"/>
            </w:pPr>
            <w:r w:rsidRPr="00F91326">
              <w:t>Faithful representation</w:t>
            </w:r>
          </w:p>
        </w:tc>
        <w:tc>
          <w:tcPr>
            <w:tcW w:w="2160" w:type="dxa"/>
          </w:tcPr>
          <w:p w14:paraId="32E5E066" w14:textId="77777777" w:rsidR="00F91326" w:rsidRPr="00F91326" w:rsidRDefault="00F91326" w:rsidP="00450A41">
            <w:pPr>
              <w:pStyle w:val="TBText"/>
            </w:pPr>
            <w:r w:rsidRPr="00F91326">
              <w:t>Complete</w:t>
            </w:r>
          </w:p>
        </w:tc>
      </w:tr>
      <w:tr w:rsidR="00F91326" w:rsidRPr="00F91326" w14:paraId="605D7E07" w14:textId="77777777" w:rsidTr="00814856">
        <w:tc>
          <w:tcPr>
            <w:tcW w:w="5238" w:type="dxa"/>
          </w:tcPr>
          <w:p w14:paraId="6A56CAA4" w14:textId="77777777" w:rsidR="00F91326" w:rsidRPr="00F91326" w:rsidRDefault="00F91326" w:rsidP="00814856">
            <w:pPr>
              <w:pStyle w:val="NL"/>
            </w:pPr>
            <w:r w:rsidRPr="00F91326">
              <w:t xml:space="preserve">c. </w:t>
            </w:r>
            <w:r w:rsidR="00EC345F">
              <w:tab/>
            </w:r>
            <w:r w:rsidRPr="00F91326">
              <w:t>A corporation discloses both favorable and unfavorable tax settlements.</w:t>
            </w:r>
          </w:p>
        </w:tc>
        <w:tc>
          <w:tcPr>
            <w:tcW w:w="2610" w:type="dxa"/>
          </w:tcPr>
          <w:p w14:paraId="1EA8F662" w14:textId="77777777" w:rsidR="00F91326" w:rsidRPr="00F91326" w:rsidRDefault="00F91326" w:rsidP="00450A41">
            <w:pPr>
              <w:pStyle w:val="TBText"/>
            </w:pPr>
            <w:r w:rsidRPr="00F91326">
              <w:t>Faithful representation</w:t>
            </w:r>
          </w:p>
        </w:tc>
        <w:tc>
          <w:tcPr>
            <w:tcW w:w="2160" w:type="dxa"/>
          </w:tcPr>
          <w:p w14:paraId="5300CA4B" w14:textId="77777777" w:rsidR="00F91326" w:rsidRPr="00F91326" w:rsidRDefault="00F91326" w:rsidP="00450A41">
            <w:pPr>
              <w:pStyle w:val="TBText"/>
            </w:pPr>
            <w:r w:rsidRPr="00F91326">
              <w:t>Neutral</w:t>
            </w:r>
          </w:p>
        </w:tc>
      </w:tr>
      <w:tr w:rsidR="00F91326" w:rsidRPr="00F91326" w14:paraId="366F5588" w14:textId="77777777" w:rsidTr="00814856">
        <w:tc>
          <w:tcPr>
            <w:tcW w:w="5238" w:type="dxa"/>
          </w:tcPr>
          <w:p w14:paraId="7DB8CA20" w14:textId="77777777" w:rsidR="00F91326" w:rsidRPr="00F91326" w:rsidRDefault="00F91326" w:rsidP="00814856">
            <w:pPr>
              <w:pStyle w:val="NL"/>
            </w:pPr>
            <w:r w:rsidRPr="00F91326">
              <w:t xml:space="preserve">d. </w:t>
            </w:r>
            <w:r w:rsidR="00EC345F">
              <w:tab/>
            </w:r>
            <w:r w:rsidRPr="00F91326">
              <w:t>A company discloses the write-off of an accounts receivable. The receivable due from a major customer accounts for 35% of the company’s current assets.</w:t>
            </w:r>
          </w:p>
        </w:tc>
        <w:tc>
          <w:tcPr>
            <w:tcW w:w="2610" w:type="dxa"/>
          </w:tcPr>
          <w:p w14:paraId="352F29EF" w14:textId="77777777" w:rsidR="00F91326" w:rsidRPr="00F91326" w:rsidRDefault="00F91326" w:rsidP="00450A41">
            <w:pPr>
              <w:pStyle w:val="TBText"/>
            </w:pPr>
            <w:r w:rsidRPr="00F91326">
              <w:t>Relevance</w:t>
            </w:r>
          </w:p>
          <w:p w14:paraId="6D68767C" w14:textId="77777777" w:rsidR="00F91326" w:rsidRPr="00F91326" w:rsidRDefault="00F91326" w:rsidP="00450A41">
            <w:pPr>
              <w:pStyle w:val="TBText"/>
            </w:pPr>
            <w:r w:rsidRPr="00F91326">
              <w:t>Faithful representation</w:t>
            </w:r>
          </w:p>
        </w:tc>
        <w:tc>
          <w:tcPr>
            <w:tcW w:w="2160" w:type="dxa"/>
          </w:tcPr>
          <w:p w14:paraId="5B9669E2" w14:textId="77777777" w:rsidR="00F91326" w:rsidRPr="00F91326" w:rsidRDefault="00F91326" w:rsidP="00450A41">
            <w:pPr>
              <w:pStyle w:val="TBText"/>
            </w:pPr>
            <w:r w:rsidRPr="00F91326">
              <w:t>Materiality</w:t>
            </w:r>
          </w:p>
          <w:p w14:paraId="3468E03D" w14:textId="77777777" w:rsidR="00F91326" w:rsidRPr="00F91326" w:rsidRDefault="00F91326" w:rsidP="00450A41">
            <w:pPr>
              <w:pStyle w:val="TBText"/>
            </w:pPr>
            <w:r w:rsidRPr="00F91326">
              <w:t>Complete</w:t>
            </w:r>
          </w:p>
        </w:tc>
      </w:tr>
      <w:tr w:rsidR="00F91326" w:rsidRPr="00F91326" w14:paraId="3312FC01" w14:textId="77777777" w:rsidTr="00814856">
        <w:tc>
          <w:tcPr>
            <w:tcW w:w="5238" w:type="dxa"/>
          </w:tcPr>
          <w:p w14:paraId="68312649" w14:textId="77777777" w:rsidR="00F91326" w:rsidRPr="00F91326" w:rsidRDefault="00F91326" w:rsidP="00814856">
            <w:pPr>
              <w:pStyle w:val="NL"/>
            </w:pPr>
            <w:r w:rsidRPr="00F91326">
              <w:t xml:space="preserve">e. </w:t>
            </w:r>
            <w:r w:rsidR="00EC345F">
              <w:tab/>
            </w:r>
            <w:r w:rsidRPr="00F91326">
              <w:t>A financial analyst computes a company’s five-year average cost of goods sold in order to forecast next year’s gross profit margin.</w:t>
            </w:r>
          </w:p>
        </w:tc>
        <w:tc>
          <w:tcPr>
            <w:tcW w:w="2610" w:type="dxa"/>
          </w:tcPr>
          <w:p w14:paraId="40969D3B" w14:textId="77777777" w:rsidR="00F91326" w:rsidRPr="00F91326" w:rsidRDefault="00F91326" w:rsidP="00450A41">
            <w:pPr>
              <w:pStyle w:val="TBText"/>
            </w:pPr>
            <w:r w:rsidRPr="00F91326">
              <w:t>Relevance</w:t>
            </w:r>
          </w:p>
        </w:tc>
        <w:tc>
          <w:tcPr>
            <w:tcW w:w="2160" w:type="dxa"/>
          </w:tcPr>
          <w:p w14:paraId="6D1AAAAF" w14:textId="77777777" w:rsidR="00F91326" w:rsidRPr="00F91326" w:rsidRDefault="00F91326" w:rsidP="00450A41">
            <w:pPr>
              <w:pStyle w:val="TBText"/>
            </w:pPr>
            <w:r w:rsidRPr="00F91326">
              <w:t>Predictive value</w:t>
            </w:r>
          </w:p>
        </w:tc>
      </w:tr>
    </w:tbl>
    <w:p w14:paraId="7A5A72B9" w14:textId="77777777" w:rsidR="00F91326" w:rsidRPr="00EC345F" w:rsidRDefault="004F3672" w:rsidP="00814856">
      <w:pPr>
        <w:pStyle w:val="BheadSolutionNumber"/>
        <w:spacing w:after="0"/>
      </w:pPr>
      <w:r>
        <w:t>Solution to E2-3</w:t>
      </w:r>
      <w:r w:rsidR="00424A7B">
        <w:t xml:space="preserve"> </w:t>
      </w:r>
    </w:p>
    <w:tbl>
      <w:tblPr>
        <w:tblStyle w:val="TableGrid"/>
        <w:tblW w:w="10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6267"/>
        <w:gridCol w:w="2125"/>
        <w:gridCol w:w="1616"/>
      </w:tblGrid>
      <w:tr w:rsidR="00F91326" w:rsidRPr="00F91326" w14:paraId="021B5B59" w14:textId="77777777" w:rsidTr="00814856">
        <w:tc>
          <w:tcPr>
            <w:tcW w:w="6267" w:type="dxa"/>
            <w:tcBorders>
              <w:bottom w:val="single" w:sz="4" w:space="0" w:color="auto"/>
            </w:tcBorders>
            <w:vAlign w:val="bottom"/>
          </w:tcPr>
          <w:p w14:paraId="7AF02488" w14:textId="77777777" w:rsidR="00F91326" w:rsidRPr="00F91326" w:rsidRDefault="00F91326" w:rsidP="00814856">
            <w:pPr>
              <w:pStyle w:val="TCH"/>
            </w:pPr>
            <w:r w:rsidRPr="00F91326">
              <w:t>Scenario</w:t>
            </w:r>
          </w:p>
        </w:tc>
        <w:tc>
          <w:tcPr>
            <w:tcW w:w="2125" w:type="dxa"/>
            <w:tcBorders>
              <w:bottom w:val="single" w:sz="4" w:space="0" w:color="auto"/>
            </w:tcBorders>
            <w:vAlign w:val="bottom"/>
          </w:tcPr>
          <w:p w14:paraId="69B66306" w14:textId="77777777" w:rsidR="00F91326" w:rsidRPr="00F91326" w:rsidRDefault="00F91326" w:rsidP="00814856">
            <w:pPr>
              <w:pStyle w:val="TCH"/>
            </w:pPr>
            <w:r w:rsidRPr="00F91326">
              <w:t>Enhancing Characteristic</w:t>
            </w:r>
          </w:p>
        </w:tc>
        <w:tc>
          <w:tcPr>
            <w:tcW w:w="1616" w:type="dxa"/>
            <w:tcBorders>
              <w:bottom w:val="single" w:sz="4" w:space="0" w:color="auto"/>
            </w:tcBorders>
            <w:vAlign w:val="bottom"/>
          </w:tcPr>
          <w:p w14:paraId="1501D37F" w14:textId="77777777" w:rsidR="00F91326" w:rsidRPr="00F91326" w:rsidRDefault="00F91326" w:rsidP="00814856">
            <w:pPr>
              <w:pStyle w:val="TCH"/>
            </w:pPr>
            <w:r w:rsidRPr="00F91326">
              <w:t>Satisfied or Violated</w:t>
            </w:r>
          </w:p>
        </w:tc>
      </w:tr>
      <w:tr w:rsidR="00F91326" w:rsidRPr="00F91326" w14:paraId="3800B940" w14:textId="77777777" w:rsidTr="00814856">
        <w:tc>
          <w:tcPr>
            <w:tcW w:w="6267" w:type="dxa"/>
            <w:tcBorders>
              <w:top w:val="single" w:sz="4" w:space="0" w:color="auto"/>
            </w:tcBorders>
          </w:tcPr>
          <w:p w14:paraId="6E8C1F40" w14:textId="77777777" w:rsidR="00F91326" w:rsidRPr="00312095" w:rsidRDefault="00F91326" w:rsidP="00814856">
            <w:pPr>
              <w:pStyle w:val="NL"/>
            </w:pPr>
            <w:r w:rsidRPr="00F91326">
              <w:t xml:space="preserve">a. </w:t>
            </w:r>
            <w:r w:rsidR="00EC345F">
              <w:tab/>
            </w:r>
            <w:r w:rsidRPr="00F91326">
              <w:t>Auditors from two offices of a large public accounting firm agree on the measurement used for a client’s plant assets.</w:t>
            </w:r>
          </w:p>
        </w:tc>
        <w:tc>
          <w:tcPr>
            <w:tcW w:w="2125" w:type="dxa"/>
            <w:tcBorders>
              <w:top w:val="single" w:sz="4" w:space="0" w:color="auto"/>
            </w:tcBorders>
          </w:tcPr>
          <w:p w14:paraId="1097C3C1" w14:textId="77777777" w:rsidR="00F91326" w:rsidRPr="00F91326" w:rsidRDefault="00F91326" w:rsidP="00450A41">
            <w:pPr>
              <w:pStyle w:val="TBText"/>
            </w:pPr>
            <w:r w:rsidRPr="00F91326">
              <w:t>Verifiability</w:t>
            </w:r>
          </w:p>
        </w:tc>
        <w:tc>
          <w:tcPr>
            <w:tcW w:w="1616" w:type="dxa"/>
            <w:tcBorders>
              <w:top w:val="single" w:sz="4" w:space="0" w:color="auto"/>
            </w:tcBorders>
          </w:tcPr>
          <w:p w14:paraId="293D8414" w14:textId="77777777" w:rsidR="00F91326" w:rsidRPr="00F91326" w:rsidRDefault="00F91326" w:rsidP="00450A41">
            <w:pPr>
              <w:pStyle w:val="TBText"/>
            </w:pPr>
            <w:r w:rsidRPr="00F91326">
              <w:t>Satisfied</w:t>
            </w:r>
          </w:p>
        </w:tc>
      </w:tr>
      <w:tr w:rsidR="00F91326" w:rsidRPr="00F91326" w14:paraId="07E2ADF6" w14:textId="77777777" w:rsidTr="00814856">
        <w:tc>
          <w:tcPr>
            <w:tcW w:w="6267" w:type="dxa"/>
          </w:tcPr>
          <w:p w14:paraId="0ECF98C1" w14:textId="77777777" w:rsidR="00F91326" w:rsidRPr="00F91326" w:rsidRDefault="00F91326" w:rsidP="00814856">
            <w:pPr>
              <w:pStyle w:val="NL"/>
            </w:pPr>
            <w:r w:rsidRPr="00F91326">
              <w:t xml:space="preserve">b. </w:t>
            </w:r>
            <w:r w:rsidR="00EC345F">
              <w:tab/>
            </w:r>
            <w:r w:rsidRPr="00F91326">
              <w:t>The Later Than Sooner Company only reports income every two years.</w:t>
            </w:r>
          </w:p>
        </w:tc>
        <w:tc>
          <w:tcPr>
            <w:tcW w:w="2125" w:type="dxa"/>
          </w:tcPr>
          <w:p w14:paraId="4D23E90C" w14:textId="77777777" w:rsidR="00F91326" w:rsidRPr="00F91326" w:rsidRDefault="00F91326" w:rsidP="00450A41">
            <w:pPr>
              <w:pStyle w:val="TBText"/>
            </w:pPr>
            <w:r w:rsidRPr="00F91326">
              <w:t>Timeliness</w:t>
            </w:r>
          </w:p>
        </w:tc>
        <w:tc>
          <w:tcPr>
            <w:tcW w:w="1616" w:type="dxa"/>
          </w:tcPr>
          <w:p w14:paraId="75B04F64" w14:textId="77777777" w:rsidR="00F91326" w:rsidRPr="00F91326" w:rsidRDefault="00F91326" w:rsidP="00450A41">
            <w:pPr>
              <w:pStyle w:val="TBText"/>
            </w:pPr>
            <w:r w:rsidRPr="00F91326">
              <w:t>Violated</w:t>
            </w:r>
          </w:p>
        </w:tc>
      </w:tr>
      <w:tr w:rsidR="00F91326" w:rsidRPr="00F91326" w14:paraId="356C4A76" w14:textId="77777777" w:rsidTr="00814856">
        <w:tc>
          <w:tcPr>
            <w:tcW w:w="6267" w:type="dxa"/>
          </w:tcPr>
          <w:p w14:paraId="1E3868F2" w14:textId="77777777" w:rsidR="00F91326" w:rsidRPr="00F91326" w:rsidRDefault="00F91326" w:rsidP="00814856">
            <w:pPr>
              <w:pStyle w:val="NL"/>
            </w:pPr>
            <w:r w:rsidRPr="00F91326">
              <w:t xml:space="preserve">c. </w:t>
            </w:r>
            <w:r w:rsidR="00EC345F">
              <w:tab/>
            </w:r>
            <w:r w:rsidRPr="00F91326">
              <w:t>Gladys Groceries reports its investments at cost while the other companies in the grocery industry use the fair value option to measure</w:t>
            </w:r>
            <w:r w:rsidR="00424A7B">
              <w:t xml:space="preserve"> </w:t>
            </w:r>
            <w:r w:rsidRPr="00F91326">
              <w:t>investments.</w:t>
            </w:r>
          </w:p>
        </w:tc>
        <w:tc>
          <w:tcPr>
            <w:tcW w:w="2125" w:type="dxa"/>
          </w:tcPr>
          <w:p w14:paraId="751ED6B1" w14:textId="77777777" w:rsidR="00F91326" w:rsidRPr="00F91326" w:rsidRDefault="00F91326" w:rsidP="00450A41">
            <w:pPr>
              <w:pStyle w:val="TBText"/>
            </w:pPr>
            <w:r w:rsidRPr="00F91326">
              <w:t>Comparability</w:t>
            </w:r>
          </w:p>
        </w:tc>
        <w:tc>
          <w:tcPr>
            <w:tcW w:w="1616" w:type="dxa"/>
          </w:tcPr>
          <w:p w14:paraId="3B1F28C8" w14:textId="77777777" w:rsidR="00F91326" w:rsidRPr="00F91326" w:rsidRDefault="00F91326" w:rsidP="00450A41">
            <w:pPr>
              <w:pStyle w:val="TBText"/>
            </w:pPr>
            <w:r w:rsidRPr="00F91326">
              <w:t>Violated</w:t>
            </w:r>
          </w:p>
        </w:tc>
      </w:tr>
      <w:tr w:rsidR="00F91326" w:rsidRPr="00F91326" w14:paraId="431F406B" w14:textId="77777777" w:rsidTr="00814856">
        <w:tc>
          <w:tcPr>
            <w:tcW w:w="6267" w:type="dxa"/>
          </w:tcPr>
          <w:p w14:paraId="1671677D" w14:textId="77777777" w:rsidR="00F91326" w:rsidRPr="00F91326" w:rsidRDefault="00F91326" w:rsidP="00814856">
            <w:pPr>
              <w:pStyle w:val="NL"/>
            </w:pPr>
            <w:r w:rsidRPr="00F91326">
              <w:t xml:space="preserve">d. </w:t>
            </w:r>
            <w:r w:rsidR="00EC345F">
              <w:tab/>
            </w:r>
            <w:r w:rsidRPr="00F91326">
              <w:t>Grant Company engages in complex business transactions. These events are properly classified, characterized, presented clearly, and fully disclosed.</w:t>
            </w:r>
          </w:p>
        </w:tc>
        <w:tc>
          <w:tcPr>
            <w:tcW w:w="2125" w:type="dxa"/>
          </w:tcPr>
          <w:p w14:paraId="179BD8FD" w14:textId="77777777" w:rsidR="00F91326" w:rsidRPr="00F91326" w:rsidRDefault="00F91326" w:rsidP="00450A41">
            <w:pPr>
              <w:pStyle w:val="TBText"/>
            </w:pPr>
            <w:r w:rsidRPr="00F91326">
              <w:t>Understandability</w:t>
            </w:r>
          </w:p>
        </w:tc>
        <w:tc>
          <w:tcPr>
            <w:tcW w:w="1616" w:type="dxa"/>
          </w:tcPr>
          <w:p w14:paraId="50E02CB0" w14:textId="77777777" w:rsidR="00F91326" w:rsidRPr="00F91326" w:rsidRDefault="00F91326" w:rsidP="00450A41">
            <w:pPr>
              <w:pStyle w:val="TBText"/>
            </w:pPr>
            <w:r w:rsidRPr="00F91326">
              <w:t>Satisfied</w:t>
            </w:r>
          </w:p>
        </w:tc>
      </w:tr>
    </w:tbl>
    <w:p w14:paraId="20F7129A" w14:textId="77777777" w:rsidR="00F91326" w:rsidRPr="00312095" w:rsidRDefault="004F3672" w:rsidP="00EC345F">
      <w:pPr>
        <w:pStyle w:val="BheadSolutionNumber"/>
      </w:pPr>
      <w:r w:rsidRPr="00312095">
        <w:t>Solution to E2-4</w:t>
      </w:r>
    </w:p>
    <w:p w14:paraId="12EC45EB" w14:textId="1C1D9E54" w:rsidR="00310ABE" w:rsidRPr="00312095" w:rsidRDefault="003D39B3" w:rsidP="00310ABE">
      <w:pPr>
        <w:pStyle w:val="NLLAST"/>
        <w:numPr>
          <w:ilvl w:val="0"/>
          <w:numId w:val="36"/>
        </w:numPr>
        <w:rPr>
          <w:rFonts w:ascii="Avenir LT Std 45 Book" w:hAnsi="Avenir LT Std 45 Book"/>
          <w:sz w:val="24"/>
          <w:szCs w:val="24"/>
        </w:rPr>
      </w:pPr>
      <w:r>
        <w:rPr>
          <w:rFonts w:ascii="Avenir LT Std 45 Book" w:hAnsi="Avenir LT Std 45 Book"/>
          <w:sz w:val="24"/>
          <w:szCs w:val="24"/>
        </w:rPr>
        <w:t>None</w:t>
      </w:r>
    </w:p>
    <w:p w14:paraId="0D42FB40" w14:textId="77777777" w:rsidR="00310ABE" w:rsidRPr="00312095" w:rsidRDefault="00310ABE" w:rsidP="00310ABE">
      <w:pPr>
        <w:pStyle w:val="NLLAST"/>
        <w:numPr>
          <w:ilvl w:val="0"/>
          <w:numId w:val="36"/>
        </w:numPr>
        <w:rPr>
          <w:rFonts w:ascii="Avenir LT Std 45 Book" w:hAnsi="Avenir LT Std 45 Book"/>
          <w:sz w:val="24"/>
          <w:szCs w:val="24"/>
        </w:rPr>
      </w:pPr>
      <w:r w:rsidRPr="00312095">
        <w:rPr>
          <w:rFonts w:ascii="Avenir LT Std 45 Book" w:hAnsi="Avenir LT Std 45 Book"/>
          <w:sz w:val="24"/>
          <w:szCs w:val="24"/>
        </w:rPr>
        <w:t>Historical cost concept</w:t>
      </w:r>
    </w:p>
    <w:p w14:paraId="5DAD8689" w14:textId="77777777" w:rsidR="00310ABE" w:rsidRPr="00312095" w:rsidRDefault="00310ABE" w:rsidP="00310ABE">
      <w:pPr>
        <w:pStyle w:val="NLLAST"/>
        <w:numPr>
          <w:ilvl w:val="0"/>
          <w:numId w:val="36"/>
        </w:numPr>
        <w:rPr>
          <w:rFonts w:ascii="Avenir LT Std 45 Book" w:hAnsi="Avenir LT Std 45 Book"/>
          <w:sz w:val="24"/>
          <w:szCs w:val="24"/>
        </w:rPr>
      </w:pPr>
      <w:r w:rsidRPr="00312095">
        <w:rPr>
          <w:rFonts w:ascii="Avenir LT Std 45 Book" w:hAnsi="Avenir LT Std 45 Book"/>
          <w:sz w:val="24"/>
          <w:szCs w:val="24"/>
        </w:rPr>
        <w:t>Business entity concept</w:t>
      </w:r>
    </w:p>
    <w:p w14:paraId="650F3020" w14:textId="77777777" w:rsidR="00310ABE" w:rsidRPr="00312095" w:rsidRDefault="00310ABE" w:rsidP="00310ABE">
      <w:pPr>
        <w:pStyle w:val="NLLAST"/>
        <w:numPr>
          <w:ilvl w:val="0"/>
          <w:numId w:val="36"/>
        </w:numPr>
        <w:rPr>
          <w:rFonts w:ascii="Avenir LT Std 45 Book" w:hAnsi="Avenir LT Std 45 Book"/>
          <w:sz w:val="24"/>
          <w:szCs w:val="24"/>
        </w:rPr>
      </w:pPr>
      <w:r w:rsidRPr="00312095">
        <w:rPr>
          <w:rFonts w:ascii="Avenir LT Std 45 Book" w:hAnsi="Avenir LT Std 45 Book"/>
          <w:sz w:val="24"/>
          <w:szCs w:val="24"/>
        </w:rPr>
        <w:t>Full disclosure, materiality, completeness.</w:t>
      </w:r>
    </w:p>
    <w:p w14:paraId="12B62D38" w14:textId="77777777" w:rsidR="00310ABE" w:rsidRPr="00312095" w:rsidRDefault="00310ABE" w:rsidP="00310ABE">
      <w:pPr>
        <w:pStyle w:val="NLLAST"/>
        <w:numPr>
          <w:ilvl w:val="0"/>
          <w:numId w:val="36"/>
        </w:numPr>
        <w:rPr>
          <w:rFonts w:ascii="Avenir LT Std 45 Book" w:hAnsi="Avenir LT Std 45 Book"/>
          <w:sz w:val="24"/>
          <w:szCs w:val="24"/>
        </w:rPr>
      </w:pPr>
      <w:r w:rsidRPr="00312095">
        <w:rPr>
          <w:rFonts w:ascii="Avenir LT Std 45 Book" w:hAnsi="Avenir LT Std 45 Book"/>
          <w:sz w:val="24"/>
          <w:szCs w:val="24"/>
        </w:rPr>
        <w:t>Expense recognition concept</w:t>
      </w:r>
    </w:p>
    <w:p w14:paraId="71F17EE7" w14:textId="77777777" w:rsidR="00310ABE" w:rsidRPr="00312095" w:rsidRDefault="00310ABE" w:rsidP="00310ABE">
      <w:pPr>
        <w:pStyle w:val="NLLAST"/>
        <w:numPr>
          <w:ilvl w:val="0"/>
          <w:numId w:val="36"/>
        </w:numPr>
        <w:rPr>
          <w:rFonts w:ascii="Avenir LT Std 45 Book" w:hAnsi="Avenir LT Std 45 Book"/>
          <w:sz w:val="24"/>
          <w:szCs w:val="24"/>
        </w:rPr>
      </w:pPr>
      <w:r w:rsidRPr="00312095">
        <w:rPr>
          <w:rFonts w:ascii="Avenir LT Std 45 Book" w:hAnsi="Avenir LT Std 45 Book"/>
          <w:sz w:val="24"/>
          <w:szCs w:val="24"/>
        </w:rPr>
        <w:t>Timeliness.</w:t>
      </w:r>
    </w:p>
    <w:p w14:paraId="7D783AFD" w14:textId="153C478A" w:rsidR="00060F42" w:rsidRPr="00312095" w:rsidRDefault="00060F42" w:rsidP="00060F42">
      <w:pPr>
        <w:pStyle w:val="BheadSolutionNumber"/>
      </w:pPr>
      <w:r w:rsidRPr="00312095">
        <w:t>Solution to E2-5</w:t>
      </w:r>
    </w:p>
    <w:p w14:paraId="0F89EA12"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Conceptual framework</w:t>
      </w:r>
    </w:p>
    <w:p w14:paraId="38E55DD3"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Predictive value</w:t>
      </w:r>
    </w:p>
    <w:p w14:paraId="524D44B6"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Faithful representation</w:t>
      </w:r>
    </w:p>
    <w:p w14:paraId="7951EAE2"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Comparability</w:t>
      </w:r>
    </w:p>
    <w:p w14:paraId="56ACC81A"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Verifiability</w:t>
      </w:r>
    </w:p>
    <w:p w14:paraId="3D856BC8" w14:textId="0D3C0C34"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Point</w:t>
      </w:r>
      <w:r w:rsidR="00711C10">
        <w:rPr>
          <w:rFonts w:ascii="Avenir LT Std 45 Book" w:hAnsi="Avenir LT Std 45 Book"/>
          <w:sz w:val="24"/>
          <w:szCs w:val="24"/>
        </w:rPr>
        <w:t>-</w:t>
      </w:r>
      <w:r w:rsidRPr="00312095">
        <w:rPr>
          <w:rFonts w:ascii="Avenir LT Std 45 Book" w:hAnsi="Avenir LT Std 45 Book"/>
          <w:sz w:val="24"/>
          <w:szCs w:val="24"/>
        </w:rPr>
        <w:t>in</w:t>
      </w:r>
      <w:r w:rsidR="00711C10">
        <w:rPr>
          <w:rFonts w:ascii="Avenir LT Std 45 Book" w:hAnsi="Avenir LT Std 45 Book"/>
          <w:sz w:val="24"/>
          <w:szCs w:val="24"/>
        </w:rPr>
        <w:t>-</w:t>
      </w:r>
      <w:r w:rsidRPr="00312095">
        <w:rPr>
          <w:rFonts w:ascii="Avenir LT Std 45 Book" w:hAnsi="Avenir LT Std 45 Book"/>
          <w:sz w:val="24"/>
          <w:szCs w:val="24"/>
        </w:rPr>
        <w:t>time elements</w:t>
      </w:r>
    </w:p>
    <w:p w14:paraId="4284A56F"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Arms-length transaction</w:t>
      </w:r>
    </w:p>
    <w:p w14:paraId="75CB5BA1"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Going concern concept</w:t>
      </w:r>
    </w:p>
    <w:p w14:paraId="15871432" w14:textId="77777777" w:rsidR="00060F42" w:rsidRPr="00312095" w:rsidRDefault="00060F42" w:rsidP="00060F42">
      <w:pPr>
        <w:pStyle w:val="H3HEADFIRST"/>
        <w:numPr>
          <w:ilvl w:val="0"/>
          <w:numId w:val="37"/>
        </w:numPr>
        <w:rPr>
          <w:rFonts w:ascii="Avenir LT Std 45 Book" w:hAnsi="Avenir LT Std 45 Book"/>
          <w:sz w:val="24"/>
          <w:szCs w:val="24"/>
        </w:rPr>
      </w:pPr>
      <w:r w:rsidRPr="00312095">
        <w:rPr>
          <w:rFonts w:ascii="Avenir LT Std 45 Book" w:hAnsi="Avenir LT Std 45 Book"/>
          <w:sz w:val="24"/>
          <w:szCs w:val="24"/>
        </w:rPr>
        <w:t>Periodicity assumption</w:t>
      </w:r>
    </w:p>
    <w:p w14:paraId="7A1E7A6F" w14:textId="1C333D4F" w:rsidR="00060F42" w:rsidRPr="00312095" w:rsidRDefault="00711C10" w:rsidP="00060F42">
      <w:pPr>
        <w:pStyle w:val="H3HEADFIRST"/>
        <w:numPr>
          <w:ilvl w:val="0"/>
          <w:numId w:val="37"/>
        </w:numPr>
        <w:rPr>
          <w:rFonts w:ascii="Avenir LT Std 45 Book" w:hAnsi="Avenir LT Std 45 Book"/>
          <w:sz w:val="24"/>
          <w:szCs w:val="24"/>
        </w:rPr>
      </w:pPr>
      <w:r>
        <w:rPr>
          <w:rFonts w:ascii="Avenir LT Std 45 Book" w:hAnsi="Avenir LT Std 45 Book"/>
          <w:sz w:val="24"/>
          <w:szCs w:val="24"/>
        </w:rPr>
        <w:t>Relevan</w:t>
      </w:r>
      <w:r w:rsidR="00E85D3C">
        <w:rPr>
          <w:rFonts w:ascii="Avenir LT Std 45 Book" w:hAnsi="Avenir LT Std 45 Book"/>
          <w:sz w:val="24"/>
          <w:szCs w:val="24"/>
        </w:rPr>
        <w:t>t</w:t>
      </w:r>
    </w:p>
    <w:p w14:paraId="7DF37498" w14:textId="71DB124A" w:rsidR="00060F42" w:rsidRPr="00312095" w:rsidRDefault="00060F42" w:rsidP="00060F42">
      <w:pPr>
        <w:pStyle w:val="BheadSolutionNumber"/>
      </w:pPr>
      <w:r w:rsidRPr="00312095">
        <w:t>Solution to E2-6</w:t>
      </w:r>
    </w:p>
    <w:p w14:paraId="4FFBEA91" w14:textId="77777777" w:rsidR="003905A6" w:rsidRPr="00312095" w:rsidRDefault="003905A6" w:rsidP="003905A6">
      <w:pPr>
        <w:pStyle w:val="NLLAST"/>
        <w:numPr>
          <w:ilvl w:val="0"/>
          <w:numId w:val="38"/>
        </w:numPr>
        <w:rPr>
          <w:rFonts w:ascii="Avenir LT Std 45 Book" w:hAnsi="Avenir LT Std 45 Book"/>
          <w:sz w:val="24"/>
          <w:szCs w:val="24"/>
        </w:rPr>
      </w:pPr>
      <w:r w:rsidRPr="00312095">
        <w:rPr>
          <w:rFonts w:ascii="Avenir LT Std 45 Book" w:hAnsi="Avenir LT Std 45 Book"/>
          <w:sz w:val="24"/>
          <w:szCs w:val="24"/>
        </w:rPr>
        <w:t>Correct. This is consistent with the materiality concept. The $4,000 computer is not material to the financial position and results of operations of a multinational corporation. The subsequent accounting (i.e., capitalization and depreciation) is also not justified from a cost-benefit perspective.</w:t>
      </w:r>
    </w:p>
    <w:p w14:paraId="0E62AECB" w14:textId="77777777" w:rsidR="003905A6" w:rsidRPr="00312095" w:rsidRDefault="003905A6" w:rsidP="003905A6">
      <w:pPr>
        <w:pStyle w:val="NLLAST"/>
        <w:numPr>
          <w:ilvl w:val="0"/>
          <w:numId w:val="38"/>
        </w:numPr>
        <w:rPr>
          <w:rFonts w:ascii="Avenir LT Std 45 Book" w:hAnsi="Avenir LT Std 45 Book"/>
          <w:sz w:val="24"/>
          <w:szCs w:val="24"/>
        </w:rPr>
      </w:pPr>
      <w:r w:rsidRPr="00312095">
        <w:rPr>
          <w:rFonts w:ascii="Avenir LT Std 45 Book" w:hAnsi="Avenir LT Std 45 Book"/>
          <w:sz w:val="24"/>
          <w:szCs w:val="24"/>
        </w:rPr>
        <w:t>Correct. This practice is supported by the expense recognition principle of allocating the cost over a period of time because this cost cannot be directly associated with revenues and the economic benefit is not consumed immediately.</w:t>
      </w:r>
    </w:p>
    <w:p w14:paraId="7AD86DB8" w14:textId="2BFF7A44" w:rsidR="003905A6" w:rsidRPr="00312095" w:rsidRDefault="003905A6" w:rsidP="003905A6">
      <w:pPr>
        <w:pStyle w:val="NLLAST"/>
        <w:numPr>
          <w:ilvl w:val="0"/>
          <w:numId w:val="38"/>
        </w:numPr>
        <w:rPr>
          <w:rFonts w:ascii="Avenir LT Std 45 Book" w:hAnsi="Avenir LT Std 45 Book"/>
          <w:sz w:val="24"/>
          <w:szCs w:val="24"/>
        </w:rPr>
      </w:pPr>
      <w:r w:rsidRPr="00312095">
        <w:rPr>
          <w:rFonts w:ascii="Avenir LT Std 45 Book" w:hAnsi="Avenir LT Std 45 Book"/>
          <w:sz w:val="24"/>
          <w:szCs w:val="24"/>
        </w:rPr>
        <w:t xml:space="preserve">Incorrect. This violates the expense recognition concept because the </w:t>
      </w:r>
      <w:r w:rsidR="002B05F9">
        <w:rPr>
          <w:rFonts w:ascii="Avenir LT Std 45 Book" w:hAnsi="Avenir LT Std 45 Book"/>
          <w:sz w:val="24"/>
          <w:szCs w:val="24"/>
        </w:rPr>
        <w:t xml:space="preserve">benefits from the overhaul </w:t>
      </w:r>
      <w:r w:rsidRPr="00312095">
        <w:rPr>
          <w:rFonts w:ascii="Avenir LT Std 45 Book" w:hAnsi="Avenir LT Std 45 Book"/>
          <w:sz w:val="24"/>
          <w:szCs w:val="24"/>
        </w:rPr>
        <w:t xml:space="preserve">cost </w:t>
      </w:r>
      <w:r w:rsidR="002B05F9">
        <w:rPr>
          <w:rFonts w:ascii="Avenir LT Std 45 Book" w:hAnsi="Avenir LT Std 45 Book"/>
          <w:sz w:val="24"/>
          <w:szCs w:val="24"/>
        </w:rPr>
        <w:t>are</w:t>
      </w:r>
      <w:r w:rsidRPr="00312095">
        <w:rPr>
          <w:rFonts w:ascii="Avenir LT Std 45 Book" w:hAnsi="Avenir LT Std 45 Book"/>
          <w:sz w:val="24"/>
          <w:szCs w:val="24"/>
        </w:rPr>
        <w:t xml:space="preserve"> not consumed immediately. It may also be incorrect because it violates materiality.</w:t>
      </w:r>
    </w:p>
    <w:p w14:paraId="5BF63317" w14:textId="77777777" w:rsidR="003905A6" w:rsidRPr="00312095" w:rsidRDefault="003905A6" w:rsidP="003905A6">
      <w:pPr>
        <w:pStyle w:val="NLLAST"/>
        <w:numPr>
          <w:ilvl w:val="0"/>
          <w:numId w:val="38"/>
        </w:numPr>
        <w:rPr>
          <w:rFonts w:ascii="Avenir LT Std 45 Book" w:hAnsi="Avenir LT Std 45 Book"/>
          <w:sz w:val="24"/>
          <w:szCs w:val="24"/>
        </w:rPr>
      </w:pPr>
      <w:r w:rsidRPr="00312095">
        <w:rPr>
          <w:rFonts w:ascii="Avenir LT Std 45 Book" w:hAnsi="Avenir LT Std 45 Book"/>
          <w:sz w:val="24"/>
          <w:szCs w:val="24"/>
        </w:rPr>
        <w:t>Incorrect. This practice violates the business entity concept. The transactions of the business must be kept separate from the personal affairs of the owner.</w:t>
      </w:r>
    </w:p>
    <w:p w14:paraId="0F12CDF4" w14:textId="6F989454" w:rsidR="003905A6" w:rsidRPr="00312095" w:rsidRDefault="003905A6" w:rsidP="003905A6">
      <w:pPr>
        <w:pStyle w:val="NLLAST"/>
        <w:numPr>
          <w:ilvl w:val="0"/>
          <w:numId w:val="38"/>
        </w:numPr>
        <w:rPr>
          <w:rFonts w:ascii="Avenir LT Std 45 Book" w:hAnsi="Avenir LT Std 45 Book"/>
          <w:sz w:val="24"/>
          <w:szCs w:val="24"/>
        </w:rPr>
      </w:pPr>
      <w:r w:rsidRPr="00312095">
        <w:rPr>
          <w:rFonts w:ascii="Avenir LT Std 45 Book" w:hAnsi="Avenir LT Std 45 Book"/>
          <w:sz w:val="24"/>
          <w:szCs w:val="24"/>
        </w:rPr>
        <w:t>Correct. This practice provides relevant information to its shareholders and is provided on a timely basis.</w:t>
      </w:r>
      <w:r w:rsidR="00E07001">
        <w:rPr>
          <w:rFonts w:ascii="Avenir LT Std 45 Book" w:hAnsi="Avenir LT Std 45 Book"/>
          <w:sz w:val="24"/>
          <w:szCs w:val="24"/>
        </w:rPr>
        <w:t xml:space="preserve"> The periodicity assumption is fulfilled.</w:t>
      </w:r>
    </w:p>
    <w:p w14:paraId="769554C8" w14:textId="16EDA696" w:rsidR="003905A6" w:rsidRDefault="003905A6" w:rsidP="003905A6">
      <w:pPr>
        <w:pStyle w:val="BheadSolutionNumber"/>
      </w:pPr>
      <w:r>
        <w:t>Solution to E2-7</w:t>
      </w:r>
    </w:p>
    <w:p w14:paraId="41916D98" w14:textId="77777777" w:rsidR="00F91326" w:rsidRPr="00F91326" w:rsidRDefault="00F91326" w:rsidP="00053F05">
      <w:pPr>
        <w:pStyle w:val="TextBasic"/>
        <w:keepLines/>
      </w:pPr>
      <w:r w:rsidRPr="00F91326">
        <w:t xml:space="preserve">Since Top Notch paid for the payroll and utilities expenses in the same month it consumed the benefits, there is no difference in the expense recognition of these expenses between the cash basis and accrual basis. The independent contractor’s services are expensed in February under accrual-basis accounting but not cash-basis accounting. </w:t>
      </w:r>
    </w:p>
    <w:p w14:paraId="03263D49" w14:textId="03025401" w:rsidR="00F91326" w:rsidRPr="00F91326" w:rsidRDefault="00F91326" w:rsidP="00450A41">
      <w:pPr>
        <w:pStyle w:val="TextBasic"/>
      </w:pPr>
      <w:r w:rsidRPr="00F91326">
        <w:t>Under cash-basis accounting, Top Notch would recognize revenue of $25,000, $12,000, $107,000 ($40,000 + $33,000 + 34,000), in January, February, and March, respectively, since it received cash in those months.</w:t>
      </w:r>
      <w:r w:rsidR="00424A7B">
        <w:t xml:space="preserve"> </w:t>
      </w:r>
      <w:r w:rsidRPr="00F91326">
        <w:t>However, under the accrual basis, it would recognize $65,000 ($40,000 + $25,000) for services provided in January, $45,000 for services provided in February, and $</w:t>
      </w:r>
      <w:r w:rsidR="00711C10">
        <w:t>55,000</w:t>
      </w:r>
      <w:r w:rsidRPr="00F91326">
        <w:t xml:space="preserve"> ($34,000 + $21,000) for services provided in March.</w:t>
      </w:r>
      <w:r w:rsidR="00424A7B">
        <w:t xml:space="preserve"> </w:t>
      </w:r>
      <w:r w:rsidRPr="00F91326">
        <w:t xml:space="preserve"> </w:t>
      </w:r>
    </w:p>
    <w:p w14:paraId="6D09BD8F" w14:textId="77777777" w:rsidR="00F91326" w:rsidRPr="00F91326" w:rsidRDefault="00F91326" w:rsidP="00814856">
      <w:pPr>
        <w:pStyle w:val="TextBasic"/>
        <w:spacing w:after="120"/>
      </w:pPr>
      <w:r w:rsidRPr="00F91326">
        <w:t>Monthly net income is the monthly revenues less monthly expenses.</w:t>
      </w:r>
      <w:r w:rsidR="00424A7B">
        <w:t xml:space="preserve"> </w:t>
      </w:r>
      <w:r w:rsidRPr="00F91326">
        <w:t>Total net income over the three months is $21,000 higher ($121,150 - $100,150) under the accrual basis due to the $21,000 of services provided in March (part d.) for which clients were billed but cash was not yet collected.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450"/>
        <w:gridCol w:w="2227"/>
        <w:gridCol w:w="473"/>
        <w:gridCol w:w="2520"/>
      </w:tblGrid>
      <w:tr w:rsidR="00EC345F" w:rsidRPr="00F91326" w14:paraId="65BF42FA" w14:textId="77777777" w:rsidTr="00814856">
        <w:tc>
          <w:tcPr>
            <w:tcW w:w="1278" w:type="dxa"/>
            <w:vMerge w:val="restart"/>
            <w:vAlign w:val="bottom"/>
          </w:tcPr>
          <w:p w14:paraId="29B9FEF4" w14:textId="77777777" w:rsidR="00EC345F" w:rsidRPr="00F91326" w:rsidRDefault="00EC345F" w:rsidP="00EC345F">
            <w:pPr>
              <w:pStyle w:val="TCH"/>
            </w:pPr>
            <w:r w:rsidRPr="00F91326">
              <w:t>Month</w:t>
            </w:r>
          </w:p>
        </w:tc>
        <w:tc>
          <w:tcPr>
            <w:tcW w:w="5670" w:type="dxa"/>
            <w:gridSpan w:val="4"/>
          </w:tcPr>
          <w:p w14:paraId="5F76A5B0" w14:textId="77777777" w:rsidR="00EC345F" w:rsidRPr="00F91326" w:rsidRDefault="00EC345F" w:rsidP="00EC345F">
            <w:pPr>
              <w:pStyle w:val="TCH"/>
            </w:pPr>
            <w:r w:rsidRPr="00F91326">
              <w:t>Revenue Recognition</w:t>
            </w:r>
          </w:p>
        </w:tc>
      </w:tr>
      <w:tr w:rsidR="00EC345F" w:rsidRPr="00F91326" w14:paraId="5CEC0859" w14:textId="77777777" w:rsidTr="00814856">
        <w:tc>
          <w:tcPr>
            <w:tcW w:w="1278" w:type="dxa"/>
            <w:vMerge/>
            <w:vAlign w:val="bottom"/>
          </w:tcPr>
          <w:p w14:paraId="75795C31" w14:textId="77777777" w:rsidR="00EC345F" w:rsidRPr="00F91326" w:rsidRDefault="00EC345F" w:rsidP="00EC345F">
            <w:pPr>
              <w:pStyle w:val="TCH"/>
            </w:pPr>
          </w:p>
        </w:tc>
        <w:tc>
          <w:tcPr>
            <w:tcW w:w="2677" w:type="dxa"/>
            <w:gridSpan w:val="2"/>
            <w:tcBorders>
              <w:bottom w:val="single" w:sz="4" w:space="0" w:color="auto"/>
            </w:tcBorders>
          </w:tcPr>
          <w:p w14:paraId="4BD2A8CE" w14:textId="77777777" w:rsidR="00EC345F" w:rsidRPr="00F91326" w:rsidRDefault="00EC345F" w:rsidP="00EC345F">
            <w:pPr>
              <w:pStyle w:val="TCH"/>
            </w:pPr>
            <w:r w:rsidRPr="00F91326">
              <w:t>Cash Basis</w:t>
            </w:r>
          </w:p>
        </w:tc>
        <w:tc>
          <w:tcPr>
            <w:tcW w:w="2993" w:type="dxa"/>
            <w:gridSpan w:val="2"/>
            <w:tcBorders>
              <w:bottom w:val="single" w:sz="4" w:space="0" w:color="auto"/>
            </w:tcBorders>
          </w:tcPr>
          <w:p w14:paraId="6BA2BAFA" w14:textId="77777777" w:rsidR="00EC345F" w:rsidRPr="00F91326" w:rsidRDefault="00EC345F" w:rsidP="00EC345F">
            <w:pPr>
              <w:pStyle w:val="TCH"/>
            </w:pPr>
            <w:r w:rsidRPr="00F91326">
              <w:t>Accrual Basis</w:t>
            </w:r>
          </w:p>
        </w:tc>
      </w:tr>
      <w:tr w:rsidR="00EC345F" w:rsidRPr="00F91326" w14:paraId="21C83821" w14:textId="77777777" w:rsidTr="00053F05">
        <w:tc>
          <w:tcPr>
            <w:tcW w:w="1278" w:type="dxa"/>
          </w:tcPr>
          <w:p w14:paraId="66091E2A" w14:textId="77777777" w:rsidR="00EC345F" w:rsidRPr="00F91326" w:rsidRDefault="00EC345F" w:rsidP="00814856">
            <w:pPr>
              <w:pStyle w:val="TBText"/>
              <w:spacing w:before="60"/>
            </w:pPr>
            <w:r w:rsidRPr="00F91326">
              <w:t>January</w:t>
            </w:r>
          </w:p>
        </w:tc>
        <w:tc>
          <w:tcPr>
            <w:tcW w:w="450" w:type="dxa"/>
            <w:tcBorders>
              <w:right w:val="nil"/>
            </w:tcBorders>
            <w:vAlign w:val="bottom"/>
          </w:tcPr>
          <w:p w14:paraId="06D71750" w14:textId="77777777" w:rsidR="00EC345F" w:rsidRPr="00F91326" w:rsidRDefault="00EC345F" w:rsidP="00814856">
            <w:pPr>
              <w:pStyle w:val="TBText"/>
              <w:spacing w:before="60"/>
            </w:pPr>
            <w:r w:rsidRPr="00F91326">
              <w:t>b.</w:t>
            </w:r>
          </w:p>
        </w:tc>
        <w:tc>
          <w:tcPr>
            <w:tcW w:w="2227" w:type="dxa"/>
            <w:tcBorders>
              <w:left w:val="nil"/>
            </w:tcBorders>
          </w:tcPr>
          <w:p w14:paraId="04A61AAD" w14:textId="77777777" w:rsidR="00EC345F" w:rsidRPr="00F91326" w:rsidRDefault="00EC345F" w:rsidP="00053F05">
            <w:pPr>
              <w:pStyle w:val="TBText"/>
              <w:tabs>
                <w:tab w:val="decimal" w:pos="972"/>
              </w:tabs>
              <w:spacing w:before="60"/>
            </w:pPr>
          </w:p>
          <w:p w14:paraId="735A24AE" w14:textId="77777777" w:rsidR="00EC345F" w:rsidRPr="00F91326" w:rsidRDefault="00EC345F" w:rsidP="00053F05">
            <w:pPr>
              <w:pStyle w:val="TBText"/>
              <w:tabs>
                <w:tab w:val="decimal" w:pos="972"/>
              </w:tabs>
              <w:spacing w:before="60"/>
            </w:pPr>
            <w:r w:rsidRPr="00F91326">
              <w:t>$25,000</w:t>
            </w:r>
          </w:p>
        </w:tc>
        <w:tc>
          <w:tcPr>
            <w:tcW w:w="473" w:type="dxa"/>
            <w:tcBorders>
              <w:right w:val="nil"/>
            </w:tcBorders>
          </w:tcPr>
          <w:p w14:paraId="643E0C23" w14:textId="77777777" w:rsidR="00EC345F" w:rsidRDefault="00EC345F" w:rsidP="00814856">
            <w:pPr>
              <w:pStyle w:val="TBText"/>
              <w:spacing w:before="60"/>
            </w:pPr>
            <w:r w:rsidRPr="00F91326">
              <w:t>a.</w:t>
            </w:r>
          </w:p>
          <w:p w14:paraId="3B648E54" w14:textId="77777777" w:rsidR="00EC345F" w:rsidRPr="00F91326" w:rsidRDefault="00EC345F" w:rsidP="00814856">
            <w:pPr>
              <w:pStyle w:val="TBText"/>
              <w:spacing w:before="60"/>
            </w:pPr>
            <w:r w:rsidRPr="00F91326">
              <w:t>b.</w:t>
            </w:r>
          </w:p>
        </w:tc>
        <w:tc>
          <w:tcPr>
            <w:tcW w:w="2520" w:type="dxa"/>
            <w:tcBorders>
              <w:left w:val="nil"/>
            </w:tcBorders>
          </w:tcPr>
          <w:p w14:paraId="1BB510C6" w14:textId="77777777" w:rsidR="00EC345F" w:rsidRPr="00F91326" w:rsidRDefault="00EC345F" w:rsidP="00053F05">
            <w:pPr>
              <w:pStyle w:val="TBText"/>
              <w:tabs>
                <w:tab w:val="decimal" w:pos="972"/>
              </w:tabs>
              <w:spacing w:before="60"/>
            </w:pPr>
            <w:r w:rsidRPr="00F91326">
              <w:t>$40,000</w:t>
            </w:r>
          </w:p>
          <w:p w14:paraId="0C5130C2" w14:textId="77777777" w:rsidR="00EC345F" w:rsidRPr="00F91326" w:rsidRDefault="00424A7B" w:rsidP="00053F05">
            <w:pPr>
              <w:pStyle w:val="TBText"/>
              <w:tabs>
                <w:tab w:val="decimal" w:pos="972"/>
              </w:tabs>
              <w:spacing w:before="60"/>
            </w:pPr>
            <w:r>
              <w:t xml:space="preserve"> </w:t>
            </w:r>
            <w:r w:rsidR="00EC345F" w:rsidRPr="00F91326">
              <w:t xml:space="preserve"> 25,000</w:t>
            </w:r>
          </w:p>
        </w:tc>
      </w:tr>
      <w:tr w:rsidR="00EC345F" w:rsidRPr="00F91326" w14:paraId="0D54518E" w14:textId="77777777" w:rsidTr="00053F05">
        <w:tc>
          <w:tcPr>
            <w:tcW w:w="1278" w:type="dxa"/>
          </w:tcPr>
          <w:p w14:paraId="191DFF91" w14:textId="77777777" w:rsidR="00EC345F" w:rsidRPr="00F91326" w:rsidRDefault="00EC345F" w:rsidP="00814856">
            <w:pPr>
              <w:pStyle w:val="TBText"/>
              <w:spacing w:before="60"/>
            </w:pPr>
            <w:r w:rsidRPr="00F91326">
              <w:t>February</w:t>
            </w:r>
          </w:p>
        </w:tc>
        <w:tc>
          <w:tcPr>
            <w:tcW w:w="450" w:type="dxa"/>
            <w:tcBorders>
              <w:right w:val="nil"/>
            </w:tcBorders>
          </w:tcPr>
          <w:p w14:paraId="2EE20C48" w14:textId="77777777" w:rsidR="00EC345F" w:rsidRPr="00F91326" w:rsidRDefault="00EC345F" w:rsidP="00814856">
            <w:pPr>
              <w:pStyle w:val="TBText"/>
              <w:spacing w:before="60"/>
            </w:pPr>
            <w:r w:rsidRPr="00F91326">
              <w:t>c.</w:t>
            </w:r>
            <w:r w:rsidR="00424A7B">
              <w:t xml:space="preserve"> </w:t>
            </w:r>
            <w:r w:rsidRPr="00F91326">
              <w:t xml:space="preserve"> </w:t>
            </w:r>
          </w:p>
        </w:tc>
        <w:tc>
          <w:tcPr>
            <w:tcW w:w="2227" w:type="dxa"/>
            <w:tcBorders>
              <w:left w:val="nil"/>
            </w:tcBorders>
          </w:tcPr>
          <w:p w14:paraId="30FDFF3F" w14:textId="77777777" w:rsidR="00EC345F" w:rsidRPr="00F91326" w:rsidRDefault="00EC345F" w:rsidP="00053F05">
            <w:pPr>
              <w:pStyle w:val="TBText"/>
              <w:tabs>
                <w:tab w:val="decimal" w:pos="972"/>
              </w:tabs>
              <w:spacing w:before="60"/>
            </w:pPr>
            <w:r w:rsidRPr="00F91326">
              <w:t>12,000</w:t>
            </w:r>
          </w:p>
        </w:tc>
        <w:tc>
          <w:tcPr>
            <w:tcW w:w="473" w:type="dxa"/>
            <w:tcBorders>
              <w:right w:val="nil"/>
            </w:tcBorders>
          </w:tcPr>
          <w:p w14:paraId="1B35EC9B" w14:textId="77777777" w:rsidR="00EC345F" w:rsidRPr="00F91326" w:rsidRDefault="00EC345F" w:rsidP="00814856">
            <w:pPr>
              <w:pStyle w:val="TBText"/>
              <w:spacing w:before="60"/>
            </w:pPr>
            <w:r w:rsidRPr="00F91326">
              <w:t>c.</w:t>
            </w:r>
          </w:p>
        </w:tc>
        <w:tc>
          <w:tcPr>
            <w:tcW w:w="2520" w:type="dxa"/>
            <w:tcBorders>
              <w:left w:val="nil"/>
            </w:tcBorders>
          </w:tcPr>
          <w:p w14:paraId="7EC2AC2E" w14:textId="77777777" w:rsidR="00EC345F" w:rsidRPr="00F91326" w:rsidRDefault="00424A7B" w:rsidP="00053F05">
            <w:pPr>
              <w:pStyle w:val="TBText"/>
              <w:tabs>
                <w:tab w:val="decimal" w:pos="972"/>
              </w:tabs>
              <w:spacing w:before="60"/>
            </w:pPr>
            <w:r>
              <w:t xml:space="preserve"> </w:t>
            </w:r>
            <w:r w:rsidR="00EC345F" w:rsidRPr="00F91326">
              <w:t xml:space="preserve"> 45,000</w:t>
            </w:r>
          </w:p>
        </w:tc>
      </w:tr>
      <w:tr w:rsidR="00EC345F" w:rsidRPr="00F91326" w14:paraId="0F73DCB9" w14:textId="77777777" w:rsidTr="00053F05">
        <w:tc>
          <w:tcPr>
            <w:tcW w:w="1278" w:type="dxa"/>
          </w:tcPr>
          <w:p w14:paraId="76C97D57" w14:textId="77777777" w:rsidR="00EC345F" w:rsidRPr="00F91326" w:rsidRDefault="00EC345F" w:rsidP="00814856">
            <w:pPr>
              <w:pStyle w:val="TBText"/>
              <w:spacing w:before="60"/>
            </w:pPr>
            <w:r w:rsidRPr="00F91326">
              <w:t>March</w:t>
            </w:r>
          </w:p>
        </w:tc>
        <w:tc>
          <w:tcPr>
            <w:tcW w:w="450" w:type="dxa"/>
            <w:tcBorders>
              <w:right w:val="nil"/>
            </w:tcBorders>
          </w:tcPr>
          <w:p w14:paraId="2ADA5AC2" w14:textId="77777777" w:rsidR="00EC345F" w:rsidRDefault="00EC345F" w:rsidP="00814856">
            <w:pPr>
              <w:pStyle w:val="TBText"/>
              <w:spacing w:before="60"/>
            </w:pPr>
            <w:r w:rsidRPr="00F91326">
              <w:t>a.</w:t>
            </w:r>
          </w:p>
          <w:p w14:paraId="15D88A8A" w14:textId="77777777" w:rsidR="00EC345F" w:rsidRDefault="00EC345F" w:rsidP="00814856">
            <w:pPr>
              <w:pStyle w:val="TBText"/>
              <w:spacing w:before="60"/>
            </w:pPr>
            <w:r w:rsidRPr="00F91326">
              <w:t>c.</w:t>
            </w:r>
          </w:p>
          <w:p w14:paraId="2F477D3E" w14:textId="77777777" w:rsidR="00EC345F" w:rsidRPr="00F91326" w:rsidRDefault="00EC345F" w:rsidP="00814856">
            <w:pPr>
              <w:pStyle w:val="TBText"/>
              <w:spacing w:before="60"/>
            </w:pPr>
            <w:r w:rsidRPr="00F91326">
              <w:t>d.</w:t>
            </w:r>
            <w:r w:rsidR="00424A7B">
              <w:t xml:space="preserve"> </w:t>
            </w:r>
            <w:r w:rsidRPr="00F91326">
              <w:t xml:space="preserve"> </w:t>
            </w:r>
          </w:p>
        </w:tc>
        <w:tc>
          <w:tcPr>
            <w:tcW w:w="2227" w:type="dxa"/>
            <w:tcBorders>
              <w:left w:val="nil"/>
            </w:tcBorders>
          </w:tcPr>
          <w:p w14:paraId="649C7456" w14:textId="77777777" w:rsidR="00EC345F" w:rsidRPr="00F91326" w:rsidRDefault="00EC345F" w:rsidP="00053F05">
            <w:pPr>
              <w:pStyle w:val="TBText"/>
              <w:tabs>
                <w:tab w:val="decimal" w:pos="972"/>
              </w:tabs>
              <w:spacing w:before="60"/>
            </w:pPr>
            <w:r w:rsidRPr="00F91326">
              <w:t>40,000</w:t>
            </w:r>
          </w:p>
          <w:p w14:paraId="6127E5A6" w14:textId="77777777" w:rsidR="00EC345F" w:rsidRPr="00F91326" w:rsidRDefault="00EC345F" w:rsidP="00053F05">
            <w:pPr>
              <w:pStyle w:val="TBText"/>
              <w:tabs>
                <w:tab w:val="decimal" w:pos="972"/>
              </w:tabs>
              <w:spacing w:before="60"/>
            </w:pPr>
            <w:r w:rsidRPr="00F91326">
              <w:t>33,000</w:t>
            </w:r>
          </w:p>
          <w:p w14:paraId="52A20C69" w14:textId="77777777" w:rsidR="00EC345F" w:rsidRPr="00F91326" w:rsidRDefault="00EC345F" w:rsidP="00053F05">
            <w:pPr>
              <w:pStyle w:val="TBText"/>
              <w:tabs>
                <w:tab w:val="decimal" w:pos="972"/>
              </w:tabs>
              <w:spacing w:before="60"/>
            </w:pPr>
            <w:r w:rsidRPr="00F91326">
              <w:t>34,000</w:t>
            </w:r>
          </w:p>
        </w:tc>
        <w:tc>
          <w:tcPr>
            <w:tcW w:w="473" w:type="dxa"/>
            <w:tcBorders>
              <w:right w:val="nil"/>
            </w:tcBorders>
          </w:tcPr>
          <w:p w14:paraId="2DC302B2" w14:textId="77777777" w:rsidR="00EC345F" w:rsidRDefault="00EC345F" w:rsidP="00814856">
            <w:pPr>
              <w:pStyle w:val="TBText"/>
              <w:spacing w:before="60"/>
            </w:pPr>
            <w:r w:rsidRPr="00F91326">
              <w:t>d.</w:t>
            </w:r>
          </w:p>
          <w:p w14:paraId="2D4B2561" w14:textId="77777777" w:rsidR="00EC345F" w:rsidRPr="00F91326" w:rsidRDefault="00EC345F" w:rsidP="00814856">
            <w:pPr>
              <w:pStyle w:val="TBText"/>
              <w:spacing w:before="60"/>
            </w:pPr>
            <w:r w:rsidRPr="00F91326">
              <w:t>d.</w:t>
            </w:r>
          </w:p>
        </w:tc>
        <w:tc>
          <w:tcPr>
            <w:tcW w:w="2520" w:type="dxa"/>
            <w:tcBorders>
              <w:left w:val="nil"/>
            </w:tcBorders>
          </w:tcPr>
          <w:p w14:paraId="36E5D55A" w14:textId="77777777" w:rsidR="00EC345F" w:rsidRPr="00F91326" w:rsidRDefault="00424A7B" w:rsidP="00053F05">
            <w:pPr>
              <w:pStyle w:val="TBText"/>
              <w:tabs>
                <w:tab w:val="decimal" w:pos="972"/>
              </w:tabs>
              <w:spacing w:before="60"/>
            </w:pPr>
            <w:r>
              <w:t xml:space="preserve"> </w:t>
            </w:r>
            <w:r w:rsidR="00EC345F" w:rsidRPr="00F91326">
              <w:t xml:space="preserve"> 34,000</w:t>
            </w:r>
          </w:p>
          <w:p w14:paraId="2A36B2BE" w14:textId="77777777" w:rsidR="00EC345F" w:rsidRPr="00F91326" w:rsidRDefault="00424A7B" w:rsidP="00053F05">
            <w:pPr>
              <w:pStyle w:val="TBText"/>
              <w:tabs>
                <w:tab w:val="decimal" w:pos="972"/>
              </w:tabs>
              <w:spacing w:before="60"/>
            </w:pPr>
            <w:r>
              <w:t xml:space="preserve"> </w:t>
            </w:r>
            <w:r w:rsidR="00EC345F" w:rsidRPr="00F91326">
              <w:t xml:space="preserve"> 21,000</w:t>
            </w:r>
          </w:p>
        </w:tc>
      </w:tr>
    </w:tbl>
    <w:p w14:paraId="6AE7536F" w14:textId="77777777" w:rsidR="00F91326" w:rsidRPr="00F91326" w:rsidRDefault="00F91326" w:rsidP="00814856">
      <w:pPr>
        <w:pStyle w:val="TBText"/>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2610"/>
        <w:gridCol w:w="3060"/>
      </w:tblGrid>
      <w:tr w:rsidR="00F91326" w:rsidRPr="00F91326" w14:paraId="0F59C0D4" w14:textId="77777777" w:rsidTr="00EC345F">
        <w:tc>
          <w:tcPr>
            <w:tcW w:w="1278" w:type="dxa"/>
            <w:vMerge w:val="restart"/>
            <w:vAlign w:val="bottom"/>
          </w:tcPr>
          <w:p w14:paraId="4778CC4C" w14:textId="77777777" w:rsidR="00F91326" w:rsidRPr="00F91326" w:rsidRDefault="00F91326" w:rsidP="00EC345F">
            <w:pPr>
              <w:pStyle w:val="TCH"/>
            </w:pPr>
            <w:r w:rsidRPr="00F91326">
              <w:t>Month</w:t>
            </w:r>
          </w:p>
        </w:tc>
        <w:tc>
          <w:tcPr>
            <w:tcW w:w="5670" w:type="dxa"/>
            <w:gridSpan w:val="2"/>
            <w:vAlign w:val="bottom"/>
          </w:tcPr>
          <w:p w14:paraId="00426CEF" w14:textId="77777777" w:rsidR="00F91326" w:rsidRPr="00F91326" w:rsidRDefault="00F91326" w:rsidP="00EC345F">
            <w:pPr>
              <w:pStyle w:val="TCH"/>
            </w:pPr>
            <w:r w:rsidRPr="00F91326">
              <w:t>Expense Recognition</w:t>
            </w:r>
          </w:p>
        </w:tc>
      </w:tr>
      <w:tr w:rsidR="00F91326" w:rsidRPr="00F91326" w14:paraId="74BD0829" w14:textId="77777777" w:rsidTr="00450A41">
        <w:tc>
          <w:tcPr>
            <w:tcW w:w="1278" w:type="dxa"/>
            <w:vMerge/>
            <w:vAlign w:val="bottom"/>
          </w:tcPr>
          <w:p w14:paraId="01473ABF" w14:textId="77777777" w:rsidR="00F91326" w:rsidRPr="00F91326" w:rsidRDefault="00F91326" w:rsidP="00EC345F">
            <w:pPr>
              <w:pStyle w:val="TCH"/>
            </w:pPr>
          </w:p>
        </w:tc>
        <w:tc>
          <w:tcPr>
            <w:tcW w:w="2610" w:type="dxa"/>
            <w:vAlign w:val="bottom"/>
          </w:tcPr>
          <w:p w14:paraId="24A555EF" w14:textId="77777777" w:rsidR="00F91326" w:rsidRPr="00F91326" w:rsidRDefault="00F91326" w:rsidP="00EC345F">
            <w:pPr>
              <w:pStyle w:val="TCH"/>
            </w:pPr>
            <w:r w:rsidRPr="00F91326">
              <w:t>Cash Basis</w:t>
            </w:r>
          </w:p>
        </w:tc>
        <w:tc>
          <w:tcPr>
            <w:tcW w:w="3060" w:type="dxa"/>
            <w:vAlign w:val="bottom"/>
          </w:tcPr>
          <w:p w14:paraId="75DE85B9" w14:textId="77777777" w:rsidR="00F91326" w:rsidRPr="00F91326" w:rsidRDefault="00F91326" w:rsidP="00EC345F">
            <w:pPr>
              <w:pStyle w:val="TCH"/>
            </w:pPr>
            <w:r w:rsidRPr="00F91326">
              <w:t>Accrual Basis</w:t>
            </w:r>
          </w:p>
        </w:tc>
      </w:tr>
      <w:tr w:rsidR="00F91326" w:rsidRPr="00F91326" w14:paraId="21E3F225" w14:textId="77777777" w:rsidTr="00450A41">
        <w:tc>
          <w:tcPr>
            <w:tcW w:w="1278" w:type="dxa"/>
          </w:tcPr>
          <w:p w14:paraId="12EEF3C6" w14:textId="77777777" w:rsidR="00F91326" w:rsidRPr="00F91326" w:rsidRDefault="00F91326" w:rsidP="00814856">
            <w:pPr>
              <w:pStyle w:val="TBText"/>
              <w:spacing w:before="60"/>
            </w:pPr>
            <w:r w:rsidRPr="00F91326">
              <w:t>January</w:t>
            </w:r>
          </w:p>
        </w:tc>
        <w:tc>
          <w:tcPr>
            <w:tcW w:w="2610" w:type="dxa"/>
          </w:tcPr>
          <w:p w14:paraId="740AB58A" w14:textId="77777777" w:rsidR="00F91326" w:rsidRPr="00F91326" w:rsidRDefault="00450A41" w:rsidP="00053F05">
            <w:pPr>
              <w:pStyle w:val="TBText"/>
              <w:tabs>
                <w:tab w:val="decimal" w:pos="252"/>
                <w:tab w:val="decimal" w:pos="1332"/>
              </w:tabs>
              <w:spacing w:before="60"/>
            </w:pPr>
            <w:r>
              <w:tab/>
            </w:r>
            <w:r w:rsidR="00F91326" w:rsidRPr="00F91326">
              <w:t>e.</w:t>
            </w:r>
            <w:r>
              <w:tab/>
            </w:r>
            <w:r w:rsidR="00F91326" w:rsidRPr="00F91326">
              <w:t xml:space="preserve"> $12,000</w:t>
            </w:r>
          </w:p>
          <w:p w14:paraId="59E35B54" w14:textId="77777777" w:rsidR="00F91326" w:rsidRPr="00F91326" w:rsidRDefault="00450A41" w:rsidP="00053F05">
            <w:pPr>
              <w:pStyle w:val="TBText"/>
              <w:tabs>
                <w:tab w:val="decimal" w:pos="252"/>
                <w:tab w:val="decimal" w:pos="1332"/>
              </w:tabs>
              <w:spacing w:before="60"/>
            </w:pPr>
            <w:r>
              <w:tab/>
            </w:r>
            <w:r w:rsidR="00F91326" w:rsidRPr="00F91326">
              <w:t>f.</w:t>
            </w:r>
            <w:r>
              <w:tab/>
            </w:r>
            <w:r w:rsidR="00F91326" w:rsidRPr="00F91326">
              <w:t xml:space="preserve"> 800</w:t>
            </w:r>
          </w:p>
        </w:tc>
        <w:tc>
          <w:tcPr>
            <w:tcW w:w="3060" w:type="dxa"/>
          </w:tcPr>
          <w:p w14:paraId="02338A73" w14:textId="77777777" w:rsidR="00F91326" w:rsidRPr="00F91326" w:rsidRDefault="00450A41" w:rsidP="00053F05">
            <w:pPr>
              <w:pStyle w:val="TBText"/>
              <w:tabs>
                <w:tab w:val="decimal" w:pos="252"/>
                <w:tab w:val="decimal" w:pos="1512"/>
              </w:tabs>
              <w:spacing w:before="60"/>
            </w:pPr>
            <w:r>
              <w:tab/>
            </w:r>
            <w:r w:rsidR="00F91326" w:rsidRPr="00F91326">
              <w:t>e.</w:t>
            </w:r>
            <w:r>
              <w:tab/>
            </w:r>
            <w:r w:rsidR="00F91326" w:rsidRPr="00F91326">
              <w:t>$12,000</w:t>
            </w:r>
          </w:p>
          <w:p w14:paraId="0E530498" w14:textId="77777777" w:rsidR="00F91326" w:rsidRPr="00F91326" w:rsidRDefault="00450A41" w:rsidP="00053F05">
            <w:pPr>
              <w:pStyle w:val="TBText"/>
              <w:tabs>
                <w:tab w:val="decimal" w:pos="252"/>
                <w:tab w:val="decimal" w:pos="1512"/>
              </w:tabs>
              <w:spacing w:before="60"/>
            </w:pPr>
            <w:r>
              <w:tab/>
            </w:r>
            <w:r w:rsidR="00F91326" w:rsidRPr="00F91326">
              <w:t xml:space="preserve">f. </w:t>
            </w:r>
            <w:r>
              <w:tab/>
            </w:r>
            <w:r w:rsidR="00F91326" w:rsidRPr="00F91326">
              <w:t>800</w:t>
            </w:r>
          </w:p>
        </w:tc>
      </w:tr>
      <w:tr w:rsidR="00F91326" w:rsidRPr="00F91326" w14:paraId="69FF31E3" w14:textId="77777777" w:rsidTr="00450A41">
        <w:tc>
          <w:tcPr>
            <w:tcW w:w="1278" w:type="dxa"/>
          </w:tcPr>
          <w:p w14:paraId="40CD4564" w14:textId="77777777" w:rsidR="00F91326" w:rsidRPr="00F91326" w:rsidRDefault="00F91326" w:rsidP="00814856">
            <w:pPr>
              <w:pStyle w:val="TBText"/>
              <w:spacing w:before="60"/>
            </w:pPr>
            <w:r w:rsidRPr="00F91326">
              <w:t>February</w:t>
            </w:r>
          </w:p>
        </w:tc>
        <w:tc>
          <w:tcPr>
            <w:tcW w:w="2610" w:type="dxa"/>
          </w:tcPr>
          <w:p w14:paraId="1DEBDFE7" w14:textId="77777777" w:rsidR="00F91326" w:rsidRPr="00F91326" w:rsidRDefault="00450A41" w:rsidP="00053F05">
            <w:pPr>
              <w:pStyle w:val="TBText"/>
              <w:tabs>
                <w:tab w:val="decimal" w:pos="252"/>
                <w:tab w:val="decimal" w:pos="1332"/>
              </w:tabs>
              <w:spacing w:before="60"/>
            </w:pPr>
            <w:r>
              <w:tab/>
            </w:r>
            <w:r w:rsidR="00F91326" w:rsidRPr="00F91326">
              <w:t xml:space="preserve">e. </w:t>
            </w:r>
            <w:r>
              <w:tab/>
            </w:r>
            <w:r w:rsidR="00F91326" w:rsidRPr="00F91326">
              <w:t>13,000</w:t>
            </w:r>
          </w:p>
          <w:p w14:paraId="7CF95AD6" w14:textId="77777777" w:rsidR="00F91326" w:rsidRPr="00F91326" w:rsidRDefault="00450A41" w:rsidP="00053F05">
            <w:pPr>
              <w:pStyle w:val="TBText"/>
              <w:tabs>
                <w:tab w:val="decimal" w:pos="252"/>
                <w:tab w:val="decimal" w:pos="1332"/>
              </w:tabs>
              <w:spacing w:before="60"/>
            </w:pPr>
            <w:r>
              <w:tab/>
            </w:r>
            <w:r w:rsidR="00F91326" w:rsidRPr="00F91326">
              <w:t xml:space="preserve">f. </w:t>
            </w:r>
            <w:r>
              <w:tab/>
            </w:r>
            <w:r w:rsidR="00F91326" w:rsidRPr="00F91326">
              <w:t>850</w:t>
            </w:r>
            <w:r w:rsidR="00424A7B">
              <w:t xml:space="preserve"> </w:t>
            </w:r>
          </w:p>
        </w:tc>
        <w:tc>
          <w:tcPr>
            <w:tcW w:w="3060" w:type="dxa"/>
          </w:tcPr>
          <w:p w14:paraId="051EAD3F" w14:textId="77777777" w:rsidR="00F91326" w:rsidRPr="00F91326" w:rsidRDefault="00450A41" w:rsidP="00053F05">
            <w:pPr>
              <w:pStyle w:val="TBText"/>
              <w:tabs>
                <w:tab w:val="decimal" w:pos="252"/>
                <w:tab w:val="decimal" w:pos="1512"/>
              </w:tabs>
              <w:spacing w:before="60"/>
            </w:pPr>
            <w:r>
              <w:tab/>
            </w:r>
            <w:r w:rsidR="00F91326" w:rsidRPr="00F91326">
              <w:t>e.</w:t>
            </w:r>
            <w:r>
              <w:tab/>
            </w:r>
            <w:r w:rsidR="00F91326" w:rsidRPr="00F91326">
              <w:t>13,000</w:t>
            </w:r>
          </w:p>
          <w:p w14:paraId="04E8F3C7" w14:textId="77777777" w:rsidR="00F91326" w:rsidRPr="00F91326" w:rsidRDefault="00450A41" w:rsidP="00053F05">
            <w:pPr>
              <w:pStyle w:val="TBText"/>
              <w:tabs>
                <w:tab w:val="decimal" w:pos="252"/>
                <w:tab w:val="decimal" w:pos="1512"/>
              </w:tabs>
              <w:spacing w:before="60"/>
            </w:pPr>
            <w:r>
              <w:tab/>
            </w:r>
            <w:r w:rsidR="00F91326" w:rsidRPr="00F91326">
              <w:t xml:space="preserve">f. </w:t>
            </w:r>
            <w:r>
              <w:tab/>
            </w:r>
            <w:r w:rsidR="00F91326" w:rsidRPr="00F91326">
              <w:t xml:space="preserve"> 850</w:t>
            </w:r>
            <w:r w:rsidR="00424A7B">
              <w:t xml:space="preserve"> </w:t>
            </w:r>
          </w:p>
          <w:p w14:paraId="77DCBB02" w14:textId="77777777" w:rsidR="00F91326" w:rsidRPr="00F91326" w:rsidRDefault="00450A41" w:rsidP="00053F05">
            <w:pPr>
              <w:pStyle w:val="TBText"/>
              <w:tabs>
                <w:tab w:val="decimal" w:pos="252"/>
                <w:tab w:val="decimal" w:pos="1512"/>
              </w:tabs>
              <w:spacing w:before="60"/>
            </w:pPr>
            <w:r>
              <w:tab/>
            </w:r>
            <w:r w:rsidR="00F91326" w:rsidRPr="00F91326">
              <w:t xml:space="preserve">g. </w:t>
            </w:r>
            <w:r>
              <w:tab/>
            </w:r>
            <w:r w:rsidR="00F91326" w:rsidRPr="00F91326">
              <w:t xml:space="preserve"> 1,200</w:t>
            </w:r>
          </w:p>
        </w:tc>
      </w:tr>
      <w:tr w:rsidR="00F91326" w:rsidRPr="00F91326" w14:paraId="153EC664" w14:textId="77777777" w:rsidTr="00450A41">
        <w:tc>
          <w:tcPr>
            <w:tcW w:w="1278" w:type="dxa"/>
          </w:tcPr>
          <w:p w14:paraId="7E29BC89" w14:textId="77777777" w:rsidR="00F91326" w:rsidRPr="00F91326" w:rsidRDefault="00F91326" w:rsidP="00814856">
            <w:pPr>
              <w:pStyle w:val="TBText"/>
              <w:spacing w:before="60"/>
            </w:pPr>
            <w:r w:rsidRPr="00F91326">
              <w:t>March</w:t>
            </w:r>
          </w:p>
        </w:tc>
        <w:tc>
          <w:tcPr>
            <w:tcW w:w="2610" w:type="dxa"/>
          </w:tcPr>
          <w:p w14:paraId="2232C344" w14:textId="77777777" w:rsidR="00F91326" w:rsidRPr="00F91326" w:rsidRDefault="00450A41" w:rsidP="00053F05">
            <w:pPr>
              <w:pStyle w:val="TBText"/>
              <w:tabs>
                <w:tab w:val="decimal" w:pos="252"/>
                <w:tab w:val="decimal" w:pos="1332"/>
              </w:tabs>
              <w:spacing w:before="60"/>
            </w:pPr>
            <w:r>
              <w:tab/>
            </w:r>
            <w:r w:rsidR="00F91326" w:rsidRPr="00F91326">
              <w:t>e.</w:t>
            </w:r>
            <w:r>
              <w:tab/>
            </w:r>
            <w:r w:rsidR="00F91326" w:rsidRPr="00F91326">
              <w:t>15,000</w:t>
            </w:r>
          </w:p>
          <w:p w14:paraId="1079C5F9" w14:textId="77777777" w:rsidR="00F91326" w:rsidRPr="00F91326" w:rsidRDefault="00450A41" w:rsidP="00053F05">
            <w:pPr>
              <w:pStyle w:val="TBText"/>
              <w:tabs>
                <w:tab w:val="decimal" w:pos="252"/>
                <w:tab w:val="decimal" w:pos="1332"/>
              </w:tabs>
              <w:spacing w:before="60"/>
            </w:pPr>
            <w:r>
              <w:tab/>
            </w:r>
            <w:r w:rsidR="00F91326" w:rsidRPr="00F91326">
              <w:t xml:space="preserve">f. </w:t>
            </w:r>
            <w:r>
              <w:tab/>
            </w:r>
            <w:r w:rsidR="00F91326" w:rsidRPr="00F91326">
              <w:t>1,000</w:t>
            </w:r>
          </w:p>
          <w:p w14:paraId="2AAC92C3" w14:textId="77777777" w:rsidR="00F91326" w:rsidRPr="00F91326" w:rsidRDefault="00450A41" w:rsidP="00053F05">
            <w:pPr>
              <w:pStyle w:val="TBText"/>
              <w:tabs>
                <w:tab w:val="decimal" w:pos="252"/>
                <w:tab w:val="decimal" w:pos="1332"/>
              </w:tabs>
              <w:spacing w:before="60"/>
            </w:pPr>
            <w:r>
              <w:tab/>
            </w:r>
            <w:r w:rsidR="00F91326" w:rsidRPr="00F91326">
              <w:t>g.</w:t>
            </w:r>
            <w:r>
              <w:tab/>
            </w:r>
            <w:r w:rsidR="00F91326" w:rsidRPr="00F91326">
              <w:t>1,200</w:t>
            </w:r>
          </w:p>
        </w:tc>
        <w:tc>
          <w:tcPr>
            <w:tcW w:w="3060" w:type="dxa"/>
          </w:tcPr>
          <w:p w14:paraId="39870A3F" w14:textId="77777777" w:rsidR="00F91326" w:rsidRPr="00F91326" w:rsidRDefault="00450A41" w:rsidP="00053F05">
            <w:pPr>
              <w:pStyle w:val="TBText"/>
              <w:tabs>
                <w:tab w:val="decimal" w:pos="252"/>
                <w:tab w:val="decimal" w:pos="1512"/>
              </w:tabs>
              <w:spacing w:before="60"/>
            </w:pPr>
            <w:r>
              <w:tab/>
            </w:r>
            <w:r w:rsidR="00F91326" w:rsidRPr="00F91326">
              <w:t xml:space="preserve">e. </w:t>
            </w:r>
            <w:r>
              <w:tab/>
            </w:r>
            <w:r w:rsidR="00F91326" w:rsidRPr="00F91326">
              <w:t>15,000</w:t>
            </w:r>
          </w:p>
          <w:p w14:paraId="0CA0F0B3" w14:textId="77777777" w:rsidR="00F91326" w:rsidRPr="00F91326" w:rsidRDefault="00450A41" w:rsidP="00053F05">
            <w:pPr>
              <w:pStyle w:val="TBText"/>
              <w:tabs>
                <w:tab w:val="decimal" w:pos="252"/>
                <w:tab w:val="decimal" w:pos="1512"/>
              </w:tabs>
              <w:spacing w:before="60"/>
            </w:pPr>
            <w:r>
              <w:tab/>
            </w:r>
            <w:r w:rsidR="00F91326" w:rsidRPr="00F91326">
              <w:t>f.</w:t>
            </w:r>
            <w:r>
              <w:tab/>
            </w:r>
            <w:r w:rsidR="00F91326" w:rsidRPr="00F91326">
              <w:t xml:space="preserve"> 1,000</w:t>
            </w:r>
          </w:p>
        </w:tc>
      </w:tr>
    </w:tbl>
    <w:p w14:paraId="244DA91F" w14:textId="77777777" w:rsidR="00F91326" w:rsidRPr="00F91326" w:rsidRDefault="00F91326" w:rsidP="00814856">
      <w:pPr>
        <w:pStyle w:val="TBText"/>
        <w:spacing w:befor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2835"/>
        <w:gridCol w:w="2835"/>
      </w:tblGrid>
      <w:tr w:rsidR="00F91326" w:rsidRPr="00F91326" w14:paraId="59C78F3D" w14:textId="77777777" w:rsidTr="00EC345F">
        <w:tc>
          <w:tcPr>
            <w:tcW w:w="1278" w:type="dxa"/>
            <w:vMerge w:val="restart"/>
            <w:vAlign w:val="bottom"/>
          </w:tcPr>
          <w:p w14:paraId="525DC5FB" w14:textId="77777777" w:rsidR="00F91326" w:rsidRPr="00F91326" w:rsidRDefault="00F91326" w:rsidP="00053F05">
            <w:pPr>
              <w:pStyle w:val="TCH"/>
              <w:keepNext/>
            </w:pPr>
            <w:r w:rsidRPr="00F91326">
              <w:t>Month</w:t>
            </w:r>
          </w:p>
        </w:tc>
        <w:tc>
          <w:tcPr>
            <w:tcW w:w="5670" w:type="dxa"/>
            <w:gridSpan w:val="2"/>
            <w:vAlign w:val="bottom"/>
          </w:tcPr>
          <w:p w14:paraId="7280FF1A" w14:textId="77777777" w:rsidR="00F91326" w:rsidRPr="00F91326" w:rsidRDefault="00F91326" w:rsidP="00053F05">
            <w:pPr>
              <w:pStyle w:val="TCH"/>
              <w:keepNext/>
            </w:pPr>
            <w:r w:rsidRPr="00F91326">
              <w:t>Net Income (Revenues less Expenses)</w:t>
            </w:r>
          </w:p>
        </w:tc>
      </w:tr>
      <w:tr w:rsidR="00F91326" w:rsidRPr="00F91326" w14:paraId="768C00E5" w14:textId="77777777" w:rsidTr="00450A41">
        <w:tc>
          <w:tcPr>
            <w:tcW w:w="1278" w:type="dxa"/>
            <w:vMerge/>
            <w:vAlign w:val="bottom"/>
          </w:tcPr>
          <w:p w14:paraId="57CF0EAB" w14:textId="77777777" w:rsidR="00F91326" w:rsidRPr="00F91326" w:rsidRDefault="00F91326" w:rsidP="00053F05">
            <w:pPr>
              <w:pStyle w:val="TCH"/>
              <w:keepNext/>
            </w:pPr>
          </w:p>
        </w:tc>
        <w:tc>
          <w:tcPr>
            <w:tcW w:w="2835" w:type="dxa"/>
            <w:vAlign w:val="bottom"/>
          </w:tcPr>
          <w:p w14:paraId="3D72AB76" w14:textId="77777777" w:rsidR="00F91326" w:rsidRPr="00F91326" w:rsidRDefault="00F91326" w:rsidP="00053F05">
            <w:pPr>
              <w:pStyle w:val="TCH"/>
              <w:keepNext/>
            </w:pPr>
            <w:r w:rsidRPr="00F91326">
              <w:t>Cash Basis</w:t>
            </w:r>
          </w:p>
        </w:tc>
        <w:tc>
          <w:tcPr>
            <w:tcW w:w="2835" w:type="dxa"/>
            <w:vAlign w:val="bottom"/>
          </w:tcPr>
          <w:p w14:paraId="73289293" w14:textId="77777777" w:rsidR="00F91326" w:rsidRPr="00F91326" w:rsidRDefault="00F91326" w:rsidP="00053F05">
            <w:pPr>
              <w:pStyle w:val="TCH"/>
              <w:keepNext/>
            </w:pPr>
            <w:r w:rsidRPr="00F91326">
              <w:t>Accrual Basis</w:t>
            </w:r>
          </w:p>
        </w:tc>
      </w:tr>
      <w:tr w:rsidR="00F91326" w:rsidRPr="00F91326" w14:paraId="74D1B9CA" w14:textId="77777777" w:rsidTr="00450A41">
        <w:tc>
          <w:tcPr>
            <w:tcW w:w="1278" w:type="dxa"/>
          </w:tcPr>
          <w:p w14:paraId="740B35D1" w14:textId="77777777" w:rsidR="00F91326" w:rsidRPr="00F91326" w:rsidRDefault="00F91326" w:rsidP="00450A41">
            <w:pPr>
              <w:pStyle w:val="TBText"/>
            </w:pPr>
            <w:r w:rsidRPr="00F91326">
              <w:t>January</w:t>
            </w:r>
          </w:p>
        </w:tc>
        <w:tc>
          <w:tcPr>
            <w:tcW w:w="2835" w:type="dxa"/>
          </w:tcPr>
          <w:p w14:paraId="6D1C9107" w14:textId="77777777" w:rsidR="00F91326" w:rsidRPr="00F91326" w:rsidRDefault="00F91326" w:rsidP="00814856">
            <w:pPr>
              <w:pStyle w:val="TBText"/>
              <w:tabs>
                <w:tab w:val="decimal" w:pos="1692"/>
              </w:tabs>
            </w:pPr>
            <w:r w:rsidRPr="00F91326">
              <w:t>$ 12,200</w:t>
            </w:r>
            <w:r w:rsidR="00424A7B">
              <w:t xml:space="preserve"> </w:t>
            </w:r>
          </w:p>
        </w:tc>
        <w:tc>
          <w:tcPr>
            <w:tcW w:w="2835" w:type="dxa"/>
          </w:tcPr>
          <w:p w14:paraId="7BF4AE5A" w14:textId="77777777" w:rsidR="00F91326" w:rsidRPr="00F91326" w:rsidRDefault="00F91326" w:rsidP="00814856">
            <w:pPr>
              <w:pStyle w:val="TBText"/>
              <w:tabs>
                <w:tab w:val="decimal" w:pos="1692"/>
              </w:tabs>
            </w:pPr>
            <w:r w:rsidRPr="00F91326">
              <w:t>$</w:t>
            </w:r>
            <w:r w:rsidR="00424A7B">
              <w:t xml:space="preserve"> </w:t>
            </w:r>
            <w:r w:rsidRPr="00F91326">
              <w:t>52,200</w:t>
            </w:r>
          </w:p>
        </w:tc>
      </w:tr>
      <w:tr w:rsidR="00F91326" w:rsidRPr="00F91326" w14:paraId="11A206AA" w14:textId="77777777" w:rsidTr="00450A41">
        <w:tc>
          <w:tcPr>
            <w:tcW w:w="1278" w:type="dxa"/>
          </w:tcPr>
          <w:p w14:paraId="2CD16768" w14:textId="77777777" w:rsidR="00F91326" w:rsidRPr="00F91326" w:rsidRDefault="00F91326" w:rsidP="00450A41">
            <w:pPr>
              <w:pStyle w:val="TBText"/>
            </w:pPr>
            <w:r w:rsidRPr="00F91326">
              <w:t>February</w:t>
            </w:r>
          </w:p>
        </w:tc>
        <w:tc>
          <w:tcPr>
            <w:tcW w:w="2835" w:type="dxa"/>
          </w:tcPr>
          <w:p w14:paraId="7878BF58" w14:textId="77777777" w:rsidR="00F91326" w:rsidRPr="00F91326" w:rsidRDefault="00424A7B" w:rsidP="00814856">
            <w:pPr>
              <w:pStyle w:val="TBText"/>
              <w:tabs>
                <w:tab w:val="decimal" w:pos="1692"/>
              </w:tabs>
            </w:pPr>
            <w:r>
              <w:t xml:space="preserve"> </w:t>
            </w:r>
            <w:r w:rsidR="00F91326" w:rsidRPr="00F91326">
              <w:t>($</w:t>
            </w:r>
            <w:r>
              <w:t xml:space="preserve"> </w:t>
            </w:r>
            <w:r w:rsidR="00F91326" w:rsidRPr="00F91326">
              <w:t>1,850)</w:t>
            </w:r>
          </w:p>
        </w:tc>
        <w:tc>
          <w:tcPr>
            <w:tcW w:w="2835" w:type="dxa"/>
          </w:tcPr>
          <w:p w14:paraId="4B518682" w14:textId="77777777" w:rsidR="00F91326" w:rsidRPr="00F91326" w:rsidRDefault="00F91326" w:rsidP="00814856">
            <w:pPr>
              <w:pStyle w:val="TBText"/>
              <w:tabs>
                <w:tab w:val="decimal" w:pos="1692"/>
              </w:tabs>
            </w:pPr>
            <w:r w:rsidRPr="00F91326">
              <w:t>$</w:t>
            </w:r>
            <w:r w:rsidR="00424A7B">
              <w:t xml:space="preserve"> </w:t>
            </w:r>
            <w:r w:rsidRPr="00F91326">
              <w:t>29,950</w:t>
            </w:r>
          </w:p>
        </w:tc>
      </w:tr>
      <w:tr w:rsidR="00F91326" w:rsidRPr="00F91326" w14:paraId="759D0849" w14:textId="77777777" w:rsidTr="00450A41">
        <w:tc>
          <w:tcPr>
            <w:tcW w:w="1278" w:type="dxa"/>
          </w:tcPr>
          <w:p w14:paraId="0FE66EA5" w14:textId="77777777" w:rsidR="00F91326" w:rsidRPr="00F91326" w:rsidRDefault="00F91326" w:rsidP="00450A41">
            <w:pPr>
              <w:pStyle w:val="TBText"/>
            </w:pPr>
            <w:r w:rsidRPr="00F91326">
              <w:t>March</w:t>
            </w:r>
          </w:p>
        </w:tc>
        <w:tc>
          <w:tcPr>
            <w:tcW w:w="2835" w:type="dxa"/>
          </w:tcPr>
          <w:p w14:paraId="162F5CFA" w14:textId="77777777" w:rsidR="00F91326" w:rsidRPr="00F91326" w:rsidRDefault="00F91326" w:rsidP="00814856">
            <w:pPr>
              <w:pStyle w:val="TBText"/>
              <w:tabs>
                <w:tab w:val="decimal" w:pos="1692"/>
              </w:tabs>
            </w:pPr>
            <w:r w:rsidRPr="00F91326">
              <w:t xml:space="preserve"> $ 89,800</w:t>
            </w:r>
          </w:p>
        </w:tc>
        <w:tc>
          <w:tcPr>
            <w:tcW w:w="2835" w:type="dxa"/>
          </w:tcPr>
          <w:p w14:paraId="320E9CAB" w14:textId="77777777" w:rsidR="00F91326" w:rsidRPr="00F91326" w:rsidRDefault="00F91326" w:rsidP="00814856">
            <w:pPr>
              <w:pStyle w:val="TBText"/>
              <w:tabs>
                <w:tab w:val="decimal" w:pos="1692"/>
              </w:tabs>
            </w:pPr>
            <w:r w:rsidRPr="00F91326">
              <w:t>$</w:t>
            </w:r>
            <w:r w:rsidR="00424A7B">
              <w:t xml:space="preserve"> </w:t>
            </w:r>
            <w:r w:rsidRPr="00F91326">
              <w:t>39,000</w:t>
            </w:r>
          </w:p>
        </w:tc>
      </w:tr>
      <w:tr w:rsidR="00F91326" w:rsidRPr="00F91326" w14:paraId="4565F431" w14:textId="77777777" w:rsidTr="00450A41">
        <w:tc>
          <w:tcPr>
            <w:tcW w:w="1278" w:type="dxa"/>
          </w:tcPr>
          <w:p w14:paraId="2453D341" w14:textId="77777777" w:rsidR="00F91326" w:rsidRPr="00F91326" w:rsidRDefault="00F91326" w:rsidP="00450A41">
            <w:pPr>
              <w:pStyle w:val="TBText"/>
            </w:pPr>
            <w:r w:rsidRPr="00F91326">
              <w:t>Total</w:t>
            </w:r>
          </w:p>
        </w:tc>
        <w:tc>
          <w:tcPr>
            <w:tcW w:w="2835" w:type="dxa"/>
          </w:tcPr>
          <w:p w14:paraId="3EDC2C78" w14:textId="77777777" w:rsidR="00F91326" w:rsidRPr="00F91326" w:rsidRDefault="00424A7B" w:rsidP="00814856">
            <w:pPr>
              <w:pStyle w:val="TBText"/>
              <w:tabs>
                <w:tab w:val="decimal" w:pos="1692"/>
              </w:tabs>
            </w:pPr>
            <w:r>
              <w:t xml:space="preserve"> </w:t>
            </w:r>
            <w:r w:rsidR="00F91326" w:rsidRPr="00F91326">
              <w:t xml:space="preserve"> $100,150</w:t>
            </w:r>
          </w:p>
        </w:tc>
        <w:tc>
          <w:tcPr>
            <w:tcW w:w="2835" w:type="dxa"/>
          </w:tcPr>
          <w:p w14:paraId="1FA2D8DA" w14:textId="77777777" w:rsidR="00F91326" w:rsidRPr="00F91326" w:rsidRDefault="00F91326" w:rsidP="00814856">
            <w:pPr>
              <w:pStyle w:val="TBText"/>
              <w:tabs>
                <w:tab w:val="decimal" w:pos="1692"/>
              </w:tabs>
            </w:pPr>
            <w:r w:rsidRPr="00F91326">
              <w:t>$121,150</w:t>
            </w:r>
          </w:p>
        </w:tc>
      </w:tr>
    </w:tbl>
    <w:p w14:paraId="3BADDFCF" w14:textId="77777777" w:rsidR="007841F7" w:rsidRDefault="007841F7" w:rsidP="00327F04">
      <w:pPr>
        <w:pStyle w:val="BheadSolutionNumber"/>
      </w:pPr>
    </w:p>
    <w:p w14:paraId="16877396" w14:textId="77777777" w:rsidR="007841F7" w:rsidRDefault="007841F7">
      <w:pPr>
        <w:rPr>
          <w:rFonts w:ascii="Avenir LT Std 45 Book" w:hAnsi="Avenir LT Std 45 Book" w:cs="Arial"/>
          <w:b/>
          <w:sz w:val="24"/>
          <w:szCs w:val="24"/>
        </w:rPr>
      </w:pPr>
      <w:r>
        <w:br w:type="page"/>
      </w:r>
    </w:p>
    <w:p w14:paraId="5C4BFB35" w14:textId="186FDD3F" w:rsidR="00327F04" w:rsidRPr="00312095" w:rsidRDefault="00327F04" w:rsidP="00327F04">
      <w:pPr>
        <w:pStyle w:val="BheadSolutionNumber"/>
      </w:pPr>
      <w:r w:rsidRPr="00312095">
        <w:t>Solution to E2-8</w:t>
      </w:r>
    </w:p>
    <w:p w14:paraId="47B422BD" w14:textId="77777777" w:rsidR="00546CA1" w:rsidRPr="00502F2E" w:rsidRDefault="00546CA1" w:rsidP="00546CA1">
      <w:pPr>
        <w:pStyle w:val="ListParagraph"/>
        <w:numPr>
          <w:ilvl w:val="0"/>
          <w:numId w:val="40"/>
        </w:numPr>
        <w:rPr>
          <w:rFonts w:ascii="Avenir LT Std 45 Book" w:hAnsi="Avenir LT Std 45 Book"/>
          <w:sz w:val="24"/>
          <w:szCs w:val="24"/>
        </w:rPr>
      </w:pPr>
      <w:r w:rsidRPr="00502F2E">
        <w:rPr>
          <w:rFonts w:ascii="Avenir LT Std 45 Book" w:hAnsi="Avenir LT Std 45 Book"/>
          <w:sz w:val="24"/>
          <w:szCs w:val="24"/>
        </w:rPr>
        <w:t>Comparative income statements: Cash versus Accrual Basis of Accounting.</w:t>
      </w:r>
    </w:p>
    <w:tbl>
      <w:tblPr>
        <w:tblStyle w:val="TableGrid"/>
        <w:tblW w:w="9316" w:type="dxa"/>
        <w:tblInd w:w="360" w:type="dxa"/>
        <w:tblBorders>
          <w:insideH w:val="single" w:sz="6" w:space="0" w:color="auto"/>
          <w:insideV w:val="single" w:sz="6" w:space="0" w:color="auto"/>
        </w:tblBorders>
        <w:tblLook w:val="04A0" w:firstRow="1" w:lastRow="0" w:firstColumn="1" w:lastColumn="0" w:noHBand="0" w:noVBand="1"/>
      </w:tblPr>
      <w:tblGrid>
        <w:gridCol w:w="3862"/>
        <w:gridCol w:w="1626"/>
        <w:gridCol w:w="1340"/>
        <w:gridCol w:w="1244"/>
        <w:gridCol w:w="1244"/>
      </w:tblGrid>
      <w:tr w:rsidR="00546CA1" w:rsidRPr="00312095" w14:paraId="09AEFC8C" w14:textId="77777777" w:rsidTr="00D12D74">
        <w:tc>
          <w:tcPr>
            <w:tcW w:w="3862" w:type="dxa"/>
          </w:tcPr>
          <w:p w14:paraId="64A5927C" w14:textId="77777777" w:rsidR="00546CA1" w:rsidRPr="00312095" w:rsidRDefault="00546CA1" w:rsidP="00D12D74">
            <w:pPr>
              <w:pStyle w:val="NLLAST"/>
              <w:ind w:left="0" w:firstLine="0"/>
              <w:jc w:val="center"/>
              <w:rPr>
                <w:rFonts w:ascii="Avenir LT Std 45 Book" w:hAnsi="Avenir LT Std 45 Book"/>
                <w:b/>
                <w:i/>
                <w:sz w:val="24"/>
                <w:szCs w:val="24"/>
              </w:rPr>
            </w:pPr>
          </w:p>
        </w:tc>
        <w:tc>
          <w:tcPr>
            <w:tcW w:w="2966" w:type="dxa"/>
            <w:gridSpan w:val="2"/>
          </w:tcPr>
          <w:p w14:paraId="3EF1997B" w14:textId="77777777"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Accrual Basis</w:t>
            </w:r>
          </w:p>
        </w:tc>
        <w:tc>
          <w:tcPr>
            <w:tcW w:w="2488" w:type="dxa"/>
            <w:gridSpan w:val="2"/>
          </w:tcPr>
          <w:p w14:paraId="5599D5E1" w14:textId="77777777"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Cash Basis</w:t>
            </w:r>
          </w:p>
        </w:tc>
      </w:tr>
      <w:tr w:rsidR="00546CA1" w:rsidRPr="00312095" w14:paraId="2BACCD3E" w14:textId="77777777" w:rsidTr="00D12D74">
        <w:tc>
          <w:tcPr>
            <w:tcW w:w="3862" w:type="dxa"/>
          </w:tcPr>
          <w:p w14:paraId="191B383D" w14:textId="77777777" w:rsidR="00546CA1" w:rsidRPr="00312095" w:rsidRDefault="00546CA1" w:rsidP="00D12D74">
            <w:pPr>
              <w:pStyle w:val="NLLAST"/>
              <w:ind w:left="0" w:firstLine="0"/>
              <w:jc w:val="center"/>
              <w:rPr>
                <w:rFonts w:ascii="Avenir LT Std 45 Book" w:hAnsi="Avenir LT Std 45 Book"/>
                <w:b/>
                <w:i/>
                <w:sz w:val="24"/>
                <w:szCs w:val="24"/>
              </w:rPr>
            </w:pPr>
          </w:p>
        </w:tc>
        <w:tc>
          <w:tcPr>
            <w:tcW w:w="1626" w:type="dxa"/>
          </w:tcPr>
          <w:p w14:paraId="44494A89" w14:textId="6E38883F"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2019</w:t>
            </w:r>
          </w:p>
        </w:tc>
        <w:tc>
          <w:tcPr>
            <w:tcW w:w="1340" w:type="dxa"/>
          </w:tcPr>
          <w:p w14:paraId="4ABD4375" w14:textId="0CE68151"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2018</w:t>
            </w:r>
          </w:p>
        </w:tc>
        <w:tc>
          <w:tcPr>
            <w:tcW w:w="1244" w:type="dxa"/>
          </w:tcPr>
          <w:p w14:paraId="59D1C99A" w14:textId="027DDF13"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2019</w:t>
            </w:r>
          </w:p>
        </w:tc>
        <w:tc>
          <w:tcPr>
            <w:tcW w:w="1244" w:type="dxa"/>
          </w:tcPr>
          <w:p w14:paraId="602FFA93" w14:textId="307C333B"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2018</w:t>
            </w:r>
          </w:p>
        </w:tc>
      </w:tr>
      <w:tr w:rsidR="00546CA1" w:rsidRPr="00312095" w14:paraId="1DA95EE6" w14:textId="77777777" w:rsidTr="00D12D74">
        <w:tc>
          <w:tcPr>
            <w:tcW w:w="3862" w:type="dxa"/>
          </w:tcPr>
          <w:p w14:paraId="1F4A9652"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Service revenue</w:t>
            </w:r>
          </w:p>
        </w:tc>
        <w:tc>
          <w:tcPr>
            <w:tcW w:w="1626" w:type="dxa"/>
          </w:tcPr>
          <w:p w14:paraId="0B75969E"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$250,000</w:t>
            </w:r>
          </w:p>
        </w:tc>
        <w:tc>
          <w:tcPr>
            <w:tcW w:w="1340" w:type="dxa"/>
          </w:tcPr>
          <w:p w14:paraId="391FE22C"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$185,000</w:t>
            </w:r>
          </w:p>
        </w:tc>
        <w:tc>
          <w:tcPr>
            <w:tcW w:w="1244" w:type="dxa"/>
          </w:tcPr>
          <w:p w14:paraId="1734835C"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54A01DF0" w14:textId="77777777" w:rsidR="00546CA1" w:rsidRPr="00312095" w:rsidRDefault="00546CA1" w:rsidP="00D12D74">
            <w:pPr>
              <w:pStyle w:val="NLLAST"/>
              <w:ind w:left="0" w:firstLine="0"/>
              <w:jc w:val="right"/>
              <w:rPr>
                <w:rFonts w:ascii="Avenir LT Std 45 Book" w:hAnsi="Avenir LT Std 45 Book"/>
                <w:sz w:val="24"/>
                <w:szCs w:val="24"/>
              </w:rPr>
            </w:pPr>
          </w:p>
        </w:tc>
      </w:tr>
      <w:tr w:rsidR="00546CA1" w:rsidRPr="00312095" w14:paraId="32B0B6DC" w14:textId="77777777" w:rsidTr="00D12D74">
        <w:tc>
          <w:tcPr>
            <w:tcW w:w="3862" w:type="dxa"/>
          </w:tcPr>
          <w:p w14:paraId="05AA67D0"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Cash collected from clients</w:t>
            </w:r>
          </w:p>
        </w:tc>
        <w:tc>
          <w:tcPr>
            <w:tcW w:w="1626" w:type="dxa"/>
          </w:tcPr>
          <w:p w14:paraId="755D4A43" w14:textId="77777777" w:rsidR="00546CA1" w:rsidRPr="00312095" w:rsidRDefault="00546CA1" w:rsidP="00D12D74">
            <w:pPr>
              <w:pStyle w:val="NLLAST"/>
              <w:ind w:left="0" w:firstLine="0"/>
              <w:jc w:val="right"/>
              <w:rPr>
                <w:rFonts w:ascii="Avenir LT Std 45 Book" w:hAnsi="Avenir LT Std 45 Book"/>
                <w:sz w:val="24"/>
                <w:szCs w:val="24"/>
              </w:rPr>
            </w:pPr>
          </w:p>
        </w:tc>
        <w:tc>
          <w:tcPr>
            <w:tcW w:w="1340" w:type="dxa"/>
          </w:tcPr>
          <w:p w14:paraId="16F6D2EB"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16064E7A"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$80,000</w:t>
            </w:r>
          </w:p>
        </w:tc>
        <w:tc>
          <w:tcPr>
            <w:tcW w:w="1244" w:type="dxa"/>
          </w:tcPr>
          <w:p w14:paraId="0AFD4E47"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$97,000</w:t>
            </w:r>
          </w:p>
        </w:tc>
      </w:tr>
      <w:tr w:rsidR="00546CA1" w:rsidRPr="00312095" w14:paraId="371517C1" w14:textId="77777777" w:rsidTr="00D12D74">
        <w:tc>
          <w:tcPr>
            <w:tcW w:w="3862" w:type="dxa"/>
          </w:tcPr>
          <w:p w14:paraId="4063F12F"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Operating expenses:</w:t>
            </w:r>
          </w:p>
        </w:tc>
        <w:tc>
          <w:tcPr>
            <w:tcW w:w="1626" w:type="dxa"/>
          </w:tcPr>
          <w:p w14:paraId="55287B0E" w14:textId="77777777" w:rsidR="00546CA1" w:rsidRPr="00312095" w:rsidRDefault="00546CA1" w:rsidP="00D12D74">
            <w:pPr>
              <w:pStyle w:val="NLLAST"/>
              <w:ind w:left="0" w:firstLine="0"/>
              <w:jc w:val="right"/>
              <w:rPr>
                <w:rFonts w:ascii="Avenir LT Std 45 Book" w:hAnsi="Avenir LT Std 45 Book"/>
                <w:sz w:val="24"/>
                <w:szCs w:val="24"/>
              </w:rPr>
            </w:pPr>
          </w:p>
        </w:tc>
        <w:tc>
          <w:tcPr>
            <w:tcW w:w="1340" w:type="dxa"/>
          </w:tcPr>
          <w:p w14:paraId="0D059FE8"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2BD43643"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07327DE9" w14:textId="77777777" w:rsidR="00546CA1" w:rsidRPr="00312095" w:rsidRDefault="00546CA1" w:rsidP="00D12D74">
            <w:pPr>
              <w:pStyle w:val="NLLAST"/>
              <w:ind w:left="0" w:firstLine="0"/>
              <w:jc w:val="right"/>
              <w:rPr>
                <w:rFonts w:ascii="Avenir LT Std 45 Book" w:hAnsi="Avenir LT Std 45 Book"/>
                <w:sz w:val="24"/>
                <w:szCs w:val="24"/>
              </w:rPr>
            </w:pPr>
          </w:p>
        </w:tc>
      </w:tr>
      <w:tr w:rsidR="00546CA1" w:rsidRPr="00312095" w14:paraId="45C38C90" w14:textId="77777777" w:rsidTr="00D12D74">
        <w:tc>
          <w:tcPr>
            <w:tcW w:w="3862" w:type="dxa"/>
          </w:tcPr>
          <w:p w14:paraId="3F3D2539" w14:textId="14D8F1FA" w:rsidR="00546CA1" w:rsidRPr="00312095" w:rsidRDefault="00546CA1" w:rsidP="00546CA1">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Salary expense</w:t>
            </w:r>
          </w:p>
        </w:tc>
        <w:tc>
          <w:tcPr>
            <w:tcW w:w="1626" w:type="dxa"/>
          </w:tcPr>
          <w:p w14:paraId="27C9DAF1"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12,000</w:t>
            </w:r>
          </w:p>
        </w:tc>
        <w:tc>
          <w:tcPr>
            <w:tcW w:w="1340" w:type="dxa"/>
          </w:tcPr>
          <w:p w14:paraId="05E12439"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16,500</w:t>
            </w:r>
          </w:p>
        </w:tc>
        <w:tc>
          <w:tcPr>
            <w:tcW w:w="1244" w:type="dxa"/>
          </w:tcPr>
          <w:p w14:paraId="29375BED"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4BCE55EF" w14:textId="77777777" w:rsidR="00546CA1" w:rsidRPr="00312095" w:rsidRDefault="00546CA1" w:rsidP="00D12D74">
            <w:pPr>
              <w:pStyle w:val="NLLAST"/>
              <w:ind w:left="0" w:firstLine="0"/>
              <w:jc w:val="right"/>
              <w:rPr>
                <w:rFonts w:ascii="Avenir LT Std 45 Book" w:hAnsi="Avenir LT Std 45 Book"/>
                <w:sz w:val="24"/>
                <w:szCs w:val="24"/>
              </w:rPr>
            </w:pPr>
          </w:p>
        </w:tc>
      </w:tr>
      <w:tr w:rsidR="00546CA1" w:rsidRPr="00312095" w14:paraId="2CFD1DE8" w14:textId="77777777" w:rsidTr="00D12D74">
        <w:tc>
          <w:tcPr>
            <w:tcW w:w="3862" w:type="dxa"/>
          </w:tcPr>
          <w:p w14:paraId="79F448E0" w14:textId="4722E105" w:rsidR="00546CA1" w:rsidRPr="00312095" w:rsidRDefault="00546CA1" w:rsidP="00546CA1">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Supplies expense</w:t>
            </w:r>
          </w:p>
        </w:tc>
        <w:tc>
          <w:tcPr>
            <w:tcW w:w="1626" w:type="dxa"/>
          </w:tcPr>
          <w:p w14:paraId="2B9CAE0A" w14:textId="4EA74D66" w:rsidR="00546CA1" w:rsidRPr="00312095" w:rsidRDefault="00546CA1" w:rsidP="00546CA1">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5,500</w:t>
            </w:r>
          </w:p>
        </w:tc>
        <w:tc>
          <w:tcPr>
            <w:tcW w:w="1340" w:type="dxa"/>
          </w:tcPr>
          <w:p w14:paraId="34CD886E" w14:textId="5A62C975"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3,500</w:t>
            </w:r>
          </w:p>
        </w:tc>
        <w:tc>
          <w:tcPr>
            <w:tcW w:w="1244" w:type="dxa"/>
          </w:tcPr>
          <w:p w14:paraId="4BF7B2C9"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4,000</w:t>
            </w:r>
          </w:p>
        </w:tc>
        <w:tc>
          <w:tcPr>
            <w:tcW w:w="1244" w:type="dxa"/>
          </w:tcPr>
          <w:p w14:paraId="7892A627"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2,500</w:t>
            </w:r>
          </w:p>
        </w:tc>
      </w:tr>
      <w:tr w:rsidR="00546CA1" w:rsidRPr="00312095" w14:paraId="32B1D26E" w14:textId="77777777" w:rsidTr="00D12D74">
        <w:tc>
          <w:tcPr>
            <w:tcW w:w="3862" w:type="dxa"/>
          </w:tcPr>
          <w:p w14:paraId="6449D032"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Depreciation expense</w:t>
            </w:r>
          </w:p>
        </w:tc>
        <w:tc>
          <w:tcPr>
            <w:tcW w:w="1626" w:type="dxa"/>
          </w:tcPr>
          <w:p w14:paraId="7EC4F8DC"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2,000</w:t>
            </w:r>
          </w:p>
        </w:tc>
        <w:tc>
          <w:tcPr>
            <w:tcW w:w="1340" w:type="dxa"/>
          </w:tcPr>
          <w:p w14:paraId="658C02EF"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2,000</w:t>
            </w:r>
          </w:p>
        </w:tc>
        <w:tc>
          <w:tcPr>
            <w:tcW w:w="1244" w:type="dxa"/>
          </w:tcPr>
          <w:p w14:paraId="47598422" w14:textId="77777777" w:rsidR="00546CA1" w:rsidRPr="00312095" w:rsidRDefault="00546CA1" w:rsidP="00D12D74">
            <w:pPr>
              <w:pStyle w:val="NLLAST"/>
              <w:ind w:left="0" w:firstLine="0"/>
              <w:jc w:val="right"/>
              <w:rPr>
                <w:rFonts w:ascii="Avenir LT Std 45 Book" w:hAnsi="Avenir LT Std 45 Book"/>
                <w:sz w:val="24"/>
                <w:szCs w:val="24"/>
              </w:rPr>
            </w:pPr>
          </w:p>
        </w:tc>
        <w:tc>
          <w:tcPr>
            <w:tcW w:w="1244" w:type="dxa"/>
          </w:tcPr>
          <w:p w14:paraId="502EE91D" w14:textId="77777777" w:rsidR="00546CA1" w:rsidRPr="00312095" w:rsidRDefault="00546CA1" w:rsidP="00D12D74">
            <w:pPr>
              <w:pStyle w:val="NLLAST"/>
              <w:ind w:left="0" w:firstLine="0"/>
              <w:jc w:val="right"/>
              <w:rPr>
                <w:rFonts w:ascii="Avenir LT Std 45 Book" w:hAnsi="Avenir LT Std 45 Book"/>
                <w:sz w:val="24"/>
                <w:szCs w:val="24"/>
              </w:rPr>
            </w:pPr>
          </w:p>
        </w:tc>
      </w:tr>
      <w:tr w:rsidR="00546CA1" w:rsidRPr="00312095" w14:paraId="4B079672" w14:textId="77777777" w:rsidTr="00D12D74">
        <w:tc>
          <w:tcPr>
            <w:tcW w:w="3862" w:type="dxa"/>
          </w:tcPr>
          <w:p w14:paraId="6AE29814" w14:textId="54AD2341" w:rsidR="00546CA1" w:rsidRPr="00312095" w:rsidRDefault="00546CA1" w:rsidP="00546CA1">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Rent expense</w:t>
            </w:r>
          </w:p>
        </w:tc>
        <w:tc>
          <w:tcPr>
            <w:tcW w:w="1626" w:type="dxa"/>
          </w:tcPr>
          <w:p w14:paraId="11F13A78"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7,000</w:t>
            </w:r>
          </w:p>
        </w:tc>
        <w:tc>
          <w:tcPr>
            <w:tcW w:w="1340" w:type="dxa"/>
          </w:tcPr>
          <w:p w14:paraId="6E5CC32A"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3,000</w:t>
            </w:r>
          </w:p>
        </w:tc>
        <w:tc>
          <w:tcPr>
            <w:tcW w:w="1244" w:type="dxa"/>
          </w:tcPr>
          <w:p w14:paraId="77B81D96"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7,000</w:t>
            </w:r>
          </w:p>
        </w:tc>
        <w:tc>
          <w:tcPr>
            <w:tcW w:w="1244" w:type="dxa"/>
          </w:tcPr>
          <w:p w14:paraId="6D540318"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3,000</w:t>
            </w:r>
          </w:p>
        </w:tc>
      </w:tr>
      <w:tr w:rsidR="00546CA1" w:rsidRPr="00312095" w14:paraId="0B9464D5" w14:textId="77777777" w:rsidTr="00D12D74">
        <w:tc>
          <w:tcPr>
            <w:tcW w:w="3862" w:type="dxa"/>
          </w:tcPr>
          <w:p w14:paraId="7D236E73" w14:textId="0E1A11C5" w:rsidR="00546CA1" w:rsidRPr="00312095" w:rsidRDefault="00546CA1" w:rsidP="00546CA1">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Insurance expense</w:t>
            </w:r>
          </w:p>
        </w:tc>
        <w:tc>
          <w:tcPr>
            <w:tcW w:w="1626" w:type="dxa"/>
          </w:tcPr>
          <w:p w14:paraId="53512637" w14:textId="77777777" w:rsidR="00546CA1" w:rsidRPr="00312095" w:rsidRDefault="00546CA1" w:rsidP="00546CA1">
            <w:pPr>
              <w:pStyle w:val="NLLAST"/>
              <w:numPr>
                <w:ilvl w:val="0"/>
                <w:numId w:val="39"/>
              </w:numPr>
              <w:jc w:val="right"/>
              <w:rPr>
                <w:rFonts w:ascii="Avenir LT Std 45 Book" w:hAnsi="Avenir LT Std 45 Book"/>
                <w:sz w:val="24"/>
                <w:szCs w:val="24"/>
              </w:rPr>
            </w:pPr>
            <w:r w:rsidRPr="00312095">
              <w:rPr>
                <w:rFonts w:ascii="Avenir LT Std 45 Book" w:hAnsi="Avenir LT Std 45 Book"/>
                <w:sz w:val="24"/>
                <w:szCs w:val="24"/>
              </w:rPr>
              <w:t xml:space="preserve">0 - </w:t>
            </w:r>
          </w:p>
        </w:tc>
        <w:tc>
          <w:tcPr>
            <w:tcW w:w="1340" w:type="dxa"/>
          </w:tcPr>
          <w:p w14:paraId="6B33F04F" w14:textId="77777777" w:rsidR="00546CA1" w:rsidRPr="00312095" w:rsidRDefault="00546CA1" w:rsidP="00546CA1">
            <w:pPr>
              <w:pStyle w:val="NLLAST"/>
              <w:numPr>
                <w:ilvl w:val="0"/>
                <w:numId w:val="39"/>
              </w:numPr>
              <w:jc w:val="right"/>
              <w:rPr>
                <w:rFonts w:ascii="Avenir LT Std 45 Book" w:hAnsi="Avenir LT Std 45 Book"/>
                <w:sz w:val="24"/>
                <w:szCs w:val="24"/>
              </w:rPr>
            </w:pPr>
            <w:r w:rsidRPr="00312095">
              <w:rPr>
                <w:rFonts w:ascii="Avenir LT Std 45 Book" w:hAnsi="Avenir LT Std 45 Book"/>
                <w:sz w:val="24"/>
                <w:szCs w:val="24"/>
              </w:rPr>
              <w:t>0 -</w:t>
            </w:r>
          </w:p>
        </w:tc>
        <w:tc>
          <w:tcPr>
            <w:tcW w:w="1244" w:type="dxa"/>
          </w:tcPr>
          <w:p w14:paraId="4296E8DB" w14:textId="77777777" w:rsidR="00546CA1" w:rsidRPr="00312095" w:rsidRDefault="00546CA1" w:rsidP="00D12D74">
            <w:pPr>
              <w:pStyle w:val="NLLAST"/>
              <w:ind w:left="80" w:firstLine="0"/>
              <w:jc w:val="right"/>
              <w:rPr>
                <w:rFonts w:ascii="Avenir LT Std 45 Book" w:hAnsi="Avenir LT Std 45 Book"/>
                <w:sz w:val="24"/>
                <w:szCs w:val="24"/>
              </w:rPr>
            </w:pPr>
            <w:r w:rsidRPr="00312095">
              <w:rPr>
                <w:rFonts w:ascii="Avenir LT Std 45 Book" w:hAnsi="Avenir LT Std 45 Book"/>
                <w:sz w:val="24"/>
                <w:szCs w:val="24"/>
              </w:rPr>
              <w:t>5,500</w:t>
            </w:r>
          </w:p>
        </w:tc>
        <w:tc>
          <w:tcPr>
            <w:tcW w:w="1244" w:type="dxa"/>
          </w:tcPr>
          <w:p w14:paraId="326FF19A" w14:textId="77777777" w:rsidR="00546CA1" w:rsidRPr="00312095" w:rsidRDefault="00546CA1" w:rsidP="00546CA1">
            <w:pPr>
              <w:pStyle w:val="NLLAST"/>
              <w:numPr>
                <w:ilvl w:val="0"/>
                <w:numId w:val="39"/>
              </w:numPr>
              <w:jc w:val="right"/>
              <w:rPr>
                <w:rFonts w:ascii="Avenir LT Std 45 Book" w:hAnsi="Avenir LT Std 45 Book"/>
                <w:sz w:val="24"/>
                <w:szCs w:val="24"/>
              </w:rPr>
            </w:pPr>
            <w:r w:rsidRPr="00312095">
              <w:rPr>
                <w:rFonts w:ascii="Avenir LT Std 45 Book" w:hAnsi="Avenir LT Std 45 Book"/>
                <w:sz w:val="24"/>
                <w:szCs w:val="24"/>
              </w:rPr>
              <w:t>0 -</w:t>
            </w:r>
          </w:p>
        </w:tc>
      </w:tr>
      <w:tr w:rsidR="00546CA1" w:rsidRPr="00312095" w14:paraId="08C3689F" w14:textId="77777777" w:rsidTr="00D12D74">
        <w:tc>
          <w:tcPr>
            <w:tcW w:w="3862" w:type="dxa"/>
          </w:tcPr>
          <w:p w14:paraId="56ED0895"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Operating Income</w:t>
            </w:r>
          </w:p>
        </w:tc>
        <w:tc>
          <w:tcPr>
            <w:tcW w:w="1626" w:type="dxa"/>
          </w:tcPr>
          <w:p w14:paraId="5E6F27B9" w14:textId="77777777" w:rsidR="00546CA1" w:rsidRPr="00312095" w:rsidRDefault="00546CA1" w:rsidP="00D12D74">
            <w:pPr>
              <w:pStyle w:val="NLLAST"/>
              <w:ind w:left="440" w:firstLine="0"/>
              <w:jc w:val="center"/>
              <w:rPr>
                <w:rFonts w:ascii="Avenir LT Std 45 Book" w:hAnsi="Avenir LT Std 45 Book"/>
                <w:sz w:val="24"/>
                <w:szCs w:val="24"/>
                <w:u w:val="double"/>
              </w:rPr>
            </w:pPr>
            <w:r w:rsidRPr="00312095">
              <w:rPr>
                <w:rFonts w:ascii="Avenir LT Std 45 Book" w:hAnsi="Avenir LT Std 45 Book"/>
                <w:sz w:val="24"/>
                <w:szCs w:val="24"/>
                <w:u w:val="double"/>
              </w:rPr>
              <w:t>$223,500</w:t>
            </w:r>
          </w:p>
        </w:tc>
        <w:tc>
          <w:tcPr>
            <w:tcW w:w="1340" w:type="dxa"/>
          </w:tcPr>
          <w:p w14:paraId="6953DE1D" w14:textId="77777777" w:rsidR="00546CA1" w:rsidRPr="00312095" w:rsidRDefault="00546CA1" w:rsidP="00D12D74">
            <w:pPr>
              <w:pStyle w:val="NLLAST"/>
              <w:ind w:left="80" w:firstLine="0"/>
              <w:jc w:val="right"/>
              <w:rPr>
                <w:rFonts w:ascii="Avenir LT Std 45 Book" w:hAnsi="Avenir LT Std 45 Book"/>
                <w:sz w:val="24"/>
                <w:szCs w:val="24"/>
                <w:u w:val="double"/>
              </w:rPr>
            </w:pPr>
            <w:r w:rsidRPr="00312095">
              <w:rPr>
                <w:rFonts w:ascii="Avenir LT Std 45 Book" w:hAnsi="Avenir LT Std 45 Book"/>
                <w:sz w:val="24"/>
                <w:szCs w:val="24"/>
                <w:u w:val="double"/>
              </w:rPr>
              <w:t>$160,000</w:t>
            </w:r>
          </w:p>
        </w:tc>
        <w:tc>
          <w:tcPr>
            <w:tcW w:w="1244" w:type="dxa"/>
          </w:tcPr>
          <w:p w14:paraId="517CECAE" w14:textId="77777777" w:rsidR="00546CA1" w:rsidRPr="00312095" w:rsidRDefault="00546CA1" w:rsidP="00D12D74">
            <w:pPr>
              <w:pStyle w:val="NLLAST"/>
              <w:ind w:left="80" w:firstLine="0"/>
              <w:jc w:val="right"/>
              <w:rPr>
                <w:rFonts w:ascii="Avenir LT Std 45 Book" w:hAnsi="Avenir LT Std 45 Book"/>
                <w:sz w:val="24"/>
                <w:szCs w:val="24"/>
                <w:u w:val="double"/>
              </w:rPr>
            </w:pPr>
            <w:r w:rsidRPr="00312095">
              <w:rPr>
                <w:rFonts w:ascii="Avenir LT Std 45 Book" w:hAnsi="Avenir LT Std 45 Book"/>
                <w:sz w:val="24"/>
                <w:szCs w:val="24"/>
                <w:u w:val="double"/>
              </w:rPr>
              <w:t>$63,500</w:t>
            </w:r>
          </w:p>
        </w:tc>
        <w:tc>
          <w:tcPr>
            <w:tcW w:w="1244" w:type="dxa"/>
          </w:tcPr>
          <w:p w14:paraId="4090A980" w14:textId="77777777" w:rsidR="00546CA1" w:rsidRPr="00312095" w:rsidRDefault="00546CA1" w:rsidP="00D12D74">
            <w:pPr>
              <w:pStyle w:val="NLLAST"/>
              <w:ind w:left="80" w:firstLine="0"/>
              <w:jc w:val="right"/>
              <w:rPr>
                <w:rFonts w:ascii="Avenir LT Std 45 Book" w:hAnsi="Avenir LT Std 45 Book"/>
                <w:sz w:val="24"/>
                <w:szCs w:val="24"/>
                <w:u w:val="double"/>
              </w:rPr>
            </w:pPr>
            <w:r w:rsidRPr="00312095">
              <w:rPr>
                <w:rFonts w:ascii="Avenir LT Std 45 Book" w:hAnsi="Avenir LT Std 45 Book"/>
                <w:sz w:val="24"/>
                <w:szCs w:val="24"/>
                <w:u w:val="double"/>
              </w:rPr>
              <w:t>$91,500</w:t>
            </w:r>
          </w:p>
        </w:tc>
      </w:tr>
    </w:tbl>
    <w:p w14:paraId="4B915C6D" w14:textId="77777777" w:rsidR="00546CA1" w:rsidRPr="00312095" w:rsidRDefault="00546CA1" w:rsidP="00546CA1">
      <w:pPr>
        <w:rPr>
          <w:rFonts w:ascii="Avenir LT Std 45 Book" w:hAnsi="Avenir LT Std 45 Book"/>
        </w:rPr>
      </w:pPr>
    </w:p>
    <w:p w14:paraId="10D4121D" w14:textId="77777777" w:rsidR="00546CA1" w:rsidRPr="00312095" w:rsidRDefault="00546CA1" w:rsidP="00546CA1">
      <w:pPr>
        <w:rPr>
          <w:rFonts w:ascii="Avenir LT Std 45 Book" w:hAnsi="Avenir LT Std 45 Book"/>
        </w:rPr>
      </w:pPr>
    </w:p>
    <w:p w14:paraId="32C78B26" w14:textId="7D60EC76" w:rsidR="00546CA1" w:rsidRPr="00502F2E" w:rsidRDefault="00931F99" w:rsidP="00502F2E">
      <w:pPr>
        <w:ind w:left="360"/>
        <w:rPr>
          <w:rFonts w:ascii="Avenir LT Std 45 Book" w:hAnsi="Avenir LT Std 45 Book"/>
          <w:sz w:val="24"/>
          <w:szCs w:val="24"/>
        </w:rPr>
      </w:pPr>
      <w:r>
        <w:rPr>
          <w:rFonts w:ascii="Avenir LT Std 45 Book" w:hAnsi="Avenir LT Std 45 Book"/>
          <w:sz w:val="24"/>
          <w:szCs w:val="24"/>
        </w:rPr>
        <w:t xml:space="preserve">2. </w:t>
      </w:r>
      <w:r w:rsidR="00546CA1" w:rsidRPr="00502F2E">
        <w:rPr>
          <w:rFonts w:ascii="Avenir LT Std 45 Book" w:hAnsi="Avenir LT Std 45 Book"/>
          <w:sz w:val="24"/>
          <w:szCs w:val="24"/>
        </w:rPr>
        <w:t>Cash flow from operations is the same for both methods and is equal to the operating income reported under the cash basis:</w:t>
      </w:r>
    </w:p>
    <w:p w14:paraId="2C31F584" w14:textId="77777777" w:rsidR="00546CA1" w:rsidRPr="00502F2E" w:rsidRDefault="00546CA1" w:rsidP="00546CA1">
      <w:pPr>
        <w:pStyle w:val="ListParagraph"/>
        <w:rPr>
          <w:rFonts w:ascii="Avenir LT Std 45 Book" w:hAnsi="Avenir LT Std 45 Book"/>
          <w:sz w:val="24"/>
          <w:szCs w:val="24"/>
        </w:rPr>
      </w:pPr>
    </w:p>
    <w:tbl>
      <w:tblPr>
        <w:tblStyle w:val="TableGrid"/>
        <w:tblW w:w="8725" w:type="dxa"/>
        <w:tblInd w:w="360" w:type="dxa"/>
        <w:tblBorders>
          <w:insideH w:val="single" w:sz="6" w:space="0" w:color="auto"/>
          <w:insideV w:val="single" w:sz="6" w:space="0" w:color="auto"/>
        </w:tblBorders>
        <w:tblLayout w:type="fixed"/>
        <w:tblLook w:val="04A0" w:firstRow="1" w:lastRow="0" w:firstColumn="1" w:lastColumn="0" w:noHBand="0" w:noVBand="1"/>
      </w:tblPr>
      <w:tblGrid>
        <w:gridCol w:w="6060"/>
        <w:gridCol w:w="1225"/>
        <w:gridCol w:w="1440"/>
      </w:tblGrid>
      <w:tr w:rsidR="00546CA1" w:rsidRPr="00312095" w14:paraId="296A245A" w14:textId="77777777" w:rsidTr="00D12D74">
        <w:tc>
          <w:tcPr>
            <w:tcW w:w="6060" w:type="dxa"/>
          </w:tcPr>
          <w:p w14:paraId="13A49216" w14:textId="77777777"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Cash Flow from Operations</w:t>
            </w:r>
          </w:p>
        </w:tc>
        <w:tc>
          <w:tcPr>
            <w:tcW w:w="1225" w:type="dxa"/>
          </w:tcPr>
          <w:p w14:paraId="2B851442" w14:textId="67FB61C2"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2019</w:t>
            </w:r>
          </w:p>
        </w:tc>
        <w:tc>
          <w:tcPr>
            <w:tcW w:w="1440" w:type="dxa"/>
          </w:tcPr>
          <w:p w14:paraId="2B66FFA5" w14:textId="35140EA3" w:rsidR="00546CA1" w:rsidRPr="00312095" w:rsidRDefault="00546CA1" w:rsidP="00D12D74">
            <w:pPr>
              <w:pStyle w:val="NLLAST"/>
              <w:ind w:left="0" w:firstLine="0"/>
              <w:jc w:val="center"/>
              <w:rPr>
                <w:rFonts w:ascii="Avenir LT Std 45 Book" w:hAnsi="Avenir LT Std 45 Book"/>
                <w:b/>
                <w:i/>
                <w:sz w:val="24"/>
                <w:szCs w:val="24"/>
              </w:rPr>
            </w:pPr>
            <w:r w:rsidRPr="00312095">
              <w:rPr>
                <w:rFonts w:ascii="Avenir LT Std 45 Book" w:hAnsi="Avenir LT Std 45 Book"/>
                <w:b/>
                <w:i/>
                <w:sz w:val="24"/>
                <w:szCs w:val="24"/>
              </w:rPr>
              <w:t>2018</w:t>
            </w:r>
          </w:p>
        </w:tc>
      </w:tr>
      <w:tr w:rsidR="00546CA1" w:rsidRPr="00312095" w14:paraId="4A868B35" w14:textId="77777777" w:rsidTr="00D12D74">
        <w:tc>
          <w:tcPr>
            <w:tcW w:w="6060" w:type="dxa"/>
          </w:tcPr>
          <w:p w14:paraId="68014824"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Cash collected from clients</w:t>
            </w:r>
          </w:p>
        </w:tc>
        <w:tc>
          <w:tcPr>
            <w:tcW w:w="1225" w:type="dxa"/>
          </w:tcPr>
          <w:p w14:paraId="143976CE"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$80,000</w:t>
            </w:r>
          </w:p>
        </w:tc>
        <w:tc>
          <w:tcPr>
            <w:tcW w:w="1440" w:type="dxa"/>
          </w:tcPr>
          <w:p w14:paraId="7B8F7B9F"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$97,000</w:t>
            </w:r>
          </w:p>
        </w:tc>
      </w:tr>
      <w:tr w:rsidR="00546CA1" w:rsidRPr="00312095" w14:paraId="759F7624" w14:textId="77777777" w:rsidTr="00D12D74">
        <w:tc>
          <w:tcPr>
            <w:tcW w:w="6060" w:type="dxa"/>
          </w:tcPr>
          <w:p w14:paraId="26974141"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Cash paid for operating expenses:</w:t>
            </w:r>
          </w:p>
        </w:tc>
        <w:tc>
          <w:tcPr>
            <w:tcW w:w="1225" w:type="dxa"/>
          </w:tcPr>
          <w:p w14:paraId="13AF1BA7" w14:textId="77777777" w:rsidR="00546CA1" w:rsidRPr="00312095" w:rsidRDefault="00546CA1" w:rsidP="00D12D74">
            <w:pPr>
              <w:pStyle w:val="NLLAST"/>
              <w:ind w:left="0" w:firstLine="0"/>
              <w:jc w:val="right"/>
              <w:rPr>
                <w:rFonts w:ascii="Avenir LT Std 45 Book" w:hAnsi="Avenir LT Std 45 Book"/>
                <w:sz w:val="24"/>
                <w:szCs w:val="24"/>
              </w:rPr>
            </w:pPr>
          </w:p>
        </w:tc>
        <w:tc>
          <w:tcPr>
            <w:tcW w:w="1440" w:type="dxa"/>
          </w:tcPr>
          <w:p w14:paraId="3FC4A29F" w14:textId="77777777" w:rsidR="00546CA1" w:rsidRPr="00312095" w:rsidRDefault="00546CA1" w:rsidP="00D12D74">
            <w:pPr>
              <w:pStyle w:val="NLLAST"/>
              <w:ind w:left="0" w:firstLine="0"/>
              <w:jc w:val="right"/>
              <w:rPr>
                <w:rFonts w:ascii="Avenir LT Std 45 Book" w:hAnsi="Avenir LT Std 45 Book"/>
                <w:sz w:val="24"/>
                <w:szCs w:val="24"/>
              </w:rPr>
            </w:pPr>
          </w:p>
        </w:tc>
      </w:tr>
      <w:tr w:rsidR="00546CA1" w:rsidRPr="00312095" w14:paraId="6D4369CD" w14:textId="77777777" w:rsidTr="00D12D74">
        <w:tc>
          <w:tcPr>
            <w:tcW w:w="6060" w:type="dxa"/>
          </w:tcPr>
          <w:p w14:paraId="01842EC1"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Cash paid for supplies</w:t>
            </w:r>
          </w:p>
        </w:tc>
        <w:tc>
          <w:tcPr>
            <w:tcW w:w="1225" w:type="dxa"/>
          </w:tcPr>
          <w:p w14:paraId="47025657"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4,000</w:t>
            </w:r>
          </w:p>
        </w:tc>
        <w:tc>
          <w:tcPr>
            <w:tcW w:w="1440" w:type="dxa"/>
          </w:tcPr>
          <w:p w14:paraId="3FB7123C"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2,500</w:t>
            </w:r>
          </w:p>
        </w:tc>
      </w:tr>
      <w:tr w:rsidR="00546CA1" w:rsidRPr="00312095" w14:paraId="7F41B6E1" w14:textId="77777777" w:rsidTr="00D12D74">
        <w:tc>
          <w:tcPr>
            <w:tcW w:w="6060" w:type="dxa"/>
          </w:tcPr>
          <w:p w14:paraId="4E3ECDCA"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Cash paid for rent</w:t>
            </w:r>
          </w:p>
        </w:tc>
        <w:tc>
          <w:tcPr>
            <w:tcW w:w="1225" w:type="dxa"/>
          </w:tcPr>
          <w:p w14:paraId="5A69A303"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7,000</w:t>
            </w:r>
          </w:p>
        </w:tc>
        <w:tc>
          <w:tcPr>
            <w:tcW w:w="1440" w:type="dxa"/>
          </w:tcPr>
          <w:p w14:paraId="219F81C2" w14:textId="77777777" w:rsidR="00546CA1" w:rsidRPr="00312095" w:rsidRDefault="00546CA1" w:rsidP="00D12D74">
            <w:pPr>
              <w:pStyle w:val="NLLAST"/>
              <w:ind w:left="0" w:firstLine="0"/>
              <w:jc w:val="right"/>
              <w:rPr>
                <w:rFonts w:ascii="Avenir LT Std 45 Book" w:hAnsi="Avenir LT Std 45 Book"/>
                <w:sz w:val="24"/>
                <w:szCs w:val="24"/>
              </w:rPr>
            </w:pPr>
            <w:r w:rsidRPr="00312095">
              <w:rPr>
                <w:rFonts w:ascii="Avenir LT Std 45 Book" w:hAnsi="Avenir LT Std 45 Book"/>
                <w:sz w:val="24"/>
                <w:szCs w:val="24"/>
              </w:rPr>
              <w:t>3,000</w:t>
            </w:r>
          </w:p>
        </w:tc>
      </w:tr>
      <w:tr w:rsidR="00546CA1" w:rsidRPr="00312095" w14:paraId="091A4C0F" w14:textId="77777777" w:rsidTr="00D12D74">
        <w:tc>
          <w:tcPr>
            <w:tcW w:w="6060" w:type="dxa"/>
          </w:tcPr>
          <w:p w14:paraId="1711D9EA" w14:textId="77777777" w:rsidR="00546CA1" w:rsidRPr="00312095" w:rsidRDefault="00546CA1" w:rsidP="00D12D74">
            <w:pPr>
              <w:pStyle w:val="NLLAST"/>
              <w:ind w:left="0" w:firstLine="0"/>
              <w:rPr>
                <w:rFonts w:ascii="Avenir LT Std 45 Book" w:hAnsi="Avenir LT Std 45 Book"/>
                <w:sz w:val="24"/>
                <w:szCs w:val="24"/>
              </w:rPr>
            </w:pPr>
            <w:r w:rsidRPr="00312095">
              <w:rPr>
                <w:rFonts w:ascii="Avenir LT Std 45 Book" w:hAnsi="Avenir LT Std 45 Book"/>
                <w:sz w:val="24"/>
                <w:szCs w:val="24"/>
              </w:rPr>
              <w:t xml:space="preserve">     Cash paid for insurance</w:t>
            </w:r>
          </w:p>
        </w:tc>
        <w:tc>
          <w:tcPr>
            <w:tcW w:w="1225" w:type="dxa"/>
          </w:tcPr>
          <w:p w14:paraId="22E1A95F" w14:textId="77777777" w:rsidR="00546CA1" w:rsidRPr="00312095" w:rsidRDefault="00546CA1" w:rsidP="00D12D74">
            <w:pPr>
              <w:pStyle w:val="NLLAST"/>
              <w:ind w:left="80" w:firstLine="0"/>
              <w:jc w:val="right"/>
              <w:rPr>
                <w:rFonts w:ascii="Avenir LT Std 45 Book" w:hAnsi="Avenir LT Std 45 Book"/>
                <w:sz w:val="24"/>
                <w:szCs w:val="24"/>
                <w:u w:val="single"/>
              </w:rPr>
            </w:pPr>
            <w:r w:rsidRPr="00312095">
              <w:rPr>
                <w:rFonts w:ascii="Avenir LT Std 45 Book" w:hAnsi="Avenir LT Std 45 Book"/>
                <w:sz w:val="24"/>
                <w:szCs w:val="24"/>
                <w:u w:val="single"/>
              </w:rPr>
              <w:t>5,500</w:t>
            </w:r>
          </w:p>
        </w:tc>
        <w:tc>
          <w:tcPr>
            <w:tcW w:w="1440" w:type="dxa"/>
          </w:tcPr>
          <w:p w14:paraId="462B604D" w14:textId="77777777" w:rsidR="00546CA1" w:rsidRPr="00312095" w:rsidRDefault="00546CA1" w:rsidP="00546CA1">
            <w:pPr>
              <w:pStyle w:val="NLLAST"/>
              <w:numPr>
                <w:ilvl w:val="0"/>
                <w:numId w:val="39"/>
              </w:numPr>
              <w:jc w:val="right"/>
              <w:rPr>
                <w:rFonts w:ascii="Avenir LT Std 45 Book" w:hAnsi="Avenir LT Std 45 Book"/>
                <w:sz w:val="24"/>
                <w:szCs w:val="24"/>
                <w:u w:val="single"/>
              </w:rPr>
            </w:pPr>
            <w:r w:rsidRPr="00312095">
              <w:rPr>
                <w:rFonts w:ascii="Avenir LT Std 45 Book" w:hAnsi="Avenir LT Std 45 Book"/>
                <w:sz w:val="24"/>
                <w:szCs w:val="24"/>
                <w:u w:val="single"/>
              </w:rPr>
              <w:t xml:space="preserve"> 0 -</w:t>
            </w:r>
          </w:p>
        </w:tc>
      </w:tr>
      <w:tr w:rsidR="00546CA1" w:rsidRPr="00312095" w14:paraId="5B2AE619" w14:textId="77777777" w:rsidTr="00D12D74">
        <w:tc>
          <w:tcPr>
            <w:tcW w:w="6060" w:type="dxa"/>
          </w:tcPr>
          <w:p w14:paraId="50E48602" w14:textId="0B5D60EA" w:rsidR="00546CA1" w:rsidRPr="00312095" w:rsidRDefault="00711C10" w:rsidP="00D12D74">
            <w:pPr>
              <w:pStyle w:val="NLLAST"/>
              <w:ind w:left="0" w:firstLine="0"/>
              <w:rPr>
                <w:rFonts w:ascii="Avenir LT Std 45 Book" w:hAnsi="Avenir LT Std 45 Book"/>
                <w:sz w:val="24"/>
                <w:szCs w:val="24"/>
              </w:rPr>
            </w:pPr>
            <w:r>
              <w:rPr>
                <w:rFonts w:ascii="Avenir LT Std 45 Book" w:hAnsi="Avenir LT Std 45 Book"/>
                <w:sz w:val="24"/>
                <w:szCs w:val="24"/>
              </w:rPr>
              <w:t>Net c</w:t>
            </w:r>
            <w:r w:rsidR="00546CA1" w:rsidRPr="00312095">
              <w:rPr>
                <w:rFonts w:ascii="Avenir LT Std 45 Book" w:hAnsi="Avenir LT Std 45 Book"/>
                <w:sz w:val="24"/>
                <w:szCs w:val="24"/>
              </w:rPr>
              <w:t>ash flow from operations</w:t>
            </w:r>
          </w:p>
        </w:tc>
        <w:tc>
          <w:tcPr>
            <w:tcW w:w="1225" w:type="dxa"/>
          </w:tcPr>
          <w:p w14:paraId="69F5DB28" w14:textId="77777777" w:rsidR="00546CA1" w:rsidRPr="00312095" w:rsidRDefault="00546CA1" w:rsidP="00D12D74">
            <w:pPr>
              <w:pStyle w:val="NLLAST"/>
              <w:ind w:left="80" w:firstLine="0"/>
              <w:jc w:val="right"/>
              <w:rPr>
                <w:rFonts w:ascii="Avenir LT Std 45 Book" w:hAnsi="Avenir LT Std 45 Book"/>
                <w:sz w:val="24"/>
                <w:szCs w:val="24"/>
                <w:u w:val="double"/>
              </w:rPr>
            </w:pPr>
            <w:r w:rsidRPr="00312095">
              <w:rPr>
                <w:rFonts w:ascii="Avenir LT Std 45 Book" w:hAnsi="Avenir LT Std 45 Book"/>
                <w:sz w:val="24"/>
                <w:szCs w:val="24"/>
                <w:u w:val="double"/>
              </w:rPr>
              <w:t>$63,500</w:t>
            </w:r>
          </w:p>
        </w:tc>
        <w:tc>
          <w:tcPr>
            <w:tcW w:w="1440" w:type="dxa"/>
          </w:tcPr>
          <w:p w14:paraId="17E584F8" w14:textId="77777777" w:rsidR="00546CA1" w:rsidRPr="00312095" w:rsidRDefault="00546CA1" w:rsidP="00D12D74">
            <w:pPr>
              <w:pStyle w:val="NLLAST"/>
              <w:ind w:left="80" w:firstLine="0"/>
              <w:jc w:val="right"/>
              <w:rPr>
                <w:rFonts w:ascii="Avenir LT Std 45 Book" w:hAnsi="Avenir LT Std 45 Book"/>
                <w:sz w:val="24"/>
                <w:szCs w:val="24"/>
                <w:u w:val="double"/>
              </w:rPr>
            </w:pPr>
            <w:r w:rsidRPr="00312095">
              <w:rPr>
                <w:rFonts w:ascii="Avenir LT Std 45 Book" w:hAnsi="Avenir LT Std 45 Book"/>
                <w:sz w:val="24"/>
                <w:szCs w:val="24"/>
                <w:u w:val="double"/>
              </w:rPr>
              <w:t>$91,500</w:t>
            </w:r>
          </w:p>
        </w:tc>
      </w:tr>
    </w:tbl>
    <w:p w14:paraId="17CA3C47" w14:textId="77777777" w:rsidR="00546CA1" w:rsidRPr="00312095" w:rsidRDefault="00546CA1" w:rsidP="00546CA1">
      <w:pPr>
        <w:rPr>
          <w:rFonts w:ascii="Avenir LT Std 45 Book" w:hAnsi="Avenir LT Std 45 Book"/>
        </w:rPr>
      </w:pPr>
    </w:p>
    <w:p w14:paraId="61E9AAD8" w14:textId="77777777" w:rsidR="00327F04" w:rsidRPr="00312095" w:rsidRDefault="00327F04" w:rsidP="00450A41">
      <w:pPr>
        <w:pStyle w:val="TextBasic"/>
      </w:pPr>
    </w:p>
    <w:sectPr w:rsidR="00327F04" w:rsidRPr="00312095" w:rsidSect="00AC0652">
      <w:headerReference w:type="even" r:id="rId8"/>
      <w:headerReference w:type="default" r:id="rId9"/>
      <w:footerReference w:type="even" r:id="rId10"/>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6EFB3" w14:textId="77777777" w:rsidR="00E313CA" w:rsidRDefault="00E313CA" w:rsidP="007925EC">
      <w:r>
        <w:separator/>
      </w:r>
    </w:p>
  </w:endnote>
  <w:endnote w:type="continuationSeparator" w:id="0">
    <w:p w14:paraId="53CAF3B8" w14:textId="77777777" w:rsidR="00E313CA" w:rsidRDefault="00E313CA" w:rsidP="0079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I">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LT Std 45 Book">
    <w:altName w:val="Times New Roman"/>
    <w:panose1 w:val="00000000000000000000"/>
    <w:charset w:val="00"/>
    <w:family w:val="swiss"/>
    <w:notTrueType/>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Garamond">
    <w:altName w:val="Helvetica Neue Bold Condensed"/>
    <w:panose1 w:val="00000000000000000000"/>
    <w:charset w:val="00"/>
    <w:family w:val="roman"/>
    <w:notTrueType/>
    <w:pitch w:val="variable"/>
    <w:sig w:usb0="00000003" w:usb1="00000000" w:usb2="00000000" w:usb3="00000000" w:csb0="00000001" w:csb1="00000000"/>
  </w:font>
  <w:font w:name="Avenir Book">
    <w:altName w:val="Corbel"/>
    <w:charset w:val="00"/>
    <w:family w:val="auto"/>
    <w:pitch w:val="variable"/>
    <w:sig w:usb0="00000001" w:usb1="5000204A" w:usb2="00000000" w:usb3="00000000" w:csb0="0000009B" w:csb1="00000000"/>
  </w:font>
  <w:font w:name="Lucida Grande">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4F49D" w14:textId="2696FA05" w:rsidR="00276904" w:rsidRPr="00FA5C21" w:rsidRDefault="00276904" w:rsidP="00FA5C21">
    <w:pPr>
      <w:pStyle w:val="Footer"/>
      <w:jc w:val="center"/>
      <w:rPr>
        <w:rFonts w:ascii="Avenir Book" w:hAnsi="Avenir Book"/>
      </w:rPr>
    </w:pPr>
    <w:r w:rsidRPr="00D26ECF">
      <w:rPr>
        <w:rFonts w:ascii="Avenir Book" w:hAnsi="Avenir Book" w:cs="Lucida Grande"/>
        <w:color w:val="000000"/>
      </w:rPr>
      <w:t>© 201</w:t>
    </w:r>
    <w:r>
      <w:rPr>
        <w:rFonts w:ascii="Avenir Book" w:hAnsi="Avenir Book" w:cs="Lucida Grande"/>
        <w:color w:val="000000"/>
      </w:rPr>
      <w:t>9</w:t>
    </w:r>
    <w:r w:rsidRPr="00D26ECF">
      <w:rPr>
        <w:rFonts w:ascii="Avenir Book" w:hAnsi="Avenir Book" w:cs="Lucida Grande"/>
        <w:color w:val="000000"/>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D028F" w14:textId="09025DA6" w:rsidR="00276904" w:rsidRPr="00FA5C21" w:rsidRDefault="00276904" w:rsidP="00FA5C21">
    <w:pPr>
      <w:pStyle w:val="Footer"/>
      <w:jc w:val="center"/>
      <w:rPr>
        <w:rFonts w:ascii="Avenir Book" w:hAnsi="Avenir Book"/>
      </w:rPr>
    </w:pPr>
    <w:r w:rsidRPr="00D26ECF">
      <w:rPr>
        <w:rFonts w:ascii="Avenir Book" w:hAnsi="Avenir Book" w:cs="Lucida Grande"/>
        <w:color w:val="000000"/>
      </w:rPr>
      <w:t>© 201</w:t>
    </w:r>
    <w:r>
      <w:rPr>
        <w:rFonts w:ascii="Avenir Book" w:hAnsi="Avenir Book" w:cs="Lucida Grande"/>
        <w:color w:val="000000"/>
      </w:rPr>
      <w:t>9</w:t>
    </w:r>
    <w:r w:rsidRPr="00D26ECF">
      <w:rPr>
        <w:rFonts w:ascii="Avenir Book" w:hAnsi="Avenir Book" w:cs="Lucida Grande"/>
        <w:color w:val="00000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938B8E" w14:textId="77777777" w:rsidR="00E313CA" w:rsidRDefault="00E313CA" w:rsidP="007925EC">
      <w:r>
        <w:separator/>
      </w:r>
    </w:p>
  </w:footnote>
  <w:footnote w:type="continuationSeparator" w:id="0">
    <w:p w14:paraId="486C9E7A" w14:textId="77777777" w:rsidR="00E313CA" w:rsidRDefault="00E313CA" w:rsidP="007925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44BB" w14:textId="4A4C4768" w:rsidR="00276904" w:rsidRPr="00ED2419" w:rsidRDefault="00276904" w:rsidP="00ED2419">
    <w:pPr>
      <w:tabs>
        <w:tab w:val="left" w:pos="720"/>
        <w:tab w:val="right" w:pos="8820"/>
      </w:tabs>
      <w:rPr>
        <w:rFonts w:ascii="Avenir LT Std 45 Book" w:hAnsi="Avenir LT Std 45 Book"/>
        <w:b/>
        <w:bCs/>
        <w:caps/>
        <w:spacing w:val="30"/>
        <w:sz w:val="16"/>
      </w:rPr>
    </w:pPr>
    <w:r>
      <w:rPr>
        <w:rFonts w:ascii="Avenir LT Std 45 Book" w:hAnsi="Avenir LT Std 45 Book"/>
        <w:b/>
        <w:bCs/>
        <w:caps/>
        <w:spacing w:val="30"/>
        <w:sz w:val="16"/>
      </w:rPr>
      <w:t>2</w:t>
    </w:r>
    <w:r w:rsidRPr="00ED2419">
      <w:rPr>
        <w:rFonts w:ascii="Avenir LT Std 45 Book" w:hAnsi="Avenir LT Std 45 Book"/>
        <w:b/>
        <w:bCs/>
        <w:caps/>
        <w:spacing w:val="30"/>
        <w:sz w:val="16"/>
      </w:rPr>
      <w:t>-</w:t>
    </w:r>
    <w:r w:rsidRPr="00ED2419">
      <w:rPr>
        <w:rFonts w:ascii="Avenir LT Std 45 Book" w:hAnsi="Avenir LT Std 45 Book"/>
        <w:b/>
        <w:bCs/>
        <w:caps/>
        <w:spacing w:val="30"/>
        <w:sz w:val="16"/>
      </w:rPr>
      <w:fldChar w:fldCharType="begin"/>
    </w:r>
    <w:r w:rsidRPr="00ED2419">
      <w:rPr>
        <w:rFonts w:ascii="Avenir LT Std 45 Book" w:hAnsi="Avenir LT Std 45 Book"/>
        <w:b/>
        <w:bCs/>
        <w:caps/>
        <w:spacing w:val="30"/>
        <w:sz w:val="16"/>
      </w:rPr>
      <w:instrText xml:space="preserve"> PAGE  </w:instrText>
    </w:r>
    <w:r w:rsidRPr="00ED2419">
      <w:rPr>
        <w:rFonts w:ascii="Avenir LT Std 45 Book" w:hAnsi="Avenir LT Std 45 Book"/>
        <w:b/>
        <w:bCs/>
        <w:caps/>
        <w:spacing w:val="30"/>
        <w:sz w:val="16"/>
      </w:rPr>
      <w:fldChar w:fldCharType="separate"/>
    </w:r>
    <w:r w:rsidR="00622735">
      <w:rPr>
        <w:rFonts w:ascii="Avenir LT Std 45 Book" w:hAnsi="Avenir LT Std 45 Book"/>
        <w:b/>
        <w:bCs/>
        <w:caps/>
        <w:noProof/>
        <w:spacing w:val="30"/>
        <w:sz w:val="16"/>
      </w:rPr>
      <w:t>16</w:t>
    </w:r>
    <w:r w:rsidRPr="00ED2419">
      <w:rPr>
        <w:rFonts w:ascii="Avenir LT Std 45 Book" w:hAnsi="Avenir LT Std 45 Book"/>
        <w:b/>
        <w:bCs/>
        <w:caps/>
        <w:spacing w:val="30"/>
        <w:sz w:val="16"/>
      </w:rPr>
      <w:fldChar w:fldCharType="end"/>
    </w:r>
    <w:r w:rsidRPr="00ED2419">
      <w:rPr>
        <w:rFonts w:ascii="Avenir LT Std 45 Book" w:hAnsi="Avenir LT Std 45 Book"/>
        <w:b/>
        <w:bCs/>
        <w:caps/>
        <w:spacing w:val="30"/>
        <w:sz w:val="16"/>
      </w:rPr>
      <w:tab/>
    </w:r>
    <w:r w:rsidRPr="00ED2419">
      <w:rPr>
        <w:rFonts w:ascii="Avenir LT Std 45 Book" w:hAnsi="Avenir LT Std 45 Book"/>
        <w:bCs/>
        <w:caps/>
        <w:spacing w:val="30"/>
        <w:sz w:val="16"/>
      </w:rPr>
      <w:t xml:space="preserve">Solutions Manual for </w:t>
    </w:r>
    <w:r w:rsidRPr="00ED2419">
      <w:rPr>
        <w:rFonts w:ascii="Avenir LT Std 45 Book" w:hAnsi="Avenir LT Std 45 Book"/>
        <w:bCs/>
        <w:i/>
        <w:caps/>
        <w:spacing w:val="30"/>
        <w:sz w:val="16"/>
      </w:rPr>
      <w:t>Intermediate Accounting</w:t>
    </w:r>
    <w:r w:rsidRPr="00ED2419">
      <w:rPr>
        <w:rFonts w:ascii="Avenir LT Std 45 Book" w:hAnsi="Avenir LT Std 45 Book"/>
        <w:b/>
        <w:bCs/>
        <w:caps/>
        <w:spacing w:val="30"/>
        <w:sz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F2AF4" w14:textId="415E006E" w:rsidR="00276904" w:rsidRPr="008744AF" w:rsidRDefault="00276904" w:rsidP="008744AF">
    <w:pPr>
      <w:tabs>
        <w:tab w:val="right" w:pos="8640"/>
        <w:tab w:val="right" w:pos="9360"/>
      </w:tabs>
      <w:rPr>
        <w:rFonts w:ascii="Avenir LT Std 45 Book" w:hAnsi="Avenir LT Std 45 Book"/>
        <w:b/>
        <w:bCs/>
        <w:caps/>
        <w:spacing w:val="30"/>
        <w:sz w:val="16"/>
      </w:rPr>
    </w:pPr>
    <w:r w:rsidRPr="008744AF">
      <w:rPr>
        <w:rFonts w:ascii="Avenir LT Std 45 Book" w:hAnsi="Avenir LT Std 45 Book"/>
        <w:b/>
        <w:bCs/>
        <w:caps/>
        <w:spacing w:val="30"/>
        <w:sz w:val="16"/>
      </w:rPr>
      <w:tab/>
      <w:t xml:space="preserve">Chapter </w:t>
    </w:r>
    <w:r>
      <w:rPr>
        <w:rFonts w:ascii="Avenir LT Std 45 Book" w:hAnsi="Avenir LT Std 45 Book"/>
        <w:b/>
        <w:bCs/>
        <w:caps/>
        <w:spacing w:val="30"/>
        <w:sz w:val="16"/>
      </w:rPr>
      <w:t>2</w:t>
    </w:r>
    <w:r w:rsidRPr="008744AF">
      <w:rPr>
        <w:rFonts w:ascii="Avenir LT Std 45 Book" w:hAnsi="Avenir LT Std 45 Book"/>
        <w:b/>
        <w:bCs/>
        <w:caps/>
        <w:spacing w:val="30"/>
        <w:sz w:val="16"/>
      </w:rPr>
      <w:t xml:space="preserve"> </w:t>
    </w:r>
    <w:r w:rsidRPr="008744AF">
      <w:rPr>
        <w:rFonts w:ascii="Avenir LT Std 45 Book" w:hAnsi="Avenir LT Std 45 Book"/>
        <w:bCs/>
        <w:caps/>
        <w:spacing w:val="30"/>
        <w:sz w:val="16"/>
      </w:rPr>
      <w:t xml:space="preserve">Financial Reporting </w:t>
    </w:r>
    <w:r>
      <w:rPr>
        <w:rFonts w:ascii="Avenir LT Std 45 Book" w:hAnsi="Avenir LT Std 45 Book"/>
        <w:bCs/>
        <w:caps/>
        <w:spacing w:val="30"/>
        <w:sz w:val="16"/>
      </w:rPr>
      <w:t>Theory</w:t>
    </w:r>
    <w:r w:rsidRPr="008744AF">
      <w:rPr>
        <w:rFonts w:ascii="Avenir LT Std 45 Book" w:hAnsi="Avenir LT Std 45 Book"/>
        <w:b/>
        <w:bCs/>
        <w:caps/>
        <w:spacing w:val="30"/>
        <w:sz w:val="16"/>
      </w:rPr>
      <w:tab/>
    </w:r>
    <w:r>
      <w:rPr>
        <w:rFonts w:ascii="Avenir LT Std 45 Book" w:hAnsi="Avenir LT Std 45 Book"/>
        <w:b/>
        <w:bCs/>
        <w:caps/>
        <w:spacing w:val="30"/>
        <w:sz w:val="16"/>
      </w:rPr>
      <w:t>2</w:t>
    </w:r>
    <w:r w:rsidRPr="008744AF">
      <w:rPr>
        <w:rFonts w:ascii="Avenir LT Std 45 Book" w:hAnsi="Avenir LT Std 45 Book"/>
        <w:b/>
        <w:bCs/>
        <w:caps/>
        <w:spacing w:val="30"/>
        <w:sz w:val="16"/>
      </w:rPr>
      <w:t>-</w:t>
    </w:r>
    <w:r w:rsidRPr="008744AF">
      <w:rPr>
        <w:rFonts w:ascii="Avenir LT Std 45 Book" w:hAnsi="Avenir LT Std 45 Book"/>
        <w:b/>
        <w:bCs/>
        <w:caps/>
        <w:spacing w:val="30"/>
        <w:sz w:val="16"/>
      </w:rPr>
      <w:fldChar w:fldCharType="begin"/>
    </w:r>
    <w:r w:rsidRPr="008744AF">
      <w:rPr>
        <w:rFonts w:ascii="Avenir LT Std 45 Book" w:hAnsi="Avenir LT Std 45 Book"/>
        <w:b/>
        <w:bCs/>
        <w:caps/>
        <w:spacing w:val="30"/>
        <w:sz w:val="16"/>
      </w:rPr>
      <w:instrText xml:space="preserve"> PAGE  </w:instrText>
    </w:r>
    <w:r w:rsidRPr="008744AF">
      <w:rPr>
        <w:rFonts w:ascii="Avenir LT Std 45 Book" w:hAnsi="Avenir LT Std 45 Book"/>
        <w:b/>
        <w:bCs/>
        <w:caps/>
        <w:spacing w:val="30"/>
        <w:sz w:val="16"/>
      </w:rPr>
      <w:fldChar w:fldCharType="separate"/>
    </w:r>
    <w:r w:rsidR="00622735">
      <w:rPr>
        <w:rFonts w:ascii="Avenir LT Std 45 Book" w:hAnsi="Avenir LT Std 45 Book"/>
        <w:b/>
        <w:bCs/>
        <w:caps/>
        <w:noProof/>
        <w:spacing w:val="30"/>
        <w:sz w:val="16"/>
      </w:rPr>
      <w:t>15</w:t>
    </w:r>
    <w:r w:rsidRPr="008744AF">
      <w:rPr>
        <w:rFonts w:ascii="Avenir LT Std 45 Book" w:hAnsi="Avenir LT Std 45 Book"/>
        <w:b/>
        <w:bCs/>
        <w:caps/>
        <w:spacing w:val="30"/>
        <w:sz w:val="16"/>
      </w:rPr>
      <w:fldChar w:fldCharType="end"/>
    </w:r>
  </w:p>
  <w:p w14:paraId="5E4FBCD0" w14:textId="77777777" w:rsidR="00276904" w:rsidRDefault="002769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588B"/>
    <w:multiLevelType w:val="hybridMultilevel"/>
    <w:tmpl w:val="26BC3C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0E2D1C"/>
    <w:multiLevelType w:val="hybridMultilevel"/>
    <w:tmpl w:val="97008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AF6B51"/>
    <w:multiLevelType w:val="hybridMultilevel"/>
    <w:tmpl w:val="E4309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12ED0"/>
    <w:multiLevelType w:val="hybridMultilevel"/>
    <w:tmpl w:val="D294F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CD068B"/>
    <w:multiLevelType w:val="hybridMultilevel"/>
    <w:tmpl w:val="53BCEA62"/>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4315AB2"/>
    <w:multiLevelType w:val="hybridMultilevel"/>
    <w:tmpl w:val="4E3CDD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rebuchet M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rebuchet M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rebuchet MS"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ED5874"/>
    <w:multiLevelType w:val="hybridMultilevel"/>
    <w:tmpl w:val="693473A6"/>
    <w:lvl w:ilvl="0" w:tplc="94448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B95DA4"/>
    <w:multiLevelType w:val="hybridMultilevel"/>
    <w:tmpl w:val="3D08C5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5C4050C"/>
    <w:multiLevelType w:val="hybridMultilevel"/>
    <w:tmpl w:val="10F4B2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7D0771"/>
    <w:multiLevelType w:val="hybridMultilevel"/>
    <w:tmpl w:val="78A00F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122B99"/>
    <w:multiLevelType w:val="hybridMultilevel"/>
    <w:tmpl w:val="315ACB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0F0646"/>
    <w:multiLevelType w:val="hybridMultilevel"/>
    <w:tmpl w:val="B47C6B3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B72FE8"/>
    <w:multiLevelType w:val="hybridMultilevel"/>
    <w:tmpl w:val="5BFEAC7C"/>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DB7EAB"/>
    <w:multiLevelType w:val="hybridMultilevel"/>
    <w:tmpl w:val="13FCE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E7B6E42"/>
    <w:multiLevelType w:val="hybridMultilevel"/>
    <w:tmpl w:val="252A3526"/>
    <w:lvl w:ilvl="0" w:tplc="5A7A737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A7B2D9D"/>
    <w:multiLevelType w:val="hybridMultilevel"/>
    <w:tmpl w:val="559A5D86"/>
    <w:lvl w:ilvl="0" w:tplc="FDC052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B86F63"/>
    <w:multiLevelType w:val="hybridMultilevel"/>
    <w:tmpl w:val="ED3488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B3116C4"/>
    <w:multiLevelType w:val="hybridMultilevel"/>
    <w:tmpl w:val="E202E6F8"/>
    <w:lvl w:ilvl="0" w:tplc="6BF297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B5B3F28"/>
    <w:multiLevelType w:val="hybridMultilevel"/>
    <w:tmpl w:val="10EEE972"/>
    <w:lvl w:ilvl="0" w:tplc="C426725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301D03"/>
    <w:multiLevelType w:val="hybridMultilevel"/>
    <w:tmpl w:val="695C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D96CEC"/>
    <w:multiLevelType w:val="hybridMultilevel"/>
    <w:tmpl w:val="ADE25C24"/>
    <w:lvl w:ilvl="0" w:tplc="DA32705A">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ED6A49"/>
    <w:multiLevelType w:val="hybridMultilevel"/>
    <w:tmpl w:val="B6D6C9CA"/>
    <w:lvl w:ilvl="0" w:tplc="107263B0">
      <w:start w:val="1"/>
      <w:numFmt w:val="bullet"/>
      <w:lvlText w:val="-"/>
      <w:lvlJc w:val="left"/>
      <w:pPr>
        <w:ind w:left="440" w:hanging="360"/>
      </w:pPr>
      <w:rPr>
        <w:rFonts w:ascii="Trebuchet MS" w:eastAsia="Times New Roman" w:hAnsi="Trebuchet MS" w:cs="Times New Roman"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22" w15:restartNumberingAfterBreak="0">
    <w:nsid w:val="49627BB1"/>
    <w:multiLevelType w:val="hybridMultilevel"/>
    <w:tmpl w:val="0DA6DC20"/>
    <w:lvl w:ilvl="0" w:tplc="433603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6850F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D934AE3"/>
    <w:multiLevelType w:val="hybridMultilevel"/>
    <w:tmpl w:val="300C8C7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E03EAE"/>
    <w:multiLevelType w:val="hybridMultilevel"/>
    <w:tmpl w:val="91F4B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A03FDC"/>
    <w:multiLevelType w:val="hybridMultilevel"/>
    <w:tmpl w:val="9410A964"/>
    <w:lvl w:ilvl="0" w:tplc="61F68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501C8"/>
    <w:multiLevelType w:val="hybridMultilevel"/>
    <w:tmpl w:val="38B609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913FC3"/>
    <w:multiLevelType w:val="hybridMultilevel"/>
    <w:tmpl w:val="7C82E856"/>
    <w:lvl w:ilvl="0" w:tplc="D69A4ADA">
      <w:start w:val="1"/>
      <w:numFmt w:val="low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BF0DE0"/>
    <w:multiLevelType w:val="hybridMultilevel"/>
    <w:tmpl w:val="E8188E80"/>
    <w:lvl w:ilvl="0" w:tplc="157A69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036FA8"/>
    <w:multiLevelType w:val="hybridMultilevel"/>
    <w:tmpl w:val="8D323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1C1C8A"/>
    <w:multiLevelType w:val="hybridMultilevel"/>
    <w:tmpl w:val="5FE095CA"/>
    <w:lvl w:ilvl="0" w:tplc="0E065B6A">
      <w:start w:val="1"/>
      <w:numFmt w:val="lowerLetter"/>
      <w:lvlText w:val="%1)"/>
      <w:lvlJc w:val="left"/>
      <w:pPr>
        <w:ind w:left="1080" w:hanging="360"/>
      </w:pPr>
      <w:rPr>
        <w:rFonts w:cs="Arial" w:hint="default"/>
        <w:color w:val="252525"/>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0FE3A43"/>
    <w:multiLevelType w:val="hybridMultilevel"/>
    <w:tmpl w:val="D8D60638"/>
    <w:lvl w:ilvl="0" w:tplc="433603E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64903482"/>
    <w:multiLevelType w:val="hybridMultilevel"/>
    <w:tmpl w:val="D742AE80"/>
    <w:lvl w:ilvl="0" w:tplc="D38C1DFE">
      <w:start w:val="1"/>
      <w:numFmt w:val="lowerLetter"/>
      <w:lvlText w:val="(%1)"/>
      <w:lvlJc w:val="left"/>
      <w:pPr>
        <w:ind w:left="1080" w:hanging="360"/>
      </w:pPr>
      <w:rPr>
        <w:rFonts w:ascii="Trebuchet MS" w:eastAsia="Times New Roman" w:hAnsi="Trebuchet MS"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E115ABA"/>
    <w:multiLevelType w:val="hybridMultilevel"/>
    <w:tmpl w:val="11E021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802ACD"/>
    <w:multiLevelType w:val="hybridMultilevel"/>
    <w:tmpl w:val="4006746C"/>
    <w:lvl w:ilvl="0" w:tplc="EB7459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F562EE"/>
    <w:multiLevelType w:val="hybridMultilevel"/>
    <w:tmpl w:val="268643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8E717F"/>
    <w:multiLevelType w:val="hybridMultilevel"/>
    <w:tmpl w:val="1D4C5C02"/>
    <w:lvl w:ilvl="0" w:tplc="3D08E0F0">
      <w:start w:val="1"/>
      <w:numFmt w:val="decimal"/>
      <w:lvlText w:val="%1)"/>
      <w:lvlJc w:val="left"/>
      <w:pPr>
        <w:ind w:left="720" w:hanging="360"/>
      </w:pPr>
      <w:rPr>
        <w:rFonts w:ascii="Trebuchet MS" w:eastAsia="Calibri" w:hAnsi="Trebuchet M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9176FA"/>
    <w:multiLevelType w:val="hybridMultilevel"/>
    <w:tmpl w:val="D6ECA186"/>
    <w:lvl w:ilvl="0" w:tplc="D2B617A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3452EA"/>
    <w:multiLevelType w:val="hybridMultilevel"/>
    <w:tmpl w:val="6374B696"/>
    <w:lvl w:ilvl="0" w:tplc="D45EB6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5968B8"/>
    <w:multiLevelType w:val="hybridMultilevel"/>
    <w:tmpl w:val="5296DAB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4"/>
  </w:num>
  <w:num w:numId="3">
    <w:abstractNumId w:val="25"/>
  </w:num>
  <w:num w:numId="4">
    <w:abstractNumId w:val="36"/>
  </w:num>
  <w:num w:numId="5">
    <w:abstractNumId w:val="34"/>
  </w:num>
  <w:num w:numId="6">
    <w:abstractNumId w:val="33"/>
  </w:num>
  <w:num w:numId="7">
    <w:abstractNumId w:val="38"/>
  </w:num>
  <w:num w:numId="8">
    <w:abstractNumId w:val="3"/>
  </w:num>
  <w:num w:numId="9">
    <w:abstractNumId w:val="20"/>
  </w:num>
  <w:num w:numId="10">
    <w:abstractNumId w:val="9"/>
  </w:num>
  <w:num w:numId="11">
    <w:abstractNumId w:val="7"/>
  </w:num>
  <w:num w:numId="12">
    <w:abstractNumId w:val="6"/>
  </w:num>
  <w:num w:numId="13">
    <w:abstractNumId w:val="29"/>
  </w:num>
  <w:num w:numId="14">
    <w:abstractNumId w:val="32"/>
  </w:num>
  <w:num w:numId="15">
    <w:abstractNumId w:val="23"/>
  </w:num>
  <w:num w:numId="16">
    <w:abstractNumId w:val="15"/>
  </w:num>
  <w:num w:numId="17">
    <w:abstractNumId w:val="22"/>
  </w:num>
  <w:num w:numId="18">
    <w:abstractNumId w:val="4"/>
  </w:num>
  <w:num w:numId="19">
    <w:abstractNumId w:val="19"/>
  </w:num>
  <w:num w:numId="20">
    <w:abstractNumId w:val="27"/>
  </w:num>
  <w:num w:numId="21">
    <w:abstractNumId w:val="35"/>
  </w:num>
  <w:num w:numId="22">
    <w:abstractNumId w:val="37"/>
  </w:num>
  <w:num w:numId="23">
    <w:abstractNumId w:val="28"/>
  </w:num>
  <w:num w:numId="24">
    <w:abstractNumId w:val="40"/>
  </w:num>
  <w:num w:numId="25">
    <w:abstractNumId w:val="31"/>
  </w:num>
  <w:num w:numId="26">
    <w:abstractNumId w:val="26"/>
  </w:num>
  <w:num w:numId="27">
    <w:abstractNumId w:val="18"/>
  </w:num>
  <w:num w:numId="28">
    <w:abstractNumId w:val="17"/>
  </w:num>
  <w:num w:numId="29">
    <w:abstractNumId w:val="14"/>
  </w:num>
  <w:num w:numId="30">
    <w:abstractNumId w:val="10"/>
  </w:num>
  <w:num w:numId="31">
    <w:abstractNumId w:val="5"/>
  </w:num>
  <w:num w:numId="32">
    <w:abstractNumId w:val="30"/>
  </w:num>
  <w:num w:numId="33">
    <w:abstractNumId w:val="1"/>
  </w:num>
  <w:num w:numId="34">
    <w:abstractNumId w:val="12"/>
  </w:num>
  <w:num w:numId="35">
    <w:abstractNumId w:val="39"/>
  </w:num>
  <w:num w:numId="36">
    <w:abstractNumId w:val="13"/>
  </w:num>
  <w:num w:numId="37">
    <w:abstractNumId w:val="0"/>
  </w:num>
  <w:num w:numId="38">
    <w:abstractNumId w:val="8"/>
  </w:num>
  <w:num w:numId="39">
    <w:abstractNumId w:val="21"/>
  </w:num>
  <w:num w:numId="40">
    <w:abstractNumId w:val="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326"/>
    <w:rsid w:val="0000595F"/>
    <w:rsid w:val="00012B93"/>
    <w:rsid w:val="00026868"/>
    <w:rsid w:val="00030A11"/>
    <w:rsid w:val="00040010"/>
    <w:rsid w:val="00040A4F"/>
    <w:rsid w:val="00053F05"/>
    <w:rsid w:val="00054C75"/>
    <w:rsid w:val="00060F42"/>
    <w:rsid w:val="00065DE1"/>
    <w:rsid w:val="00070728"/>
    <w:rsid w:val="00073977"/>
    <w:rsid w:val="0007648B"/>
    <w:rsid w:val="00077DDB"/>
    <w:rsid w:val="0008192E"/>
    <w:rsid w:val="00081D83"/>
    <w:rsid w:val="00083E01"/>
    <w:rsid w:val="000841DD"/>
    <w:rsid w:val="00094BB0"/>
    <w:rsid w:val="000A4406"/>
    <w:rsid w:val="000A460D"/>
    <w:rsid w:val="000A51CC"/>
    <w:rsid w:val="000B7077"/>
    <w:rsid w:val="000C281D"/>
    <w:rsid w:val="000C3891"/>
    <w:rsid w:val="000D0E3A"/>
    <w:rsid w:val="000E6BC9"/>
    <w:rsid w:val="000F3346"/>
    <w:rsid w:val="000F3D99"/>
    <w:rsid w:val="000F75AE"/>
    <w:rsid w:val="00110A5F"/>
    <w:rsid w:val="001140EB"/>
    <w:rsid w:val="00125490"/>
    <w:rsid w:val="00135E8D"/>
    <w:rsid w:val="001423DE"/>
    <w:rsid w:val="001449E2"/>
    <w:rsid w:val="00150DED"/>
    <w:rsid w:val="00152506"/>
    <w:rsid w:val="00153A7E"/>
    <w:rsid w:val="00187D2C"/>
    <w:rsid w:val="00192ECE"/>
    <w:rsid w:val="001A0129"/>
    <w:rsid w:val="001D24A0"/>
    <w:rsid w:val="001D43C1"/>
    <w:rsid w:val="001D6E6F"/>
    <w:rsid w:val="001D774A"/>
    <w:rsid w:val="00220A9A"/>
    <w:rsid w:val="00220B0A"/>
    <w:rsid w:val="00232351"/>
    <w:rsid w:val="00237B44"/>
    <w:rsid w:val="00246D37"/>
    <w:rsid w:val="00261BEC"/>
    <w:rsid w:val="0026705E"/>
    <w:rsid w:val="0027474C"/>
    <w:rsid w:val="00276904"/>
    <w:rsid w:val="00287EB6"/>
    <w:rsid w:val="002A2375"/>
    <w:rsid w:val="002A780A"/>
    <w:rsid w:val="002B05F9"/>
    <w:rsid w:val="002B0ABC"/>
    <w:rsid w:val="002B265D"/>
    <w:rsid w:val="002B4119"/>
    <w:rsid w:val="002C4EF9"/>
    <w:rsid w:val="002E16E4"/>
    <w:rsid w:val="002E4380"/>
    <w:rsid w:val="002E74C8"/>
    <w:rsid w:val="00300C18"/>
    <w:rsid w:val="00304311"/>
    <w:rsid w:val="00310ABE"/>
    <w:rsid w:val="00312095"/>
    <w:rsid w:val="00321C08"/>
    <w:rsid w:val="00322EAE"/>
    <w:rsid w:val="003230C4"/>
    <w:rsid w:val="00323E22"/>
    <w:rsid w:val="00327F04"/>
    <w:rsid w:val="003323F7"/>
    <w:rsid w:val="0034393F"/>
    <w:rsid w:val="00345234"/>
    <w:rsid w:val="003634E0"/>
    <w:rsid w:val="00366E1F"/>
    <w:rsid w:val="00372C5E"/>
    <w:rsid w:val="003905A6"/>
    <w:rsid w:val="00393B4A"/>
    <w:rsid w:val="00397EB4"/>
    <w:rsid w:val="003A57D7"/>
    <w:rsid w:val="003C4C06"/>
    <w:rsid w:val="003D39B3"/>
    <w:rsid w:val="00407DF1"/>
    <w:rsid w:val="0041125A"/>
    <w:rsid w:val="00424A7B"/>
    <w:rsid w:val="004252A4"/>
    <w:rsid w:val="0043283F"/>
    <w:rsid w:val="004349D2"/>
    <w:rsid w:val="00450A41"/>
    <w:rsid w:val="0045173E"/>
    <w:rsid w:val="0045393E"/>
    <w:rsid w:val="004718D7"/>
    <w:rsid w:val="00485FE9"/>
    <w:rsid w:val="00497AE1"/>
    <w:rsid w:val="004A2B2E"/>
    <w:rsid w:val="004B0670"/>
    <w:rsid w:val="004B389F"/>
    <w:rsid w:val="004B52F1"/>
    <w:rsid w:val="004B63D0"/>
    <w:rsid w:val="004C6F84"/>
    <w:rsid w:val="004D1C8D"/>
    <w:rsid w:val="004D4C10"/>
    <w:rsid w:val="004E14DB"/>
    <w:rsid w:val="004E4102"/>
    <w:rsid w:val="004F2CDA"/>
    <w:rsid w:val="004F3672"/>
    <w:rsid w:val="00502F2E"/>
    <w:rsid w:val="0051455A"/>
    <w:rsid w:val="00530960"/>
    <w:rsid w:val="00534749"/>
    <w:rsid w:val="00544874"/>
    <w:rsid w:val="00546CA1"/>
    <w:rsid w:val="005674E9"/>
    <w:rsid w:val="00572063"/>
    <w:rsid w:val="00577770"/>
    <w:rsid w:val="00580043"/>
    <w:rsid w:val="00580768"/>
    <w:rsid w:val="00583785"/>
    <w:rsid w:val="005A4B74"/>
    <w:rsid w:val="005A66FE"/>
    <w:rsid w:val="005B6BA0"/>
    <w:rsid w:val="005C0B42"/>
    <w:rsid w:val="005C2185"/>
    <w:rsid w:val="005C753D"/>
    <w:rsid w:val="005D7213"/>
    <w:rsid w:val="0061159B"/>
    <w:rsid w:val="00622735"/>
    <w:rsid w:val="00650B3B"/>
    <w:rsid w:val="00651067"/>
    <w:rsid w:val="00652CBF"/>
    <w:rsid w:val="006626B4"/>
    <w:rsid w:val="00665A4B"/>
    <w:rsid w:val="00676CEF"/>
    <w:rsid w:val="00691AE5"/>
    <w:rsid w:val="00694436"/>
    <w:rsid w:val="00694D16"/>
    <w:rsid w:val="006B5F26"/>
    <w:rsid w:val="006D0F5E"/>
    <w:rsid w:val="006E2831"/>
    <w:rsid w:val="006E3F48"/>
    <w:rsid w:val="00700BB5"/>
    <w:rsid w:val="00702023"/>
    <w:rsid w:val="00711C10"/>
    <w:rsid w:val="0073234C"/>
    <w:rsid w:val="007356B1"/>
    <w:rsid w:val="00740075"/>
    <w:rsid w:val="007436C4"/>
    <w:rsid w:val="00744A4C"/>
    <w:rsid w:val="0074610D"/>
    <w:rsid w:val="0075591E"/>
    <w:rsid w:val="007562CF"/>
    <w:rsid w:val="007841F7"/>
    <w:rsid w:val="00787CE8"/>
    <w:rsid w:val="0079112B"/>
    <w:rsid w:val="007925EC"/>
    <w:rsid w:val="007A0155"/>
    <w:rsid w:val="007A39FD"/>
    <w:rsid w:val="007A502E"/>
    <w:rsid w:val="007A51E9"/>
    <w:rsid w:val="007C7A51"/>
    <w:rsid w:val="007C7D75"/>
    <w:rsid w:val="007D0194"/>
    <w:rsid w:val="007D04C4"/>
    <w:rsid w:val="007D7AF8"/>
    <w:rsid w:val="007E1930"/>
    <w:rsid w:val="007E783D"/>
    <w:rsid w:val="007F055A"/>
    <w:rsid w:val="00805E33"/>
    <w:rsid w:val="00806D46"/>
    <w:rsid w:val="00812479"/>
    <w:rsid w:val="00813E38"/>
    <w:rsid w:val="00814856"/>
    <w:rsid w:val="008165AB"/>
    <w:rsid w:val="00822DC5"/>
    <w:rsid w:val="0082593D"/>
    <w:rsid w:val="008301F3"/>
    <w:rsid w:val="00830919"/>
    <w:rsid w:val="00843D0E"/>
    <w:rsid w:val="00850100"/>
    <w:rsid w:val="0085508F"/>
    <w:rsid w:val="00860103"/>
    <w:rsid w:val="00863060"/>
    <w:rsid w:val="0087197C"/>
    <w:rsid w:val="008744AF"/>
    <w:rsid w:val="00880903"/>
    <w:rsid w:val="008959FB"/>
    <w:rsid w:val="008A3BF8"/>
    <w:rsid w:val="008B487E"/>
    <w:rsid w:val="008B55FA"/>
    <w:rsid w:val="008B7299"/>
    <w:rsid w:val="008E3589"/>
    <w:rsid w:val="00903953"/>
    <w:rsid w:val="00903A40"/>
    <w:rsid w:val="009074F1"/>
    <w:rsid w:val="009148D8"/>
    <w:rsid w:val="00921EBE"/>
    <w:rsid w:val="00931F99"/>
    <w:rsid w:val="00935F1D"/>
    <w:rsid w:val="00954524"/>
    <w:rsid w:val="00956117"/>
    <w:rsid w:val="00964B73"/>
    <w:rsid w:val="00971909"/>
    <w:rsid w:val="00972597"/>
    <w:rsid w:val="009776B6"/>
    <w:rsid w:val="0098303E"/>
    <w:rsid w:val="00984AED"/>
    <w:rsid w:val="00990078"/>
    <w:rsid w:val="00990B7E"/>
    <w:rsid w:val="009A0D5E"/>
    <w:rsid w:val="009A1146"/>
    <w:rsid w:val="009A3B1A"/>
    <w:rsid w:val="009B3223"/>
    <w:rsid w:val="009B68B0"/>
    <w:rsid w:val="009B74AF"/>
    <w:rsid w:val="009C25F8"/>
    <w:rsid w:val="009F1BEF"/>
    <w:rsid w:val="009F6390"/>
    <w:rsid w:val="00A002CB"/>
    <w:rsid w:val="00A017AB"/>
    <w:rsid w:val="00A02347"/>
    <w:rsid w:val="00A07FA1"/>
    <w:rsid w:val="00A202F9"/>
    <w:rsid w:val="00A25DB3"/>
    <w:rsid w:val="00A357EB"/>
    <w:rsid w:val="00A479A5"/>
    <w:rsid w:val="00A511BA"/>
    <w:rsid w:val="00A57AD3"/>
    <w:rsid w:val="00A73D1B"/>
    <w:rsid w:val="00A91EE1"/>
    <w:rsid w:val="00A92979"/>
    <w:rsid w:val="00A92B86"/>
    <w:rsid w:val="00A9456F"/>
    <w:rsid w:val="00AA05DD"/>
    <w:rsid w:val="00AA6C77"/>
    <w:rsid w:val="00AB28BB"/>
    <w:rsid w:val="00AC0652"/>
    <w:rsid w:val="00AC0FAA"/>
    <w:rsid w:val="00AD0D2A"/>
    <w:rsid w:val="00AD10AE"/>
    <w:rsid w:val="00AD5B60"/>
    <w:rsid w:val="00AE24D8"/>
    <w:rsid w:val="00AE567D"/>
    <w:rsid w:val="00AE583E"/>
    <w:rsid w:val="00AE6D84"/>
    <w:rsid w:val="00AF2186"/>
    <w:rsid w:val="00B0017A"/>
    <w:rsid w:val="00B040F5"/>
    <w:rsid w:val="00B058D2"/>
    <w:rsid w:val="00B27921"/>
    <w:rsid w:val="00B4635D"/>
    <w:rsid w:val="00B53DF5"/>
    <w:rsid w:val="00B55B3B"/>
    <w:rsid w:val="00B64E60"/>
    <w:rsid w:val="00B70C29"/>
    <w:rsid w:val="00B9539F"/>
    <w:rsid w:val="00BA537A"/>
    <w:rsid w:val="00BC4563"/>
    <w:rsid w:val="00BE31F9"/>
    <w:rsid w:val="00BE7F60"/>
    <w:rsid w:val="00BF0F85"/>
    <w:rsid w:val="00BF1F41"/>
    <w:rsid w:val="00BF3734"/>
    <w:rsid w:val="00C06E35"/>
    <w:rsid w:val="00C107B3"/>
    <w:rsid w:val="00C21757"/>
    <w:rsid w:val="00C21EC4"/>
    <w:rsid w:val="00C340EA"/>
    <w:rsid w:val="00C366B2"/>
    <w:rsid w:val="00C479F3"/>
    <w:rsid w:val="00C52D87"/>
    <w:rsid w:val="00C70219"/>
    <w:rsid w:val="00C73313"/>
    <w:rsid w:val="00C75AB3"/>
    <w:rsid w:val="00C76411"/>
    <w:rsid w:val="00C821DF"/>
    <w:rsid w:val="00C86EC1"/>
    <w:rsid w:val="00C918F8"/>
    <w:rsid w:val="00CA0D98"/>
    <w:rsid w:val="00CA40BF"/>
    <w:rsid w:val="00CA5FA7"/>
    <w:rsid w:val="00CB6381"/>
    <w:rsid w:val="00CC2BA2"/>
    <w:rsid w:val="00CC5D73"/>
    <w:rsid w:val="00CD1BC6"/>
    <w:rsid w:val="00CD254D"/>
    <w:rsid w:val="00CD3461"/>
    <w:rsid w:val="00CE1F55"/>
    <w:rsid w:val="00CE5BEE"/>
    <w:rsid w:val="00D11673"/>
    <w:rsid w:val="00D12D74"/>
    <w:rsid w:val="00D13A96"/>
    <w:rsid w:val="00D14795"/>
    <w:rsid w:val="00D22135"/>
    <w:rsid w:val="00D27A37"/>
    <w:rsid w:val="00D27AE6"/>
    <w:rsid w:val="00D3133A"/>
    <w:rsid w:val="00D318FE"/>
    <w:rsid w:val="00D35A6D"/>
    <w:rsid w:val="00D35CDA"/>
    <w:rsid w:val="00D41BAD"/>
    <w:rsid w:val="00D5085C"/>
    <w:rsid w:val="00D7293C"/>
    <w:rsid w:val="00D7316E"/>
    <w:rsid w:val="00D76B60"/>
    <w:rsid w:val="00D7745A"/>
    <w:rsid w:val="00D836A7"/>
    <w:rsid w:val="00D90E3B"/>
    <w:rsid w:val="00D969C7"/>
    <w:rsid w:val="00D96E67"/>
    <w:rsid w:val="00DB0EC3"/>
    <w:rsid w:val="00DC1970"/>
    <w:rsid w:val="00DC62FB"/>
    <w:rsid w:val="00DD6BA0"/>
    <w:rsid w:val="00DE17E0"/>
    <w:rsid w:val="00DE6859"/>
    <w:rsid w:val="00DF3FF0"/>
    <w:rsid w:val="00DF4A18"/>
    <w:rsid w:val="00DF4FA0"/>
    <w:rsid w:val="00DF6C42"/>
    <w:rsid w:val="00E028B5"/>
    <w:rsid w:val="00E069AC"/>
    <w:rsid w:val="00E07001"/>
    <w:rsid w:val="00E13500"/>
    <w:rsid w:val="00E16F56"/>
    <w:rsid w:val="00E171CC"/>
    <w:rsid w:val="00E313CA"/>
    <w:rsid w:val="00E359AE"/>
    <w:rsid w:val="00E37149"/>
    <w:rsid w:val="00E45B94"/>
    <w:rsid w:val="00E80030"/>
    <w:rsid w:val="00E85D3C"/>
    <w:rsid w:val="00E90315"/>
    <w:rsid w:val="00E97DCF"/>
    <w:rsid w:val="00EA0F88"/>
    <w:rsid w:val="00EA135C"/>
    <w:rsid w:val="00EA4B6E"/>
    <w:rsid w:val="00EB265E"/>
    <w:rsid w:val="00EB3698"/>
    <w:rsid w:val="00EB577D"/>
    <w:rsid w:val="00EC345F"/>
    <w:rsid w:val="00ED1B54"/>
    <w:rsid w:val="00ED2419"/>
    <w:rsid w:val="00ED67E3"/>
    <w:rsid w:val="00EE3D24"/>
    <w:rsid w:val="00EF0487"/>
    <w:rsid w:val="00EF4CA7"/>
    <w:rsid w:val="00F0393F"/>
    <w:rsid w:val="00F0423A"/>
    <w:rsid w:val="00F07F1D"/>
    <w:rsid w:val="00F14E03"/>
    <w:rsid w:val="00F33636"/>
    <w:rsid w:val="00F413C2"/>
    <w:rsid w:val="00F5132A"/>
    <w:rsid w:val="00F533B8"/>
    <w:rsid w:val="00F53ADD"/>
    <w:rsid w:val="00F80490"/>
    <w:rsid w:val="00F836E9"/>
    <w:rsid w:val="00F86961"/>
    <w:rsid w:val="00F91326"/>
    <w:rsid w:val="00F91AC4"/>
    <w:rsid w:val="00FA2567"/>
    <w:rsid w:val="00FA5C21"/>
    <w:rsid w:val="00FA5DED"/>
    <w:rsid w:val="00FB2ABC"/>
    <w:rsid w:val="00FB4314"/>
    <w:rsid w:val="00FC2DF0"/>
    <w:rsid w:val="00FC31FF"/>
    <w:rsid w:val="00FD0338"/>
    <w:rsid w:val="00FD12AD"/>
    <w:rsid w:val="00FD4453"/>
    <w:rsid w:val="00FD5322"/>
    <w:rsid w:val="00FE3A1D"/>
    <w:rsid w:val="00FF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28CB5B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 w:eastAsiaTheme="minorEastAsia" w:hAnsi="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F05"/>
    <w:rPr>
      <w:rFonts w:ascii="Times New Roman" w:eastAsia="Times New Roman" w:hAnsi="Times New Roman" w:cs="Times New Roman"/>
      <w:sz w:val="20"/>
      <w:szCs w:val="20"/>
    </w:rPr>
  </w:style>
  <w:style w:type="paragraph" w:styleId="Heading1">
    <w:name w:val="heading 1"/>
    <w:basedOn w:val="Default"/>
    <w:next w:val="Normal"/>
    <w:link w:val="Heading1Char"/>
    <w:uiPriority w:val="99"/>
    <w:qFormat/>
    <w:rsid w:val="00053F05"/>
    <w:pPr>
      <w:keepNext/>
      <w:tabs>
        <w:tab w:val="left" w:pos="709"/>
        <w:tab w:val="center" w:pos="4680"/>
      </w:tabs>
      <w:suppressAutoHyphens/>
      <w:autoSpaceDE/>
      <w:autoSpaceDN/>
      <w:adjustRightInd/>
      <w:spacing w:after="200" w:line="240" w:lineRule="atLeast"/>
      <w:jc w:val="both"/>
      <w:outlineLvl w:val="0"/>
    </w:pPr>
    <w:rPr>
      <w:rFonts w:ascii="Cambria" w:eastAsia="Times New Roman" w:hAnsi="Cambria"/>
      <w:b/>
      <w:iCs/>
      <w:color w:val="auto"/>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53F05"/>
    <w:pPr>
      <w:spacing w:before="100" w:beforeAutospacing="1" w:after="100" w:afterAutospacing="1"/>
    </w:pPr>
    <w:rPr>
      <w:sz w:val="24"/>
      <w:szCs w:val="24"/>
    </w:rPr>
  </w:style>
  <w:style w:type="paragraph" w:styleId="ListParagraph">
    <w:name w:val="List Paragraph"/>
    <w:basedOn w:val="Normal"/>
    <w:uiPriority w:val="34"/>
    <w:qFormat/>
    <w:rsid w:val="00053F05"/>
    <w:pPr>
      <w:ind w:left="720"/>
      <w:contextualSpacing/>
    </w:pPr>
  </w:style>
  <w:style w:type="character" w:styleId="Hyperlink">
    <w:name w:val="Hyperlink"/>
    <w:basedOn w:val="DefaultParagraphFont"/>
    <w:uiPriority w:val="99"/>
    <w:rsid w:val="00053F05"/>
    <w:rPr>
      <w:color w:val="0000FF"/>
      <w:u w:val="single"/>
    </w:rPr>
  </w:style>
  <w:style w:type="paragraph" w:styleId="FootnoteText">
    <w:name w:val="footnote text"/>
    <w:basedOn w:val="Normal"/>
    <w:link w:val="FootnoteTextChar"/>
    <w:uiPriority w:val="99"/>
    <w:unhideWhenUsed/>
    <w:rsid w:val="00053F05"/>
  </w:style>
  <w:style w:type="character" w:customStyle="1" w:styleId="FootnoteTextChar">
    <w:name w:val="Footnote Text Char"/>
    <w:basedOn w:val="DefaultParagraphFont"/>
    <w:link w:val="FootnoteText"/>
    <w:uiPriority w:val="99"/>
    <w:rsid w:val="00053F05"/>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053F05"/>
    <w:rPr>
      <w:vertAlign w:val="superscript"/>
    </w:rPr>
  </w:style>
  <w:style w:type="paragraph" w:styleId="EndnoteText">
    <w:name w:val="endnote text"/>
    <w:basedOn w:val="Normal"/>
    <w:link w:val="EndnoteTextChar"/>
    <w:uiPriority w:val="99"/>
    <w:semiHidden/>
    <w:unhideWhenUsed/>
    <w:rsid w:val="00053F05"/>
    <w:pPr>
      <w:spacing w:line="280" w:lineRule="atLeast"/>
    </w:pPr>
    <w:rPr>
      <w:rFonts w:ascii="Arial" w:eastAsia="Calibri" w:hAnsi="Arial" w:cs="Arial"/>
    </w:rPr>
  </w:style>
  <w:style w:type="character" w:customStyle="1" w:styleId="EndnoteTextChar">
    <w:name w:val="Endnote Text Char"/>
    <w:basedOn w:val="DefaultParagraphFont"/>
    <w:link w:val="EndnoteText"/>
    <w:uiPriority w:val="99"/>
    <w:semiHidden/>
    <w:rsid w:val="00053F05"/>
    <w:rPr>
      <w:rFonts w:ascii="Arial" w:eastAsia="Calibri" w:hAnsi="Arial" w:cs="Arial"/>
      <w:sz w:val="20"/>
      <w:szCs w:val="20"/>
    </w:rPr>
  </w:style>
  <w:style w:type="character" w:styleId="CommentReference">
    <w:name w:val="annotation reference"/>
    <w:basedOn w:val="DefaultParagraphFont"/>
    <w:uiPriority w:val="99"/>
    <w:semiHidden/>
    <w:unhideWhenUsed/>
    <w:rsid w:val="00053F05"/>
    <w:rPr>
      <w:sz w:val="16"/>
      <w:szCs w:val="16"/>
    </w:rPr>
  </w:style>
  <w:style w:type="paragraph" w:styleId="CommentText">
    <w:name w:val="annotation text"/>
    <w:basedOn w:val="Normal"/>
    <w:link w:val="CommentTextChar"/>
    <w:uiPriority w:val="99"/>
    <w:semiHidden/>
    <w:unhideWhenUsed/>
    <w:rsid w:val="00053F05"/>
  </w:style>
  <w:style w:type="character" w:customStyle="1" w:styleId="CommentTextChar">
    <w:name w:val="Comment Text Char"/>
    <w:basedOn w:val="DefaultParagraphFont"/>
    <w:link w:val="CommentText"/>
    <w:uiPriority w:val="99"/>
    <w:semiHidden/>
    <w:rsid w:val="00053F0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53F05"/>
    <w:rPr>
      <w:b/>
      <w:bCs/>
    </w:rPr>
  </w:style>
  <w:style w:type="character" w:customStyle="1" w:styleId="CommentSubjectChar">
    <w:name w:val="Comment Subject Char"/>
    <w:basedOn w:val="CommentTextChar"/>
    <w:link w:val="CommentSubject"/>
    <w:uiPriority w:val="99"/>
    <w:semiHidden/>
    <w:rsid w:val="00053F0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53F05"/>
    <w:rPr>
      <w:rFonts w:ascii="Tahoma" w:hAnsi="Tahoma" w:cs="Tahoma"/>
      <w:sz w:val="16"/>
      <w:szCs w:val="16"/>
    </w:rPr>
  </w:style>
  <w:style w:type="character" w:customStyle="1" w:styleId="BalloonTextChar">
    <w:name w:val="Balloon Text Char"/>
    <w:basedOn w:val="DefaultParagraphFont"/>
    <w:link w:val="BalloonText"/>
    <w:uiPriority w:val="99"/>
    <w:semiHidden/>
    <w:rsid w:val="00053F05"/>
    <w:rPr>
      <w:rFonts w:ascii="Tahoma" w:eastAsia="Times New Roman" w:hAnsi="Tahoma" w:cs="Tahoma"/>
      <w:sz w:val="16"/>
      <w:szCs w:val="16"/>
    </w:rPr>
  </w:style>
  <w:style w:type="paragraph" w:customStyle="1" w:styleId="Default">
    <w:name w:val="Default"/>
    <w:rsid w:val="00053F05"/>
    <w:pPr>
      <w:autoSpaceDE w:val="0"/>
      <w:autoSpaceDN w:val="0"/>
      <w:adjustRightInd w:val="0"/>
    </w:pPr>
    <w:rPr>
      <w:rFonts w:ascii="Arial" w:eastAsia="Calibri" w:hAnsi="Arial" w:cs="Arial"/>
      <w:color w:val="000000"/>
      <w:sz w:val="24"/>
      <w:szCs w:val="24"/>
    </w:rPr>
  </w:style>
  <w:style w:type="table" w:styleId="TableGrid">
    <w:name w:val="Table Grid"/>
    <w:basedOn w:val="TableNormal"/>
    <w:uiPriority w:val="39"/>
    <w:rsid w:val="00053F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ustify">
    <w:name w:val="justify"/>
    <w:basedOn w:val="Normal"/>
    <w:rsid w:val="00053F05"/>
    <w:pPr>
      <w:spacing w:before="100" w:beforeAutospacing="1" w:after="100" w:afterAutospacing="1"/>
      <w:jc w:val="both"/>
    </w:pPr>
    <w:rPr>
      <w:color w:val="000000"/>
      <w:sz w:val="24"/>
      <w:szCs w:val="24"/>
    </w:rPr>
  </w:style>
  <w:style w:type="character" w:customStyle="1" w:styleId="Heading1Char">
    <w:name w:val="Heading 1 Char"/>
    <w:basedOn w:val="DefaultParagraphFont"/>
    <w:link w:val="Heading1"/>
    <w:uiPriority w:val="99"/>
    <w:rsid w:val="00053F05"/>
    <w:rPr>
      <w:rFonts w:ascii="Cambria" w:eastAsia="Times New Roman" w:hAnsi="Cambria" w:cs="Arial"/>
      <w:b/>
      <w:iCs/>
      <w:sz w:val="36"/>
      <w:szCs w:val="20"/>
    </w:rPr>
  </w:style>
  <w:style w:type="paragraph" w:styleId="Header">
    <w:name w:val="header"/>
    <w:basedOn w:val="Normal"/>
    <w:link w:val="HeaderChar"/>
    <w:uiPriority w:val="99"/>
    <w:unhideWhenUsed/>
    <w:rsid w:val="00053F05"/>
    <w:pPr>
      <w:tabs>
        <w:tab w:val="center" w:pos="4680"/>
        <w:tab w:val="right" w:pos="9360"/>
      </w:tabs>
    </w:pPr>
  </w:style>
  <w:style w:type="character" w:customStyle="1" w:styleId="HeaderChar">
    <w:name w:val="Header Char"/>
    <w:basedOn w:val="DefaultParagraphFont"/>
    <w:link w:val="Header"/>
    <w:uiPriority w:val="99"/>
    <w:rsid w:val="00053F05"/>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53F05"/>
    <w:pPr>
      <w:tabs>
        <w:tab w:val="center" w:pos="4680"/>
        <w:tab w:val="right" w:pos="9360"/>
      </w:tabs>
    </w:pPr>
  </w:style>
  <w:style w:type="character" w:customStyle="1" w:styleId="FooterChar">
    <w:name w:val="Footer Char"/>
    <w:basedOn w:val="DefaultParagraphFont"/>
    <w:link w:val="Footer"/>
    <w:uiPriority w:val="99"/>
    <w:rsid w:val="00053F05"/>
    <w:rPr>
      <w:rFonts w:ascii="Times New Roman" w:eastAsia="Times New Roman" w:hAnsi="Times New Roman" w:cs="Times New Roman"/>
      <w:sz w:val="20"/>
      <w:szCs w:val="20"/>
    </w:rPr>
  </w:style>
  <w:style w:type="paragraph" w:styleId="Title">
    <w:name w:val="Title"/>
    <w:basedOn w:val="Normal"/>
    <w:next w:val="Normal"/>
    <w:link w:val="TitleChar"/>
    <w:uiPriority w:val="10"/>
    <w:qFormat/>
    <w:rsid w:val="00053F05"/>
    <w:pPr>
      <w:pBdr>
        <w:bottom w:val="single" w:sz="8" w:space="4" w:color="4F81BD" w:themeColor="accent1"/>
      </w:pBdr>
      <w:spacing w:after="300"/>
      <w:contextualSpacing/>
    </w:pPr>
    <w:rPr>
      <w:rFonts w:ascii="Avenir LT Std 45 Book" w:eastAsiaTheme="majorEastAsia" w:hAnsi="Avenir LT Std 45 Book"/>
      <w:spacing w:val="5"/>
      <w:kern w:val="28"/>
      <w:sz w:val="52"/>
      <w:szCs w:val="52"/>
    </w:rPr>
  </w:style>
  <w:style w:type="character" w:customStyle="1" w:styleId="TitleChar">
    <w:name w:val="Title Char"/>
    <w:basedOn w:val="DefaultParagraphFont"/>
    <w:link w:val="Title"/>
    <w:uiPriority w:val="10"/>
    <w:rsid w:val="00053F05"/>
    <w:rPr>
      <w:rFonts w:ascii="Avenir LT Std 45 Book" w:eastAsiaTheme="majorEastAsia" w:hAnsi="Avenir LT Std 45 Book" w:cs="Times New Roman"/>
      <w:spacing w:val="5"/>
      <w:kern w:val="28"/>
      <w:sz w:val="52"/>
      <w:szCs w:val="52"/>
    </w:rPr>
  </w:style>
  <w:style w:type="paragraph" w:customStyle="1" w:styleId="Header1">
    <w:name w:val="Header1"/>
    <w:aliases w:val="Even Header"/>
    <w:rsid w:val="00053F05"/>
    <w:pPr>
      <w:tabs>
        <w:tab w:val="left" w:pos="1440"/>
      </w:tabs>
    </w:pPr>
    <w:rPr>
      <w:rFonts w:ascii="AGaramond" w:eastAsia="Times New Roman" w:hAnsi="AGaramond" w:cs="Times New Roman"/>
      <w:caps/>
      <w:spacing w:val="30"/>
      <w:sz w:val="16"/>
      <w:szCs w:val="20"/>
    </w:rPr>
  </w:style>
  <w:style w:type="paragraph" w:customStyle="1" w:styleId="Ahead">
    <w:name w:val="Ahead"/>
    <w:basedOn w:val="Normal"/>
    <w:qFormat/>
    <w:rsid w:val="00053F05"/>
    <w:pPr>
      <w:keepNext/>
      <w:spacing w:before="240"/>
    </w:pPr>
    <w:rPr>
      <w:rFonts w:ascii="Avenir LT Std 45 Book" w:hAnsi="Avenir LT Std 45 Book" w:cs="Arial"/>
      <w:b/>
      <w:sz w:val="24"/>
      <w:szCs w:val="24"/>
      <w:u w:val="single"/>
    </w:rPr>
  </w:style>
  <w:style w:type="paragraph" w:customStyle="1" w:styleId="TextBasic">
    <w:name w:val="Text_Basic"/>
    <w:basedOn w:val="Normal"/>
    <w:qFormat/>
    <w:rsid w:val="00053F05"/>
    <w:pPr>
      <w:spacing w:before="240"/>
    </w:pPr>
    <w:rPr>
      <w:rFonts w:ascii="Avenir LT Std 45 Book" w:hAnsi="Avenir LT Std 45 Book" w:cs="Arial"/>
      <w:bCs/>
      <w:iCs/>
      <w:sz w:val="24"/>
      <w:szCs w:val="24"/>
    </w:rPr>
  </w:style>
  <w:style w:type="paragraph" w:customStyle="1" w:styleId="BheadSolutionNumber">
    <w:name w:val="Bhead_SolutionNumber"/>
    <w:basedOn w:val="Normal"/>
    <w:qFormat/>
    <w:rsid w:val="00053F05"/>
    <w:pPr>
      <w:keepNext/>
      <w:spacing w:before="240" w:after="120"/>
    </w:pPr>
    <w:rPr>
      <w:rFonts w:ascii="Avenir LT Std 45 Book" w:hAnsi="Avenir LT Std 45 Book" w:cs="Arial"/>
      <w:b/>
      <w:sz w:val="24"/>
      <w:szCs w:val="24"/>
    </w:rPr>
  </w:style>
  <w:style w:type="paragraph" w:customStyle="1" w:styleId="NL">
    <w:name w:val="NL"/>
    <w:basedOn w:val="Normal"/>
    <w:qFormat/>
    <w:rsid w:val="00053F05"/>
    <w:pPr>
      <w:spacing w:before="120"/>
      <w:ind w:left="360" w:hanging="360"/>
    </w:pPr>
    <w:rPr>
      <w:rFonts w:ascii="Avenir LT Std 45 Book" w:hAnsi="Avenir LT Std 45 Book" w:cs="Arial"/>
      <w:sz w:val="24"/>
      <w:szCs w:val="24"/>
    </w:rPr>
  </w:style>
  <w:style w:type="paragraph" w:customStyle="1" w:styleId="BL">
    <w:name w:val="BL"/>
    <w:basedOn w:val="Normal"/>
    <w:qFormat/>
    <w:rsid w:val="00053F05"/>
    <w:pPr>
      <w:spacing w:before="120"/>
      <w:ind w:left="720" w:hanging="360"/>
      <w:jc w:val="both"/>
    </w:pPr>
    <w:rPr>
      <w:rFonts w:ascii="Avenir LT Std 45 Book" w:hAnsi="Avenir LT Std 45 Book" w:cs="Arial"/>
      <w:sz w:val="24"/>
      <w:szCs w:val="24"/>
    </w:rPr>
  </w:style>
  <w:style w:type="paragraph" w:customStyle="1" w:styleId="NLalt">
    <w:name w:val="NL_alt"/>
    <w:basedOn w:val="NL"/>
    <w:qFormat/>
    <w:rsid w:val="00053F05"/>
    <w:pPr>
      <w:ind w:left="720" w:hanging="720"/>
    </w:pPr>
  </w:style>
  <w:style w:type="paragraph" w:customStyle="1" w:styleId="TCH">
    <w:name w:val="TCH"/>
    <w:basedOn w:val="NormalWeb"/>
    <w:qFormat/>
    <w:rsid w:val="00053F05"/>
    <w:pPr>
      <w:spacing w:before="0" w:beforeAutospacing="0" w:after="0" w:afterAutospacing="0"/>
      <w:jc w:val="center"/>
    </w:pPr>
    <w:rPr>
      <w:rFonts w:ascii="Avenir LT Std 45 Book" w:hAnsi="Avenir LT Std 45 Book" w:cs="Arial"/>
      <w:b/>
    </w:rPr>
  </w:style>
  <w:style w:type="paragraph" w:customStyle="1" w:styleId="TBText">
    <w:name w:val="TB_Text"/>
    <w:basedOn w:val="TextBasic"/>
    <w:qFormat/>
    <w:rsid w:val="00053F05"/>
    <w:pPr>
      <w:spacing w:before="120"/>
    </w:pPr>
  </w:style>
  <w:style w:type="paragraph" w:styleId="Subtitle">
    <w:name w:val="Subtitle"/>
    <w:basedOn w:val="Title"/>
    <w:next w:val="Normal"/>
    <w:link w:val="SubtitleChar"/>
    <w:uiPriority w:val="11"/>
    <w:qFormat/>
    <w:rsid w:val="00424A7B"/>
    <w:rPr>
      <w:rFonts w:ascii="Avenir Book" w:hAnsi="Avenir Book"/>
    </w:rPr>
  </w:style>
  <w:style w:type="character" w:customStyle="1" w:styleId="SubtitleChar">
    <w:name w:val="Subtitle Char"/>
    <w:basedOn w:val="DefaultParagraphFont"/>
    <w:link w:val="Subtitle"/>
    <w:uiPriority w:val="11"/>
    <w:rsid w:val="00424A7B"/>
    <w:rPr>
      <w:rFonts w:ascii="Avenir Book" w:eastAsiaTheme="majorEastAsia" w:hAnsi="Avenir Book" w:cs="Times New Roman"/>
      <w:spacing w:val="5"/>
      <w:kern w:val="28"/>
      <w:sz w:val="52"/>
      <w:szCs w:val="52"/>
    </w:rPr>
  </w:style>
  <w:style w:type="paragraph" w:customStyle="1" w:styleId="BLFIRST">
    <w:name w:val="BL_FIRST"/>
    <w:basedOn w:val="Normal"/>
    <w:uiPriority w:val="99"/>
    <w:rsid w:val="00321C08"/>
    <w:pPr>
      <w:autoSpaceDE w:val="0"/>
      <w:autoSpaceDN w:val="0"/>
      <w:adjustRightInd w:val="0"/>
      <w:spacing w:after="120"/>
      <w:ind w:left="360" w:hanging="240"/>
      <w:jc w:val="both"/>
      <w:textAlignment w:val="center"/>
    </w:pPr>
    <w:rPr>
      <w:color w:val="000000"/>
      <w:lang w:eastAsia="en-IN"/>
    </w:rPr>
  </w:style>
  <w:style w:type="paragraph" w:customStyle="1" w:styleId="BLMID">
    <w:name w:val="BL_MID"/>
    <w:basedOn w:val="Normal"/>
    <w:uiPriority w:val="99"/>
    <w:rsid w:val="00321C08"/>
    <w:pPr>
      <w:autoSpaceDE w:val="0"/>
      <w:autoSpaceDN w:val="0"/>
      <w:adjustRightInd w:val="0"/>
      <w:spacing w:after="120"/>
      <w:ind w:left="360" w:hanging="240"/>
      <w:jc w:val="both"/>
      <w:textAlignment w:val="center"/>
    </w:pPr>
    <w:rPr>
      <w:color w:val="000000"/>
      <w:lang w:eastAsia="en-IN"/>
    </w:rPr>
  </w:style>
  <w:style w:type="paragraph" w:customStyle="1" w:styleId="BLLAST">
    <w:name w:val="BL_LAST"/>
    <w:basedOn w:val="Normal"/>
    <w:uiPriority w:val="99"/>
    <w:rsid w:val="00321C08"/>
    <w:pPr>
      <w:autoSpaceDE w:val="0"/>
      <w:autoSpaceDN w:val="0"/>
      <w:adjustRightInd w:val="0"/>
      <w:spacing w:after="120"/>
      <w:ind w:left="360" w:hanging="240"/>
      <w:jc w:val="both"/>
      <w:textAlignment w:val="center"/>
    </w:pPr>
    <w:rPr>
      <w:color w:val="000000"/>
      <w:lang w:eastAsia="en-IN"/>
    </w:rPr>
  </w:style>
  <w:style w:type="paragraph" w:customStyle="1" w:styleId="H3HEADFIRST">
    <w:name w:val="H3_HEADFIRST"/>
    <w:basedOn w:val="Normal"/>
    <w:uiPriority w:val="99"/>
    <w:rsid w:val="00321C08"/>
    <w:pPr>
      <w:autoSpaceDE w:val="0"/>
      <w:autoSpaceDN w:val="0"/>
      <w:adjustRightInd w:val="0"/>
      <w:spacing w:before="240" w:after="120"/>
      <w:jc w:val="both"/>
      <w:textAlignment w:val="center"/>
    </w:pPr>
    <w:rPr>
      <w:color w:val="000000"/>
      <w:lang w:eastAsia="en-IN"/>
    </w:rPr>
  </w:style>
  <w:style w:type="character" w:customStyle="1" w:styleId="KT">
    <w:name w:val="KT"/>
    <w:uiPriority w:val="99"/>
    <w:rsid w:val="00321C08"/>
    <w:rPr>
      <w:rFonts w:ascii="Times New Roman" w:hAnsi="Times New Roman" w:cs="Times New Roman"/>
      <w:b/>
      <w:bCs/>
      <w:spacing w:val="0"/>
      <w:w w:val="100"/>
      <w:kern w:val="0"/>
      <w:position w:val="0"/>
    </w:rPr>
  </w:style>
  <w:style w:type="paragraph" w:customStyle="1" w:styleId="NLFIRST">
    <w:name w:val="NL_FIRST"/>
    <w:basedOn w:val="Normal"/>
    <w:uiPriority w:val="99"/>
    <w:rsid w:val="00AE583E"/>
    <w:pPr>
      <w:tabs>
        <w:tab w:val="decimal" w:pos="240"/>
      </w:tabs>
      <w:autoSpaceDE w:val="0"/>
      <w:autoSpaceDN w:val="0"/>
      <w:adjustRightInd w:val="0"/>
      <w:spacing w:after="120"/>
      <w:ind w:left="360" w:hanging="360"/>
      <w:jc w:val="both"/>
      <w:textAlignment w:val="center"/>
    </w:pPr>
    <w:rPr>
      <w:color w:val="000000"/>
      <w:lang w:eastAsia="en-IN"/>
    </w:rPr>
  </w:style>
  <w:style w:type="paragraph" w:customStyle="1" w:styleId="NLLAST">
    <w:name w:val="NL_LAST"/>
    <w:basedOn w:val="Normal"/>
    <w:uiPriority w:val="99"/>
    <w:rsid w:val="00AE583E"/>
    <w:pPr>
      <w:tabs>
        <w:tab w:val="decimal" w:pos="240"/>
      </w:tabs>
      <w:autoSpaceDE w:val="0"/>
      <w:autoSpaceDN w:val="0"/>
      <w:adjustRightInd w:val="0"/>
      <w:spacing w:after="120"/>
      <w:ind w:left="360" w:hanging="360"/>
      <w:jc w:val="both"/>
      <w:textAlignment w:val="center"/>
    </w:pPr>
    <w:rPr>
      <w:color w:val="000000"/>
      <w:lang w:eastAsia="en-IN"/>
    </w:rPr>
  </w:style>
  <w:style w:type="paragraph" w:customStyle="1" w:styleId="NLMID">
    <w:name w:val="NL_MID"/>
    <w:basedOn w:val="Normal"/>
    <w:uiPriority w:val="99"/>
    <w:rsid w:val="00AE583E"/>
    <w:pPr>
      <w:tabs>
        <w:tab w:val="decimal" w:pos="240"/>
      </w:tabs>
      <w:autoSpaceDE w:val="0"/>
      <w:autoSpaceDN w:val="0"/>
      <w:adjustRightInd w:val="0"/>
      <w:spacing w:after="120"/>
      <w:ind w:left="360" w:hanging="360"/>
      <w:jc w:val="both"/>
      <w:textAlignment w:val="center"/>
    </w:pPr>
    <w:rPr>
      <w:color w:val="000000"/>
      <w:lang w:eastAsia="en-IN"/>
    </w:rPr>
  </w:style>
  <w:style w:type="character" w:customStyle="1" w:styleId="NLNUM">
    <w:name w:val="NL_NUM"/>
    <w:uiPriority w:val="99"/>
    <w:rsid w:val="00AE583E"/>
    <w:rPr>
      <w:rFonts w:ascii="Times New Roman" w:hAnsi="Times New Roman" w:cs="Times New Roman"/>
      <w:spacing w:val="0"/>
      <w:w w:val="100"/>
      <w:kern w:val="0"/>
      <w:position w:val="0"/>
    </w:rPr>
  </w:style>
  <w:style w:type="paragraph" w:customStyle="1" w:styleId="CHAPBM">
    <w:name w:val="CHAP_BM"/>
    <w:basedOn w:val="Normal"/>
    <w:uiPriority w:val="99"/>
    <w:rsid w:val="00AE583E"/>
    <w:pPr>
      <w:autoSpaceDE w:val="0"/>
      <w:autoSpaceDN w:val="0"/>
      <w:adjustRightInd w:val="0"/>
      <w:spacing w:after="120"/>
      <w:ind w:firstLine="360"/>
      <w:jc w:val="both"/>
      <w:textAlignment w:val="center"/>
    </w:pPr>
    <w:rPr>
      <w:color w:val="000000"/>
      <w:lang w:eastAsia="en-IN"/>
    </w:rPr>
  </w:style>
  <w:style w:type="paragraph" w:customStyle="1" w:styleId="HEADFIRST">
    <w:name w:val="HEADFIRST"/>
    <w:basedOn w:val="Normal"/>
    <w:uiPriority w:val="99"/>
    <w:rsid w:val="00D14795"/>
    <w:pPr>
      <w:autoSpaceDE w:val="0"/>
      <w:autoSpaceDN w:val="0"/>
      <w:adjustRightInd w:val="0"/>
      <w:spacing w:after="120"/>
      <w:jc w:val="both"/>
      <w:textAlignment w:val="center"/>
    </w:pPr>
    <w:rPr>
      <w:color w:val="000000"/>
      <w:lang w:eastAsia="en-IN"/>
    </w:rPr>
  </w:style>
  <w:style w:type="paragraph" w:styleId="Revision">
    <w:name w:val="Revision"/>
    <w:hidden/>
    <w:uiPriority w:val="99"/>
    <w:semiHidden/>
    <w:rsid w:val="00931F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grs_ia_sm_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CE20BC-62E9-4F9C-B57D-5DDCFC89A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grs_ia_sm_template2</Template>
  <TotalTime>9</TotalTime>
  <Pages>16</Pages>
  <Words>4587</Words>
  <Characters>26150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UNC Kenan Flagler Business School</Company>
  <LinksUpToDate>false</LinksUpToDate>
  <CharactersWithSpaces>30676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Sheryl Nelson</dc:creator>
  <cp:lastModifiedBy>Marks, Elisa</cp:lastModifiedBy>
  <cp:revision>8</cp:revision>
  <dcterms:created xsi:type="dcterms:W3CDTF">2017-10-22T18:05:00Z</dcterms:created>
  <dcterms:modified xsi:type="dcterms:W3CDTF">2018-01-09T18:44:00Z</dcterms:modified>
</cp:coreProperties>
</file>