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D634D0" w14:textId="136172E9" w:rsidR="004502B4" w:rsidRDefault="004502B4" w:rsidP="007C2750">
      <w:pPr>
        <w:pStyle w:val="ListParagraph"/>
        <w:keepNext/>
        <w:numPr>
          <w:ilvl w:val="0"/>
          <w:numId w:val="21"/>
        </w:numPr>
        <w:spacing w:after="0" w:line="240" w:lineRule="auto"/>
      </w:pPr>
      <w:bookmarkStart w:id="0" w:name="_GoBack"/>
      <w:bookmarkEnd w:id="0"/>
      <w:r w:rsidRPr="007C2750">
        <w:t xml:space="preserve">Slaton served 10 days on jury duty in </w:t>
      </w:r>
      <w:r w:rsidR="0098436C">
        <w:t>2017</w:t>
      </w:r>
      <w:r w:rsidRPr="007C2750">
        <w:t xml:space="preserve">, for which Slaton was paid $25 per day by the county. Slaton’s employer requires employees to remit to it all pay received by the county during jury duty, because Slaton’s employer pays employees their normal compensation for the duration of jury duty. Slaton’s W–2 </w:t>
      </w:r>
      <w:proofErr w:type="gramStart"/>
      <w:r w:rsidRPr="007C2750">
        <w:t>income</w:t>
      </w:r>
      <w:proofErr w:type="gramEnd"/>
      <w:r w:rsidRPr="007C2750">
        <w:t xml:space="preserve"> for </w:t>
      </w:r>
      <w:r w:rsidR="0098436C">
        <w:t>2017</w:t>
      </w:r>
      <w:r w:rsidRPr="007C2750">
        <w:t xml:space="preserve"> is</w:t>
      </w:r>
      <w:r w:rsidR="007C2750" w:rsidRPr="007C2750">
        <w:t xml:space="preserve"> </w:t>
      </w:r>
      <w:r w:rsidRPr="007C2750">
        <w:t xml:space="preserve">$40,000. What should Slaton’s adjusted gross income be for </w:t>
      </w:r>
      <w:r w:rsidR="0081378F">
        <w:t>2017</w:t>
      </w:r>
      <w:r w:rsidRPr="007C2750">
        <w:t>?</w:t>
      </w:r>
    </w:p>
    <w:p w14:paraId="7FB4F529" w14:textId="77777777" w:rsidR="004502B4" w:rsidRPr="007C2750" w:rsidRDefault="004502B4" w:rsidP="007C2750">
      <w:pPr>
        <w:pStyle w:val="ListParagraph"/>
        <w:keepNext/>
        <w:widowControl w:val="0"/>
        <w:numPr>
          <w:ilvl w:val="0"/>
          <w:numId w:val="25"/>
        </w:numPr>
        <w:kinsoku w:val="0"/>
        <w:overflowPunct w:val="0"/>
        <w:autoSpaceDE w:val="0"/>
        <w:autoSpaceDN w:val="0"/>
        <w:adjustRightInd w:val="0"/>
        <w:spacing w:after="0" w:line="240" w:lineRule="auto"/>
        <w:ind w:left="1080"/>
        <w:rPr>
          <w:rFonts w:eastAsia="Times New Roman" w:cs="Garamond"/>
          <w:color w:val="231F20"/>
          <w:w w:val="105"/>
        </w:rPr>
      </w:pPr>
      <w:r w:rsidRPr="007C2750">
        <w:rPr>
          <w:rFonts w:eastAsia="Times New Roman" w:cs="Garamond"/>
          <w:color w:val="231F20"/>
          <w:w w:val="105"/>
        </w:rPr>
        <w:t>$40,250</w:t>
      </w:r>
    </w:p>
    <w:p w14:paraId="5C2E31C9" w14:textId="77777777" w:rsidR="004502B4" w:rsidRPr="007C2750" w:rsidRDefault="004502B4" w:rsidP="007C2750">
      <w:pPr>
        <w:pStyle w:val="ListParagraph"/>
        <w:keepNext/>
        <w:widowControl w:val="0"/>
        <w:numPr>
          <w:ilvl w:val="0"/>
          <w:numId w:val="25"/>
        </w:numPr>
        <w:kinsoku w:val="0"/>
        <w:overflowPunct w:val="0"/>
        <w:autoSpaceDE w:val="0"/>
        <w:autoSpaceDN w:val="0"/>
        <w:adjustRightInd w:val="0"/>
        <w:spacing w:after="0" w:line="240" w:lineRule="auto"/>
        <w:ind w:left="1080"/>
        <w:rPr>
          <w:rFonts w:eastAsia="Times New Roman" w:cs="Garamond"/>
          <w:color w:val="231F20"/>
          <w:w w:val="105"/>
        </w:rPr>
      </w:pPr>
      <w:r w:rsidRPr="007C2750">
        <w:rPr>
          <w:rFonts w:eastAsia="Times New Roman" w:cs="Garamond"/>
          <w:color w:val="231F20"/>
          <w:w w:val="105"/>
        </w:rPr>
        <w:t>$40,000</w:t>
      </w:r>
    </w:p>
    <w:p w14:paraId="7338CAA7" w14:textId="77777777" w:rsidR="004502B4" w:rsidRPr="007C2750" w:rsidRDefault="004502B4" w:rsidP="007C2750">
      <w:pPr>
        <w:pStyle w:val="ListParagraph"/>
        <w:keepNext/>
        <w:widowControl w:val="0"/>
        <w:numPr>
          <w:ilvl w:val="0"/>
          <w:numId w:val="25"/>
        </w:numPr>
        <w:kinsoku w:val="0"/>
        <w:overflowPunct w:val="0"/>
        <w:autoSpaceDE w:val="0"/>
        <w:autoSpaceDN w:val="0"/>
        <w:adjustRightInd w:val="0"/>
        <w:spacing w:after="0" w:line="240" w:lineRule="auto"/>
        <w:ind w:left="1080" w:right="774"/>
        <w:rPr>
          <w:rFonts w:eastAsia="Times New Roman" w:cs="Garamond"/>
          <w:color w:val="231F20"/>
          <w:w w:val="110"/>
        </w:rPr>
      </w:pPr>
      <w:r w:rsidRPr="007C2750">
        <w:rPr>
          <w:rFonts w:eastAsia="Times New Roman" w:cs="Garamond"/>
          <w:color w:val="231F20"/>
          <w:w w:val="110"/>
        </w:rPr>
        <w:t>$39,750</w:t>
      </w:r>
    </w:p>
    <w:p w14:paraId="64C35251" w14:textId="77777777" w:rsidR="004502B4" w:rsidRPr="007C2750" w:rsidRDefault="004502B4" w:rsidP="007C2750">
      <w:pPr>
        <w:pStyle w:val="ListParagraph"/>
        <w:keepNext/>
        <w:widowControl w:val="0"/>
        <w:numPr>
          <w:ilvl w:val="0"/>
          <w:numId w:val="25"/>
        </w:numPr>
        <w:kinsoku w:val="0"/>
        <w:overflowPunct w:val="0"/>
        <w:autoSpaceDE w:val="0"/>
        <w:autoSpaceDN w:val="0"/>
        <w:adjustRightInd w:val="0"/>
        <w:spacing w:after="0" w:line="240" w:lineRule="auto"/>
        <w:ind w:left="1080" w:right="774"/>
        <w:rPr>
          <w:rFonts w:eastAsia="Times New Roman" w:cs="Garamond"/>
          <w:color w:val="231F20"/>
          <w:w w:val="110"/>
        </w:rPr>
      </w:pPr>
      <w:r w:rsidRPr="007C2750">
        <w:rPr>
          <w:rFonts w:eastAsia="Times New Roman" w:cs="Garamond"/>
          <w:color w:val="231F20"/>
          <w:w w:val="110"/>
        </w:rPr>
        <w:t>$40,125</w:t>
      </w:r>
    </w:p>
    <w:p w14:paraId="3439CBC3" w14:textId="77777777" w:rsidR="009D077C" w:rsidRPr="007C2750" w:rsidRDefault="009D077C" w:rsidP="007C2750">
      <w:pPr>
        <w:keepNext/>
        <w:spacing w:after="0" w:line="240" w:lineRule="auto"/>
      </w:pPr>
    </w:p>
    <w:p w14:paraId="284AC59E" w14:textId="77777777" w:rsidR="009D077C" w:rsidRPr="007C2750" w:rsidRDefault="009D077C" w:rsidP="007C2750">
      <w:pPr>
        <w:pStyle w:val="ListParagraph"/>
        <w:keepNext/>
        <w:numPr>
          <w:ilvl w:val="0"/>
          <w:numId w:val="2"/>
        </w:numPr>
        <w:spacing w:after="0" w:line="240" w:lineRule="auto"/>
        <w:ind w:left="1080"/>
      </w:pPr>
      <w:r w:rsidRPr="007C2750">
        <w:t>Incorrect.  Slaton will include in gross income both the $40,000 of W-2 income and the $250 earned for jury duty.  Since Slaton’s employer requires Slaton to remit 100% of the jury duty fees to the employer, the $250 would be an adjustment for adjusted gross income (AGI).  As a result, AGI would be $40,000 + $250 - $250 or $40,000.</w:t>
      </w:r>
    </w:p>
    <w:p w14:paraId="578C06B4" w14:textId="77777777" w:rsidR="009D077C" w:rsidRPr="007C2750" w:rsidRDefault="009D077C" w:rsidP="007C2750">
      <w:pPr>
        <w:pStyle w:val="ListParagraph"/>
        <w:keepNext/>
        <w:numPr>
          <w:ilvl w:val="0"/>
          <w:numId w:val="2"/>
        </w:numPr>
        <w:spacing w:after="0" w:line="240" w:lineRule="auto"/>
        <w:ind w:left="1080"/>
        <w:rPr>
          <w:b/>
        </w:rPr>
      </w:pPr>
      <w:r w:rsidRPr="007C2750">
        <w:rPr>
          <w:b/>
        </w:rPr>
        <w:t>Correct!</w:t>
      </w:r>
      <w:r w:rsidRPr="007C2750">
        <w:t xml:space="preserve"> Slaton will include in gross income both the $40,000 of W-2 income and the $250 earned for jury duty.  Since Slaton’s employer requires Slaton to remit 100% of the jury duty fees to the employer, the $250 would be an adjustment for adjusted gross income (AGI).  As a result, AGI would be $40,000 + $250 - $250 or $40,000.</w:t>
      </w:r>
    </w:p>
    <w:p w14:paraId="31EA0C18" w14:textId="77777777" w:rsidR="009D077C" w:rsidRPr="007C2750" w:rsidRDefault="009D077C" w:rsidP="007C2750">
      <w:pPr>
        <w:pStyle w:val="ListParagraph"/>
        <w:keepNext/>
        <w:numPr>
          <w:ilvl w:val="0"/>
          <w:numId w:val="2"/>
        </w:numPr>
        <w:spacing w:after="0" w:line="240" w:lineRule="auto"/>
        <w:ind w:left="1080"/>
      </w:pPr>
      <w:r w:rsidRPr="007C2750">
        <w:t>Incorrect. Slaton will include in gross income both the $40,000 of W-2 income and the $250 earned for jury duty.  Since Slaton’s employer requires Slaton to remit 100% of the jury duty fees to the employer, the $250 would be an adjustment for adjusted gross income (AGI).  As a result, AGI would be $40,000 + $250 - $250 or $40,000.</w:t>
      </w:r>
    </w:p>
    <w:p w14:paraId="7ADED35A" w14:textId="77777777" w:rsidR="009D077C" w:rsidRPr="007C2750" w:rsidRDefault="009D077C" w:rsidP="007C2750">
      <w:pPr>
        <w:pStyle w:val="ListParagraph"/>
        <w:keepNext/>
        <w:numPr>
          <w:ilvl w:val="0"/>
          <w:numId w:val="2"/>
        </w:numPr>
        <w:spacing w:after="0" w:line="240" w:lineRule="auto"/>
        <w:ind w:left="1080"/>
      </w:pPr>
      <w:r w:rsidRPr="007C2750">
        <w:t>Incorrect. Slaton will include in gross income both the $40,000 of W-2 income and the $250 earned for jury duty.  Since Slaton’s employer requires Slaton to remit 100% of the jury duty fees to the employer, the $250 would be an adjustment for adjusted gross income (AGI).  As a result, AGI would be $40,000 + $250 - $250 or $40,000.</w:t>
      </w:r>
    </w:p>
    <w:p w14:paraId="515F0D58" w14:textId="77777777" w:rsidR="009D077C" w:rsidRPr="007C2750" w:rsidRDefault="009D077C" w:rsidP="007C2750">
      <w:pPr>
        <w:keepNext/>
        <w:spacing w:after="0" w:line="240" w:lineRule="auto"/>
      </w:pPr>
    </w:p>
    <w:p w14:paraId="468FC74E" w14:textId="77777777" w:rsidR="009D077C" w:rsidRPr="007C2750" w:rsidRDefault="009D077C" w:rsidP="007C2750">
      <w:pPr>
        <w:pStyle w:val="ListParagraph"/>
        <w:keepNext/>
        <w:numPr>
          <w:ilvl w:val="0"/>
          <w:numId w:val="21"/>
        </w:numPr>
        <w:spacing w:after="0" w:line="240" w:lineRule="auto"/>
      </w:pPr>
      <w:r w:rsidRPr="007C2750">
        <w:t>For “qualifying widow(er)” filing status, which of the following requirements must be met?</w:t>
      </w:r>
    </w:p>
    <w:p w14:paraId="14DDC91D" w14:textId="77777777" w:rsidR="009D077C" w:rsidRPr="007C2750" w:rsidRDefault="009D077C" w:rsidP="007C2750">
      <w:pPr>
        <w:pStyle w:val="ListParagraph"/>
        <w:keepNext/>
        <w:spacing w:after="0" w:line="240" w:lineRule="auto"/>
      </w:pPr>
    </w:p>
    <w:p w14:paraId="1B7925D8" w14:textId="77777777" w:rsidR="009D077C" w:rsidRPr="007C2750" w:rsidRDefault="009D077C" w:rsidP="007C2750">
      <w:pPr>
        <w:pStyle w:val="ListParagraph"/>
        <w:keepNext/>
        <w:numPr>
          <w:ilvl w:val="0"/>
          <w:numId w:val="3"/>
        </w:numPr>
        <w:spacing w:after="0" w:line="240" w:lineRule="auto"/>
      </w:pPr>
      <w:r w:rsidRPr="007C2750">
        <w:t>The surviving spouse does not remarry before the end of the current year</w:t>
      </w:r>
    </w:p>
    <w:p w14:paraId="11AD8DD0" w14:textId="77777777" w:rsidR="009D077C" w:rsidRPr="007C2750" w:rsidRDefault="009D077C" w:rsidP="007C2750">
      <w:pPr>
        <w:pStyle w:val="ListParagraph"/>
        <w:keepNext/>
        <w:numPr>
          <w:ilvl w:val="0"/>
          <w:numId w:val="3"/>
        </w:numPr>
        <w:spacing w:after="0" w:line="240" w:lineRule="auto"/>
      </w:pPr>
      <w:r w:rsidRPr="007C2750">
        <w:t>The surviving spouse was eligible to file a joint tax return in the year of the spouse’s death</w:t>
      </w:r>
    </w:p>
    <w:p w14:paraId="4A261CD5" w14:textId="77777777" w:rsidR="009D077C" w:rsidRPr="007C2750" w:rsidRDefault="009D077C" w:rsidP="007C2750">
      <w:pPr>
        <w:pStyle w:val="ListParagraph"/>
        <w:keepNext/>
        <w:numPr>
          <w:ilvl w:val="0"/>
          <w:numId w:val="3"/>
        </w:numPr>
        <w:spacing w:after="0" w:line="240" w:lineRule="auto"/>
      </w:pPr>
      <w:r w:rsidRPr="007C2750">
        <w:t xml:space="preserve">The surviving spouse maintains the cost of the principal residence for six months. </w:t>
      </w:r>
    </w:p>
    <w:p w14:paraId="332D0107" w14:textId="77777777" w:rsidR="009D077C" w:rsidRPr="007C2750" w:rsidRDefault="009D077C" w:rsidP="007C2750">
      <w:pPr>
        <w:keepNext/>
        <w:spacing w:after="0" w:line="240" w:lineRule="auto"/>
      </w:pPr>
    </w:p>
    <w:p w14:paraId="608D47BA" w14:textId="77777777" w:rsidR="009D077C" w:rsidRPr="007C2750" w:rsidRDefault="009D077C" w:rsidP="007C2750">
      <w:pPr>
        <w:pStyle w:val="ListParagraph"/>
        <w:keepNext/>
        <w:numPr>
          <w:ilvl w:val="1"/>
          <w:numId w:val="22"/>
        </w:numPr>
        <w:spacing w:after="0" w:line="240" w:lineRule="auto"/>
        <w:ind w:left="1080"/>
      </w:pPr>
      <w:r w:rsidRPr="007C2750">
        <w:t>I, II, and III</w:t>
      </w:r>
    </w:p>
    <w:p w14:paraId="270590C6" w14:textId="77777777" w:rsidR="009D077C" w:rsidRPr="007C2750" w:rsidRDefault="009D077C" w:rsidP="007C2750">
      <w:pPr>
        <w:pStyle w:val="ListParagraph"/>
        <w:keepNext/>
        <w:numPr>
          <w:ilvl w:val="1"/>
          <w:numId w:val="22"/>
        </w:numPr>
        <w:spacing w:after="0" w:line="240" w:lineRule="auto"/>
        <w:ind w:left="1080"/>
      </w:pPr>
      <w:r w:rsidRPr="007C2750">
        <w:t>I and II, but not III</w:t>
      </w:r>
    </w:p>
    <w:p w14:paraId="1B8FCC7B" w14:textId="77777777" w:rsidR="009D077C" w:rsidRPr="007C2750" w:rsidRDefault="009D077C" w:rsidP="007C2750">
      <w:pPr>
        <w:pStyle w:val="ListParagraph"/>
        <w:keepNext/>
        <w:numPr>
          <w:ilvl w:val="1"/>
          <w:numId w:val="22"/>
        </w:numPr>
        <w:spacing w:after="0" w:line="240" w:lineRule="auto"/>
        <w:ind w:left="1080"/>
      </w:pPr>
      <w:r w:rsidRPr="007C2750">
        <w:t>I and III, but not II</w:t>
      </w:r>
    </w:p>
    <w:p w14:paraId="76A44846" w14:textId="77777777" w:rsidR="009D077C" w:rsidRPr="007C2750" w:rsidRDefault="009D077C" w:rsidP="007C2750">
      <w:pPr>
        <w:pStyle w:val="ListParagraph"/>
        <w:keepNext/>
        <w:numPr>
          <w:ilvl w:val="1"/>
          <w:numId w:val="22"/>
        </w:numPr>
        <w:spacing w:after="0" w:line="240" w:lineRule="auto"/>
        <w:ind w:left="1080"/>
      </w:pPr>
      <w:r w:rsidRPr="007C2750">
        <w:t>I only</w:t>
      </w:r>
    </w:p>
    <w:p w14:paraId="17758B1C" w14:textId="77777777" w:rsidR="009D077C" w:rsidRPr="007C2750" w:rsidRDefault="009D077C" w:rsidP="007C2750">
      <w:pPr>
        <w:pStyle w:val="ListParagraph"/>
        <w:keepNext/>
        <w:spacing w:after="0" w:line="240" w:lineRule="auto"/>
        <w:ind w:left="1440"/>
      </w:pPr>
    </w:p>
    <w:p w14:paraId="13667762" w14:textId="77777777" w:rsidR="009D077C" w:rsidRPr="007C2750" w:rsidRDefault="009D077C" w:rsidP="007C2750">
      <w:pPr>
        <w:pStyle w:val="ListParagraph"/>
        <w:keepNext/>
        <w:numPr>
          <w:ilvl w:val="0"/>
          <w:numId w:val="23"/>
        </w:numPr>
        <w:spacing w:after="0" w:line="240" w:lineRule="auto"/>
      </w:pPr>
      <w:r w:rsidRPr="007C2750">
        <w:t>Incorrect.  A taxpayer may file a tax return as a qualifying widow or widower for 2 tax years after the year in which a spouse dies provided the couple qualified to file a joint return for the year of death; that the taxpayer provided over 50% of the cost of maintaining the principal residence of a dependent child or stepchild; and that the taxpayer has not remarried as of the end of the current year.  Maintaining the cost of the taxpayer’s principal residence for six months is not sufficient.</w:t>
      </w:r>
    </w:p>
    <w:p w14:paraId="5CFEA5A5" w14:textId="77777777" w:rsidR="009D077C" w:rsidRPr="007C2750" w:rsidRDefault="009D077C" w:rsidP="007C2750">
      <w:pPr>
        <w:pStyle w:val="ListParagraph"/>
        <w:keepNext/>
        <w:numPr>
          <w:ilvl w:val="0"/>
          <w:numId w:val="23"/>
        </w:numPr>
        <w:spacing w:after="0" w:line="240" w:lineRule="auto"/>
      </w:pPr>
      <w:r w:rsidRPr="007C2750">
        <w:rPr>
          <w:b/>
        </w:rPr>
        <w:t xml:space="preserve">Correct! </w:t>
      </w:r>
      <w:r w:rsidRPr="007C2750">
        <w:t xml:space="preserve">A taxpayer may file a tax return as a qualifying widow or widower for 2 tax years after the year in which a spouse dies provided the couple qualified to file a joint return for the year of death; that the taxpayer provided over 50% of the cost of maintaining the principal residence of </w:t>
      </w:r>
      <w:r w:rsidRPr="007C2750">
        <w:lastRenderedPageBreak/>
        <w:t>a dependent child or stepchild; and that the taxpayer has not remarried as of the end of the current year.  Maintaining the cost of the taxpayer’s principal residence for six months is not sufficient.</w:t>
      </w:r>
    </w:p>
    <w:p w14:paraId="302589E0" w14:textId="77777777" w:rsidR="009D077C" w:rsidRPr="007C2750" w:rsidRDefault="009D077C" w:rsidP="007C2750">
      <w:pPr>
        <w:pStyle w:val="ListParagraph"/>
        <w:keepNext/>
        <w:numPr>
          <w:ilvl w:val="0"/>
          <w:numId w:val="23"/>
        </w:numPr>
        <w:spacing w:after="0" w:line="240" w:lineRule="auto"/>
      </w:pPr>
      <w:r w:rsidRPr="007C2750">
        <w:t>Incorrect. A taxpayer may file a tax return as a qualifying widow or widower for 2 tax years after the year in which a spouse dies provided the couple qualified to file a joint return for the year of death; that the taxpayer provided over 50% of the cost of maintaining the principal residence of a dependent child or stepchild; and that the taxpayer has not remarried as of the end of the current year.  Maintaining the cost of the taxpayer’s principal residence for six months is not sufficient.</w:t>
      </w:r>
    </w:p>
    <w:p w14:paraId="2B273589" w14:textId="77777777" w:rsidR="009D077C" w:rsidRPr="007C2750" w:rsidRDefault="009D077C" w:rsidP="007C2750">
      <w:pPr>
        <w:pStyle w:val="ListParagraph"/>
        <w:keepNext/>
        <w:numPr>
          <w:ilvl w:val="0"/>
          <w:numId w:val="23"/>
        </w:numPr>
        <w:spacing w:after="0" w:line="240" w:lineRule="auto"/>
      </w:pPr>
      <w:r w:rsidRPr="007C2750">
        <w:t>Incorrect. A taxpayer may file a tax return as a qualifying widow or widower for 2 tax years after the year in which a spouse dies provided the couple qualified to file a joint return for the year of death; that the taxpayer provided over 50% of the cost of maintaining the principal residence of a dependent child or stepchild; and that the taxpayer has not remarried as of the end of the current year.  Maintaining the cost of the taxpayer’s principal residence for six months is not sufficient.</w:t>
      </w:r>
    </w:p>
    <w:p w14:paraId="1A3D9679" w14:textId="77777777" w:rsidR="009D077C" w:rsidRPr="007C2750" w:rsidRDefault="009D077C" w:rsidP="007C2750">
      <w:pPr>
        <w:keepNext/>
        <w:spacing w:after="0" w:line="240" w:lineRule="auto"/>
      </w:pPr>
    </w:p>
    <w:p w14:paraId="47C2614B" w14:textId="77777777" w:rsidR="009D077C" w:rsidRPr="007C2750" w:rsidRDefault="009D077C" w:rsidP="007C2750">
      <w:pPr>
        <w:pStyle w:val="ListParagraph"/>
        <w:numPr>
          <w:ilvl w:val="0"/>
          <w:numId w:val="21"/>
        </w:numPr>
        <w:spacing w:after="0" w:line="240" w:lineRule="auto"/>
      </w:pPr>
      <w:r w:rsidRPr="007C2750">
        <w:t>Which of the below prevents a husband and wife from filing a joint tax return?</w:t>
      </w:r>
    </w:p>
    <w:p w14:paraId="071B6313" w14:textId="77777777" w:rsidR="009D077C" w:rsidRPr="007C2750" w:rsidRDefault="009D077C" w:rsidP="007C2750">
      <w:pPr>
        <w:pStyle w:val="ListParagraph"/>
        <w:keepNext/>
        <w:spacing w:after="0" w:line="240" w:lineRule="auto"/>
      </w:pPr>
    </w:p>
    <w:p w14:paraId="40B487CD" w14:textId="77777777" w:rsidR="009D077C" w:rsidRPr="007C2750" w:rsidRDefault="009D077C" w:rsidP="007C2750">
      <w:pPr>
        <w:pStyle w:val="ListParagraph"/>
        <w:keepNext/>
        <w:numPr>
          <w:ilvl w:val="0"/>
          <w:numId w:val="4"/>
        </w:numPr>
        <w:spacing w:after="0" w:line="240" w:lineRule="auto"/>
        <w:ind w:hanging="360"/>
      </w:pPr>
      <w:r w:rsidRPr="007C2750">
        <w:t>The spouses have different accounting methods</w:t>
      </w:r>
    </w:p>
    <w:p w14:paraId="68CA8A47" w14:textId="77777777" w:rsidR="009D077C" w:rsidRPr="007C2750" w:rsidRDefault="009D077C" w:rsidP="007C2750">
      <w:pPr>
        <w:pStyle w:val="ListParagraph"/>
        <w:keepNext/>
        <w:numPr>
          <w:ilvl w:val="0"/>
          <w:numId w:val="4"/>
        </w:numPr>
        <w:spacing w:after="0" w:line="240" w:lineRule="auto"/>
        <w:ind w:hanging="360"/>
      </w:pPr>
      <w:r w:rsidRPr="007C2750">
        <w:t>The spouses have different tax years, provided that both spouses are alive at the end of the year</w:t>
      </w:r>
    </w:p>
    <w:p w14:paraId="3D27B895" w14:textId="77777777" w:rsidR="009D077C" w:rsidRPr="007C2750" w:rsidRDefault="009D077C" w:rsidP="007C2750">
      <w:pPr>
        <w:pStyle w:val="ListParagraph"/>
        <w:keepNext/>
        <w:numPr>
          <w:ilvl w:val="0"/>
          <w:numId w:val="4"/>
        </w:numPr>
        <w:spacing w:after="0" w:line="240" w:lineRule="auto"/>
        <w:ind w:hanging="360"/>
      </w:pPr>
      <w:r w:rsidRPr="007C2750">
        <w:t>One spouse was a nonresident alien for three months during the year and no proper election was made</w:t>
      </w:r>
    </w:p>
    <w:p w14:paraId="37E11075" w14:textId="77777777" w:rsidR="009D077C" w:rsidRPr="007C2750" w:rsidRDefault="009D077C" w:rsidP="007C2750">
      <w:pPr>
        <w:pStyle w:val="ListParagraph"/>
        <w:keepNext/>
        <w:spacing w:after="0" w:line="240" w:lineRule="auto"/>
        <w:ind w:left="1080"/>
      </w:pPr>
    </w:p>
    <w:p w14:paraId="50413AA9" w14:textId="77777777" w:rsidR="009D077C" w:rsidRPr="007C2750" w:rsidRDefault="009D077C" w:rsidP="007C2750">
      <w:pPr>
        <w:pStyle w:val="ListParagraph"/>
        <w:keepNext/>
        <w:numPr>
          <w:ilvl w:val="0"/>
          <w:numId w:val="10"/>
        </w:numPr>
        <w:spacing w:after="0" w:line="240" w:lineRule="auto"/>
        <w:ind w:left="1080"/>
      </w:pPr>
      <w:r w:rsidRPr="007C2750">
        <w:t>I and II only</w:t>
      </w:r>
    </w:p>
    <w:p w14:paraId="71743D48" w14:textId="77777777" w:rsidR="009D077C" w:rsidRPr="007C2750" w:rsidRDefault="009D077C" w:rsidP="007C2750">
      <w:pPr>
        <w:pStyle w:val="ListParagraph"/>
        <w:keepNext/>
        <w:numPr>
          <w:ilvl w:val="0"/>
          <w:numId w:val="10"/>
        </w:numPr>
        <w:spacing w:after="0" w:line="240" w:lineRule="auto"/>
        <w:ind w:left="1080"/>
      </w:pPr>
      <w:r w:rsidRPr="007C2750">
        <w:t>II and III only</w:t>
      </w:r>
    </w:p>
    <w:p w14:paraId="135FF5D6" w14:textId="77777777" w:rsidR="009D077C" w:rsidRPr="007C2750" w:rsidRDefault="009D077C" w:rsidP="007C2750">
      <w:pPr>
        <w:pStyle w:val="ListParagraph"/>
        <w:keepNext/>
        <w:numPr>
          <w:ilvl w:val="0"/>
          <w:numId w:val="10"/>
        </w:numPr>
        <w:spacing w:after="0" w:line="240" w:lineRule="auto"/>
        <w:ind w:left="1080"/>
      </w:pPr>
      <w:r w:rsidRPr="007C2750">
        <w:t>I and III only</w:t>
      </w:r>
    </w:p>
    <w:p w14:paraId="6366BDD3" w14:textId="77777777" w:rsidR="009D077C" w:rsidRPr="007C2750" w:rsidRDefault="009D077C" w:rsidP="007C2750">
      <w:pPr>
        <w:pStyle w:val="ListParagraph"/>
        <w:keepNext/>
        <w:numPr>
          <w:ilvl w:val="0"/>
          <w:numId w:val="10"/>
        </w:numPr>
        <w:spacing w:after="0" w:line="240" w:lineRule="auto"/>
        <w:ind w:left="1080"/>
      </w:pPr>
      <w:r w:rsidRPr="007C2750">
        <w:t>II only</w:t>
      </w:r>
    </w:p>
    <w:p w14:paraId="778D327F" w14:textId="77777777" w:rsidR="009D077C" w:rsidRPr="007C2750" w:rsidRDefault="009D077C" w:rsidP="007C2750">
      <w:pPr>
        <w:pStyle w:val="ListParagraph"/>
        <w:keepNext/>
        <w:spacing w:after="0" w:line="240" w:lineRule="auto"/>
        <w:ind w:left="1440"/>
      </w:pPr>
    </w:p>
    <w:p w14:paraId="7ED73316" w14:textId="77777777" w:rsidR="009D077C" w:rsidRPr="007C2750" w:rsidRDefault="009D077C" w:rsidP="007C2750">
      <w:pPr>
        <w:pStyle w:val="ListParagraph"/>
        <w:keepNext/>
        <w:numPr>
          <w:ilvl w:val="0"/>
          <w:numId w:val="11"/>
        </w:numPr>
        <w:spacing w:after="0" w:line="240" w:lineRule="auto"/>
        <w:ind w:left="1080"/>
      </w:pPr>
      <w:r w:rsidRPr="007C2750">
        <w:t>Incorrect.  A married couple may file a return as married filing jointly only if they use the same accounting period, although they may use different accounting methods.  While a couple generally cannot file a joint return if either is a nonresident alien at any time during the tax year, if a nonresident alien is married to a U.S. citizen or resident alien at the end of the year, the spouses may file jointly.</w:t>
      </w:r>
    </w:p>
    <w:p w14:paraId="20CFC410" w14:textId="77777777" w:rsidR="009D077C" w:rsidRPr="007C2750" w:rsidRDefault="009D077C" w:rsidP="007C2750">
      <w:pPr>
        <w:pStyle w:val="ListParagraph"/>
        <w:keepNext/>
        <w:numPr>
          <w:ilvl w:val="0"/>
          <w:numId w:val="11"/>
        </w:numPr>
        <w:spacing w:after="0" w:line="240" w:lineRule="auto"/>
        <w:ind w:left="1080"/>
      </w:pPr>
      <w:r w:rsidRPr="007C2750">
        <w:t>Incorrect. A married couple may file a return as married filing jointly only if they use the same accounting period, although they may use different accounting methods.  While a couple generally cannot file a joint return if either is a nonresident alien at any time during the tax year, if a nonresident alien is married to a U.S. citizen or resident alien at the end of the year, the spouses may file jointly.</w:t>
      </w:r>
    </w:p>
    <w:p w14:paraId="5DA15108" w14:textId="77777777" w:rsidR="009D077C" w:rsidRPr="007C2750" w:rsidRDefault="009D077C" w:rsidP="007C2750">
      <w:pPr>
        <w:pStyle w:val="ListParagraph"/>
        <w:keepNext/>
        <w:numPr>
          <w:ilvl w:val="0"/>
          <w:numId w:val="11"/>
        </w:numPr>
        <w:spacing w:after="0" w:line="240" w:lineRule="auto"/>
        <w:ind w:left="1080"/>
      </w:pPr>
      <w:r w:rsidRPr="007C2750">
        <w:t>Incorrect. A married couple may file a return as married filing jointly only if they use the same accounting period, although they may use different accounting methods.  While a couple generally cannot file a joint return if either is a nonresident alien at any time during the tax year, if a nonresident alien is married to a U.S. citizen or resident alien at the end of the year, the spouses may file jointly.</w:t>
      </w:r>
    </w:p>
    <w:p w14:paraId="10AE9B17" w14:textId="77777777" w:rsidR="009D077C" w:rsidRPr="007C2750" w:rsidRDefault="009D077C" w:rsidP="007C2750">
      <w:pPr>
        <w:pStyle w:val="ListParagraph"/>
        <w:keepNext/>
        <w:numPr>
          <w:ilvl w:val="0"/>
          <w:numId w:val="11"/>
        </w:numPr>
        <w:spacing w:after="0" w:line="240" w:lineRule="auto"/>
        <w:ind w:left="1080"/>
      </w:pPr>
      <w:r w:rsidRPr="007C2750">
        <w:rPr>
          <w:b/>
        </w:rPr>
        <w:t>Correct!</w:t>
      </w:r>
      <w:r w:rsidRPr="007C2750">
        <w:t xml:space="preserve"> A married couple may file a return as married filing jointly only if they use the same accounting period, although they may use different accounting methods.  While a couple generally cannot file a joint return if either is a nonresident alien at any time during the tax year, if a nonresident alien is married to a U.S. citizen or resident alien at the end of the year, the spouses may file jointly.</w:t>
      </w:r>
    </w:p>
    <w:p w14:paraId="15808C83" w14:textId="77777777" w:rsidR="009D077C" w:rsidRPr="007C2750" w:rsidRDefault="009D077C" w:rsidP="007C2750">
      <w:pPr>
        <w:keepNext/>
        <w:spacing w:after="0" w:line="240" w:lineRule="auto"/>
        <w:rPr>
          <w:b/>
        </w:rPr>
      </w:pPr>
    </w:p>
    <w:p w14:paraId="7F9B382E" w14:textId="3668261A" w:rsidR="00B61EA6" w:rsidRPr="007C2750" w:rsidRDefault="00B61EA6" w:rsidP="007C2750">
      <w:pPr>
        <w:pStyle w:val="ListParagraph"/>
        <w:numPr>
          <w:ilvl w:val="0"/>
          <w:numId w:val="21"/>
        </w:numPr>
        <w:spacing w:after="0" w:line="240" w:lineRule="auto"/>
      </w:pPr>
      <w:r w:rsidRPr="007C2750">
        <w:t xml:space="preserve">Parker and his wife Marie would have been filing a joint tax return for </w:t>
      </w:r>
      <w:r w:rsidR="0098436C">
        <w:t>2015</w:t>
      </w:r>
      <w:r w:rsidRPr="007C2750">
        <w:t xml:space="preserve">, however Marie died in October </w:t>
      </w:r>
      <w:r w:rsidR="0098436C">
        <w:t>2015</w:t>
      </w:r>
      <w:r w:rsidRPr="007C2750">
        <w:t xml:space="preserve">. Parker has not remarried and continues to maintain a home for himself and his two children during 2015, 2016, </w:t>
      </w:r>
      <w:r w:rsidR="0098436C">
        <w:t xml:space="preserve">2017, </w:t>
      </w:r>
      <w:r w:rsidRPr="007C2750">
        <w:t xml:space="preserve">and </w:t>
      </w:r>
      <w:r w:rsidR="0098436C">
        <w:t>2018</w:t>
      </w:r>
      <w:r w:rsidRPr="007C2750">
        <w:t>. Parker’s filing statuses for 2015, 2016,</w:t>
      </w:r>
      <w:r w:rsidR="0098436C">
        <w:t xml:space="preserve"> 2017,</w:t>
      </w:r>
      <w:r w:rsidRPr="007C2750">
        <w:t xml:space="preserve"> and </w:t>
      </w:r>
      <w:r w:rsidR="0098436C">
        <w:t>2018</w:t>
      </w:r>
      <w:r w:rsidRPr="007C2750">
        <w:t xml:space="preserve"> are as follows:</w:t>
      </w:r>
    </w:p>
    <w:p w14:paraId="00C73E91" w14:textId="77777777" w:rsidR="00B61EA6" w:rsidRPr="007C2750" w:rsidRDefault="00B61EA6" w:rsidP="007C2750">
      <w:pPr>
        <w:keepNext/>
        <w:widowControl w:val="0"/>
        <w:kinsoku w:val="0"/>
        <w:overflowPunct w:val="0"/>
        <w:autoSpaceDE w:val="0"/>
        <w:autoSpaceDN w:val="0"/>
        <w:adjustRightInd w:val="0"/>
        <w:spacing w:after="0" w:line="240" w:lineRule="auto"/>
        <w:rPr>
          <w:rFonts w:eastAsia="Times New Roman" w:cs="Garamond"/>
        </w:rPr>
      </w:pPr>
    </w:p>
    <w:tbl>
      <w:tblPr>
        <w:tblW w:w="8910" w:type="dxa"/>
        <w:tblInd w:w="720" w:type="dxa"/>
        <w:tblLayout w:type="fixed"/>
        <w:tblCellMar>
          <w:left w:w="0" w:type="dxa"/>
          <w:right w:w="0" w:type="dxa"/>
        </w:tblCellMar>
        <w:tblLook w:val="0000" w:firstRow="0" w:lastRow="0" w:firstColumn="0" w:lastColumn="0" w:noHBand="0" w:noVBand="0"/>
      </w:tblPr>
      <w:tblGrid>
        <w:gridCol w:w="2610"/>
        <w:gridCol w:w="1527"/>
        <w:gridCol w:w="813"/>
        <w:gridCol w:w="1620"/>
        <w:gridCol w:w="2340"/>
      </w:tblGrid>
      <w:tr w:rsidR="00FB4B09" w:rsidRPr="007C2750" w14:paraId="4D5D7C1C" w14:textId="77777777" w:rsidTr="00FB4B09">
        <w:trPr>
          <w:trHeight w:hRule="exact" w:val="321"/>
        </w:trPr>
        <w:tc>
          <w:tcPr>
            <w:tcW w:w="2610" w:type="dxa"/>
            <w:tcBorders>
              <w:top w:val="single" w:sz="4" w:space="0" w:color="231F20"/>
              <w:left w:val="nil"/>
              <w:bottom w:val="single" w:sz="4" w:space="0" w:color="231F20"/>
              <w:right w:val="nil"/>
            </w:tcBorders>
          </w:tcPr>
          <w:p w14:paraId="76B7EBE8" w14:textId="548A8112" w:rsidR="00B61EA6" w:rsidRPr="007C2750" w:rsidRDefault="0098436C" w:rsidP="0098436C">
            <w:pPr>
              <w:keepNext/>
              <w:widowControl w:val="0"/>
              <w:kinsoku w:val="0"/>
              <w:overflowPunct w:val="0"/>
              <w:autoSpaceDE w:val="0"/>
              <w:autoSpaceDN w:val="0"/>
              <w:adjustRightInd w:val="0"/>
              <w:spacing w:after="0" w:line="240" w:lineRule="auto"/>
              <w:ind w:left="1065" w:right="807"/>
              <w:jc w:val="center"/>
              <w:rPr>
                <w:rFonts w:eastAsia="Times New Roman" w:cs="Times New Roman"/>
              </w:rPr>
            </w:pPr>
            <w:r>
              <w:rPr>
                <w:rFonts w:eastAsia="Times New Roman" w:cs="Arial"/>
                <w:color w:val="231F20"/>
              </w:rPr>
              <w:t>2015</w:t>
            </w:r>
          </w:p>
        </w:tc>
        <w:tc>
          <w:tcPr>
            <w:tcW w:w="2340" w:type="dxa"/>
            <w:gridSpan w:val="2"/>
            <w:tcBorders>
              <w:top w:val="single" w:sz="4" w:space="0" w:color="231F20"/>
              <w:left w:val="nil"/>
              <w:bottom w:val="single" w:sz="4" w:space="0" w:color="231F20"/>
              <w:right w:val="nil"/>
            </w:tcBorders>
          </w:tcPr>
          <w:p w14:paraId="08E21C12" w14:textId="60867045" w:rsidR="00B61EA6" w:rsidRPr="007C2750" w:rsidRDefault="0098436C" w:rsidP="0098436C">
            <w:pPr>
              <w:keepNext/>
              <w:widowControl w:val="0"/>
              <w:kinsoku w:val="0"/>
              <w:overflowPunct w:val="0"/>
              <w:autoSpaceDE w:val="0"/>
              <w:autoSpaceDN w:val="0"/>
              <w:adjustRightInd w:val="0"/>
              <w:spacing w:after="0" w:line="240" w:lineRule="auto"/>
              <w:ind w:left="813" w:right="808"/>
              <w:jc w:val="center"/>
              <w:rPr>
                <w:rFonts w:eastAsia="Times New Roman" w:cs="Times New Roman"/>
              </w:rPr>
            </w:pPr>
            <w:r>
              <w:rPr>
                <w:rFonts w:eastAsia="Times New Roman" w:cs="Arial"/>
                <w:color w:val="231F20"/>
              </w:rPr>
              <w:t>2016</w:t>
            </w:r>
          </w:p>
        </w:tc>
        <w:tc>
          <w:tcPr>
            <w:tcW w:w="1620" w:type="dxa"/>
            <w:tcBorders>
              <w:top w:val="single" w:sz="4" w:space="0" w:color="231F20"/>
              <w:left w:val="nil"/>
              <w:bottom w:val="single" w:sz="4" w:space="0" w:color="231F20"/>
              <w:right w:val="nil"/>
            </w:tcBorders>
          </w:tcPr>
          <w:p w14:paraId="655B960F" w14:textId="208DF404" w:rsidR="00B61EA6" w:rsidRPr="007C2750" w:rsidRDefault="0098436C" w:rsidP="0098436C">
            <w:pPr>
              <w:keepNext/>
              <w:widowControl w:val="0"/>
              <w:kinsoku w:val="0"/>
              <w:overflowPunct w:val="0"/>
              <w:autoSpaceDE w:val="0"/>
              <w:autoSpaceDN w:val="0"/>
              <w:adjustRightInd w:val="0"/>
              <w:spacing w:after="0" w:line="240" w:lineRule="auto"/>
              <w:ind w:left="103" w:right="97"/>
              <w:jc w:val="center"/>
              <w:rPr>
                <w:rFonts w:eastAsia="Times New Roman" w:cs="Times New Roman"/>
              </w:rPr>
            </w:pPr>
            <w:r>
              <w:rPr>
                <w:rFonts w:eastAsia="Times New Roman" w:cs="Arial"/>
                <w:color w:val="231F20"/>
              </w:rPr>
              <w:t>2017</w:t>
            </w:r>
          </w:p>
        </w:tc>
        <w:tc>
          <w:tcPr>
            <w:tcW w:w="2340" w:type="dxa"/>
            <w:tcBorders>
              <w:top w:val="single" w:sz="4" w:space="0" w:color="231F20"/>
              <w:left w:val="nil"/>
              <w:bottom w:val="single" w:sz="4" w:space="0" w:color="231F20"/>
              <w:right w:val="nil"/>
            </w:tcBorders>
          </w:tcPr>
          <w:p w14:paraId="0598AE25" w14:textId="00D6F4FB" w:rsidR="00B61EA6" w:rsidRPr="007C2750" w:rsidRDefault="0098436C" w:rsidP="0098436C">
            <w:pPr>
              <w:keepNext/>
              <w:widowControl w:val="0"/>
              <w:kinsoku w:val="0"/>
              <w:overflowPunct w:val="0"/>
              <w:autoSpaceDE w:val="0"/>
              <w:autoSpaceDN w:val="0"/>
              <w:adjustRightInd w:val="0"/>
              <w:spacing w:after="0" w:line="240" w:lineRule="auto"/>
              <w:ind w:left="122"/>
              <w:jc w:val="center"/>
              <w:rPr>
                <w:rFonts w:eastAsia="Times New Roman" w:cs="Times New Roman"/>
              </w:rPr>
            </w:pPr>
            <w:r>
              <w:rPr>
                <w:rFonts w:eastAsia="Times New Roman" w:cs="Arial"/>
                <w:color w:val="231F20"/>
              </w:rPr>
              <w:t>2018</w:t>
            </w:r>
          </w:p>
        </w:tc>
      </w:tr>
      <w:tr w:rsidR="00FB4B09" w:rsidRPr="007C2750" w14:paraId="67D0DDA8" w14:textId="77777777" w:rsidTr="00FB4B09">
        <w:trPr>
          <w:trHeight w:hRule="exact" w:val="973"/>
        </w:trPr>
        <w:tc>
          <w:tcPr>
            <w:tcW w:w="2610" w:type="dxa"/>
            <w:tcBorders>
              <w:top w:val="single" w:sz="4" w:space="0" w:color="231F20"/>
              <w:left w:val="nil"/>
              <w:bottom w:val="nil"/>
              <w:right w:val="nil"/>
            </w:tcBorders>
          </w:tcPr>
          <w:p w14:paraId="166F20A1" w14:textId="77777777" w:rsidR="00B61EA6" w:rsidRPr="007C2750" w:rsidRDefault="00B61EA6" w:rsidP="007C2750">
            <w:pPr>
              <w:keepNext/>
              <w:widowControl w:val="0"/>
              <w:kinsoku w:val="0"/>
              <w:overflowPunct w:val="0"/>
              <w:autoSpaceDE w:val="0"/>
              <w:autoSpaceDN w:val="0"/>
              <w:adjustRightInd w:val="0"/>
              <w:spacing w:after="0" w:line="240" w:lineRule="auto"/>
              <w:ind w:left="35"/>
              <w:rPr>
                <w:rFonts w:eastAsia="Times New Roman" w:cs="Times New Roman"/>
              </w:rPr>
            </w:pPr>
            <w:r w:rsidRPr="007C2750">
              <w:rPr>
                <w:rFonts w:eastAsia="Times New Roman" w:cs="Garamond"/>
                <w:color w:val="231F20"/>
                <w:w w:val="105"/>
              </w:rPr>
              <w:t xml:space="preserve">a.   </w:t>
            </w:r>
            <w:r w:rsidRPr="007C2750">
              <w:rPr>
                <w:rFonts w:eastAsia="Times New Roman" w:cs="Calibri"/>
                <w:color w:val="231F20"/>
                <w:w w:val="105"/>
              </w:rPr>
              <w:t>Qualifying widower</w:t>
            </w:r>
          </w:p>
        </w:tc>
        <w:tc>
          <w:tcPr>
            <w:tcW w:w="1527" w:type="dxa"/>
            <w:tcBorders>
              <w:top w:val="single" w:sz="4" w:space="0" w:color="231F20"/>
              <w:left w:val="nil"/>
              <w:bottom w:val="nil"/>
              <w:right w:val="nil"/>
            </w:tcBorders>
          </w:tcPr>
          <w:p w14:paraId="40438DE4" w14:textId="77777777" w:rsidR="00B61EA6" w:rsidRPr="007C2750" w:rsidRDefault="00B61EA6" w:rsidP="007C2750">
            <w:pPr>
              <w:keepNext/>
              <w:widowControl w:val="0"/>
              <w:kinsoku w:val="0"/>
              <w:overflowPunct w:val="0"/>
              <w:autoSpaceDE w:val="0"/>
              <w:autoSpaceDN w:val="0"/>
              <w:adjustRightInd w:val="0"/>
              <w:spacing w:after="0" w:line="240" w:lineRule="auto"/>
              <w:ind w:left="123"/>
              <w:rPr>
                <w:rFonts w:eastAsia="Times New Roman" w:cs="Times New Roman"/>
              </w:rPr>
            </w:pPr>
            <w:r w:rsidRPr="007C2750">
              <w:rPr>
                <w:rFonts w:eastAsia="Times New Roman" w:cs="Calibri"/>
                <w:color w:val="231F20"/>
              </w:rPr>
              <w:t>Married filing joint return</w:t>
            </w:r>
          </w:p>
        </w:tc>
        <w:tc>
          <w:tcPr>
            <w:tcW w:w="2433" w:type="dxa"/>
            <w:gridSpan w:val="2"/>
            <w:tcBorders>
              <w:top w:val="single" w:sz="4" w:space="0" w:color="231F20"/>
              <w:left w:val="nil"/>
              <w:bottom w:val="nil"/>
              <w:right w:val="nil"/>
            </w:tcBorders>
          </w:tcPr>
          <w:p w14:paraId="7AA72FA7" w14:textId="77777777" w:rsidR="00B61EA6" w:rsidRPr="007C2750" w:rsidRDefault="007C2750" w:rsidP="007C2750">
            <w:pPr>
              <w:keepNext/>
              <w:widowControl w:val="0"/>
              <w:kinsoku w:val="0"/>
              <w:overflowPunct w:val="0"/>
              <w:autoSpaceDE w:val="0"/>
              <w:autoSpaceDN w:val="0"/>
              <w:adjustRightInd w:val="0"/>
              <w:spacing w:after="0" w:line="240" w:lineRule="auto"/>
              <w:ind w:left="103" w:right="103"/>
              <w:jc w:val="center"/>
              <w:rPr>
                <w:rFonts w:eastAsia="Times New Roman" w:cs="Times New Roman"/>
              </w:rPr>
            </w:pPr>
            <w:r w:rsidRPr="007C2750">
              <w:rPr>
                <w:rFonts w:eastAsia="Times New Roman" w:cs="Calibri"/>
                <w:color w:val="231F20"/>
              </w:rPr>
              <w:t>Qualifying widower</w:t>
            </w:r>
          </w:p>
        </w:tc>
        <w:tc>
          <w:tcPr>
            <w:tcW w:w="2340" w:type="dxa"/>
            <w:tcBorders>
              <w:top w:val="single" w:sz="4" w:space="0" w:color="231F20"/>
              <w:left w:val="nil"/>
              <w:bottom w:val="nil"/>
              <w:right w:val="nil"/>
            </w:tcBorders>
          </w:tcPr>
          <w:p w14:paraId="7ADC12F9" w14:textId="77777777" w:rsidR="00B61EA6" w:rsidRPr="007C2750" w:rsidRDefault="007C2750" w:rsidP="007C2750">
            <w:pPr>
              <w:keepNext/>
              <w:widowControl w:val="0"/>
              <w:kinsoku w:val="0"/>
              <w:overflowPunct w:val="0"/>
              <w:autoSpaceDE w:val="0"/>
              <w:autoSpaceDN w:val="0"/>
              <w:adjustRightInd w:val="0"/>
              <w:spacing w:after="0" w:line="240" w:lineRule="auto"/>
              <w:ind w:left="87"/>
              <w:jc w:val="center"/>
              <w:rPr>
                <w:rFonts w:eastAsia="Times New Roman" w:cs="Times New Roman"/>
              </w:rPr>
            </w:pPr>
            <w:r w:rsidRPr="007C2750">
              <w:rPr>
                <w:rFonts w:eastAsia="Times New Roman" w:cs="Calibri"/>
                <w:color w:val="231F20"/>
              </w:rPr>
              <w:t>Head of</w:t>
            </w:r>
            <w:r w:rsidR="00B61EA6" w:rsidRPr="007C2750">
              <w:rPr>
                <w:rFonts w:eastAsia="Times New Roman" w:cs="Calibri"/>
                <w:color w:val="231F20"/>
              </w:rPr>
              <w:t xml:space="preserve"> household</w:t>
            </w:r>
          </w:p>
        </w:tc>
      </w:tr>
      <w:tr w:rsidR="00FB4B09" w:rsidRPr="007C2750" w14:paraId="38C3CB17" w14:textId="77777777" w:rsidTr="00FB4B09">
        <w:trPr>
          <w:trHeight w:hRule="exact" w:val="882"/>
        </w:trPr>
        <w:tc>
          <w:tcPr>
            <w:tcW w:w="2610" w:type="dxa"/>
            <w:tcBorders>
              <w:top w:val="nil"/>
              <w:left w:val="nil"/>
              <w:bottom w:val="nil"/>
              <w:right w:val="nil"/>
            </w:tcBorders>
          </w:tcPr>
          <w:p w14:paraId="52D451F8" w14:textId="77777777" w:rsidR="00B61EA6" w:rsidRPr="007C2750" w:rsidRDefault="00B61EA6" w:rsidP="007C2750">
            <w:pPr>
              <w:keepNext/>
              <w:widowControl w:val="0"/>
              <w:kinsoku w:val="0"/>
              <w:overflowPunct w:val="0"/>
              <w:autoSpaceDE w:val="0"/>
              <w:autoSpaceDN w:val="0"/>
              <w:adjustRightInd w:val="0"/>
              <w:spacing w:after="0" w:line="240" w:lineRule="auto"/>
              <w:ind w:left="35"/>
              <w:rPr>
                <w:rFonts w:eastAsia="Times New Roman" w:cs="Times New Roman"/>
              </w:rPr>
            </w:pPr>
            <w:r w:rsidRPr="007C2750">
              <w:rPr>
                <w:rFonts w:eastAsia="Times New Roman" w:cs="Garamond"/>
                <w:color w:val="231F20"/>
              </w:rPr>
              <w:t xml:space="preserve">b.    </w:t>
            </w:r>
            <w:r w:rsidRPr="007C2750">
              <w:rPr>
                <w:rFonts w:eastAsia="Times New Roman" w:cs="Calibri"/>
                <w:color w:val="231F20"/>
              </w:rPr>
              <w:t>Married filing joint return</w:t>
            </w:r>
          </w:p>
        </w:tc>
        <w:tc>
          <w:tcPr>
            <w:tcW w:w="1527" w:type="dxa"/>
            <w:tcBorders>
              <w:top w:val="nil"/>
              <w:left w:val="nil"/>
              <w:bottom w:val="nil"/>
              <w:right w:val="nil"/>
            </w:tcBorders>
          </w:tcPr>
          <w:p w14:paraId="36596C10" w14:textId="77777777" w:rsidR="00B61EA6" w:rsidRPr="007C2750" w:rsidRDefault="00B61EA6" w:rsidP="007C2750">
            <w:pPr>
              <w:keepNext/>
              <w:widowControl w:val="0"/>
              <w:kinsoku w:val="0"/>
              <w:overflowPunct w:val="0"/>
              <w:autoSpaceDE w:val="0"/>
              <w:autoSpaceDN w:val="0"/>
              <w:adjustRightInd w:val="0"/>
              <w:spacing w:after="0" w:line="240" w:lineRule="auto"/>
              <w:ind w:left="123"/>
              <w:rPr>
                <w:rFonts w:eastAsia="Times New Roman" w:cs="Times New Roman"/>
              </w:rPr>
            </w:pPr>
            <w:r w:rsidRPr="007C2750">
              <w:rPr>
                <w:rFonts w:eastAsia="Times New Roman" w:cs="Calibri"/>
                <w:color w:val="231F20"/>
              </w:rPr>
              <w:t>Married filing joint return</w:t>
            </w:r>
          </w:p>
        </w:tc>
        <w:tc>
          <w:tcPr>
            <w:tcW w:w="2433" w:type="dxa"/>
            <w:gridSpan w:val="2"/>
            <w:tcBorders>
              <w:top w:val="nil"/>
              <w:left w:val="nil"/>
              <w:bottom w:val="nil"/>
              <w:right w:val="nil"/>
            </w:tcBorders>
          </w:tcPr>
          <w:p w14:paraId="1F937AE8" w14:textId="77777777" w:rsidR="00B61EA6" w:rsidRPr="007C2750" w:rsidRDefault="007C2750" w:rsidP="007C2750">
            <w:pPr>
              <w:keepNext/>
              <w:widowControl w:val="0"/>
              <w:kinsoku w:val="0"/>
              <w:overflowPunct w:val="0"/>
              <w:autoSpaceDE w:val="0"/>
              <w:autoSpaceDN w:val="0"/>
              <w:adjustRightInd w:val="0"/>
              <w:spacing w:after="0" w:line="240" w:lineRule="auto"/>
              <w:ind w:left="77" w:right="103"/>
              <w:jc w:val="center"/>
              <w:rPr>
                <w:rFonts w:eastAsia="Times New Roman" w:cs="Times New Roman"/>
              </w:rPr>
            </w:pPr>
            <w:r w:rsidRPr="007C2750">
              <w:rPr>
                <w:rFonts w:eastAsia="Times New Roman" w:cs="Calibri"/>
                <w:color w:val="231F20"/>
              </w:rPr>
              <w:t>Head of</w:t>
            </w:r>
            <w:r w:rsidR="00B61EA6" w:rsidRPr="007C2750">
              <w:rPr>
                <w:rFonts w:eastAsia="Times New Roman" w:cs="Calibri"/>
                <w:color w:val="231F20"/>
              </w:rPr>
              <w:t xml:space="preserve"> household</w:t>
            </w:r>
          </w:p>
        </w:tc>
        <w:tc>
          <w:tcPr>
            <w:tcW w:w="2340" w:type="dxa"/>
            <w:tcBorders>
              <w:top w:val="nil"/>
              <w:left w:val="nil"/>
              <w:bottom w:val="nil"/>
              <w:right w:val="nil"/>
            </w:tcBorders>
          </w:tcPr>
          <w:p w14:paraId="77DEC8A1" w14:textId="77777777" w:rsidR="00B61EA6" w:rsidRPr="007C2750" w:rsidRDefault="007C2750" w:rsidP="007C2750">
            <w:pPr>
              <w:keepNext/>
              <w:widowControl w:val="0"/>
              <w:kinsoku w:val="0"/>
              <w:overflowPunct w:val="0"/>
              <w:autoSpaceDE w:val="0"/>
              <w:autoSpaceDN w:val="0"/>
              <w:adjustRightInd w:val="0"/>
              <w:spacing w:after="0" w:line="240" w:lineRule="auto"/>
              <w:ind w:left="117"/>
              <w:jc w:val="center"/>
              <w:rPr>
                <w:rFonts w:eastAsia="Times New Roman" w:cs="Times New Roman"/>
              </w:rPr>
            </w:pPr>
            <w:r w:rsidRPr="007C2750">
              <w:rPr>
                <w:rFonts w:eastAsia="Times New Roman" w:cs="Calibri"/>
                <w:color w:val="231F20"/>
              </w:rPr>
              <w:t>Qualifying widower</w:t>
            </w:r>
          </w:p>
        </w:tc>
      </w:tr>
      <w:tr w:rsidR="00FB4B09" w:rsidRPr="007C2750" w14:paraId="1EB8D131" w14:textId="77777777" w:rsidTr="00FB4B09">
        <w:trPr>
          <w:trHeight w:hRule="exact" w:val="963"/>
        </w:trPr>
        <w:tc>
          <w:tcPr>
            <w:tcW w:w="2610" w:type="dxa"/>
            <w:tcBorders>
              <w:top w:val="nil"/>
              <w:left w:val="nil"/>
              <w:bottom w:val="nil"/>
              <w:right w:val="nil"/>
            </w:tcBorders>
          </w:tcPr>
          <w:p w14:paraId="4A52FBE9" w14:textId="77777777" w:rsidR="00B61EA6" w:rsidRPr="007C2750" w:rsidRDefault="00B61EA6" w:rsidP="007C2750">
            <w:pPr>
              <w:keepNext/>
              <w:widowControl w:val="0"/>
              <w:kinsoku w:val="0"/>
              <w:overflowPunct w:val="0"/>
              <w:autoSpaceDE w:val="0"/>
              <w:autoSpaceDN w:val="0"/>
              <w:adjustRightInd w:val="0"/>
              <w:spacing w:after="0" w:line="240" w:lineRule="auto"/>
              <w:ind w:left="35"/>
              <w:rPr>
                <w:rFonts w:eastAsia="Times New Roman" w:cs="Times New Roman"/>
              </w:rPr>
            </w:pPr>
            <w:r w:rsidRPr="007C2750">
              <w:rPr>
                <w:rFonts w:eastAsia="Times New Roman" w:cs="Garamond"/>
                <w:color w:val="231F20"/>
              </w:rPr>
              <w:t xml:space="preserve">c.    </w:t>
            </w:r>
            <w:r w:rsidRPr="007C2750">
              <w:rPr>
                <w:rFonts w:eastAsia="Times New Roman" w:cs="Calibri"/>
                <w:color w:val="231F20"/>
              </w:rPr>
              <w:t>Married filing joint return</w:t>
            </w:r>
          </w:p>
        </w:tc>
        <w:tc>
          <w:tcPr>
            <w:tcW w:w="1527" w:type="dxa"/>
            <w:tcBorders>
              <w:top w:val="nil"/>
              <w:left w:val="nil"/>
              <w:bottom w:val="nil"/>
              <w:right w:val="nil"/>
            </w:tcBorders>
          </w:tcPr>
          <w:p w14:paraId="6C96E937" w14:textId="77777777" w:rsidR="00B61EA6" w:rsidRPr="007C2750" w:rsidRDefault="007C2750" w:rsidP="007C2750">
            <w:pPr>
              <w:keepNext/>
              <w:widowControl w:val="0"/>
              <w:kinsoku w:val="0"/>
              <w:overflowPunct w:val="0"/>
              <w:autoSpaceDE w:val="0"/>
              <w:autoSpaceDN w:val="0"/>
              <w:adjustRightInd w:val="0"/>
              <w:spacing w:after="0" w:line="240" w:lineRule="auto"/>
              <w:ind w:left="123"/>
              <w:rPr>
                <w:rFonts w:eastAsia="Times New Roman" w:cs="Times New Roman"/>
              </w:rPr>
            </w:pPr>
            <w:r w:rsidRPr="007C2750">
              <w:rPr>
                <w:rFonts w:eastAsia="Times New Roman" w:cs="Calibri"/>
                <w:color w:val="231F20"/>
              </w:rPr>
              <w:t>Qualifying widower</w:t>
            </w:r>
          </w:p>
        </w:tc>
        <w:tc>
          <w:tcPr>
            <w:tcW w:w="2433" w:type="dxa"/>
            <w:gridSpan w:val="2"/>
            <w:tcBorders>
              <w:top w:val="nil"/>
              <w:left w:val="nil"/>
              <w:bottom w:val="nil"/>
              <w:right w:val="nil"/>
            </w:tcBorders>
          </w:tcPr>
          <w:p w14:paraId="747DDF6F" w14:textId="77777777" w:rsidR="00B61EA6" w:rsidRPr="007C2750" w:rsidRDefault="007C2750" w:rsidP="007C2750">
            <w:pPr>
              <w:keepNext/>
              <w:widowControl w:val="0"/>
              <w:kinsoku w:val="0"/>
              <w:overflowPunct w:val="0"/>
              <w:autoSpaceDE w:val="0"/>
              <w:autoSpaceDN w:val="0"/>
              <w:adjustRightInd w:val="0"/>
              <w:spacing w:after="0" w:line="240" w:lineRule="auto"/>
              <w:ind w:left="103" w:right="103"/>
              <w:jc w:val="center"/>
              <w:rPr>
                <w:rFonts w:eastAsia="Times New Roman" w:cs="Times New Roman"/>
              </w:rPr>
            </w:pPr>
            <w:r w:rsidRPr="007C2750">
              <w:rPr>
                <w:rFonts w:eastAsia="Times New Roman" w:cs="Calibri"/>
                <w:color w:val="231F20"/>
              </w:rPr>
              <w:t>Qualifying widower</w:t>
            </w:r>
          </w:p>
        </w:tc>
        <w:tc>
          <w:tcPr>
            <w:tcW w:w="2340" w:type="dxa"/>
            <w:tcBorders>
              <w:top w:val="nil"/>
              <w:left w:val="nil"/>
              <w:bottom w:val="nil"/>
              <w:right w:val="nil"/>
            </w:tcBorders>
          </w:tcPr>
          <w:p w14:paraId="1BF19A4A" w14:textId="77777777" w:rsidR="00B61EA6" w:rsidRPr="007C2750" w:rsidRDefault="00FB4B09" w:rsidP="007C2750">
            <w:pPr>
              <w:keepNext/>
              <w:widowControl w:val="0"/>
              <w:kinsoku w:val="0"/>
              <w:overflowPunct w:val="0"/>
              <w:autoSpaceDE w:val="0"/>
              <w:autoSpaceDN w:val="0"/>
              <w:adjustRightInd w:val="0"/>
              <w:spacing w:after="0" w:line="240" w:lineRule="auto"/>
              <w:ind w:left="87"/>
              <w:jc w:val="center"/>
              <w:rPr>
                <w:rFonts w:eastAsia="Times New Roman" w:cs="Times New Roman"/>
              </w:rPr>
            </w:pPr>
            <w:r w:rsidRPr="007C2750">
              <w:rPr>
                <w:rFonts w:eastAsia="Times New Roman" w:cs="Calibri"/>
                <w:color w:val="231F20"/>
              </w:rPr>
              <w:t>Head of</w:t>
            </w:r>
            <w:r w:rsidR="00B61EA6" w:rsidRPr="007C2750">
              <w:rPr>
                <w:rFonts w:eastAsia="Times New Roman" w:cs="Calibri"/>
                <w:color w:val="231F20"/>
              </w:rPr>
              <w:t xml:space="preserve"> household</w:t>
            </w:r>
          </w:p>
        </w:tc>
      </w:tr>
      <w:tr w:rsidR="00FB4B09" w:rsidRPr="007C2750" w14:paraId="7A504DE8" w14:textId="77777777" w:rsidTr="00FB4B09">
        <w:trPr>
          <w:trHeight w:hRule="exact" w:val="1080"/>
        </w:trPr>
        <w:tc>
          <w:tcPr>
            <w:tcW w:w="2610" w:type="dxa"/>
            <w:tcBorders>
              <w:top w:val="nil"/>
              <w:left w:val="nil"/>
              <w:bottom w:val="single" w:sz="4" w:space="0" w:color="231F20"/>
              <w:right w:val="nil"/>
            </w:tcBorders>
          </w:tcPr>
          <w:p w14:paraId="333E0324" w14:textId="77777777" w:rsidR="00B61EA6" w:rsidRPr="007C2750" w:rsidRDefault="00B61EA6" w:rsidP="007C2750">
            <w:pPr>
              <w:keepNext/>
              <w:widowControl w:val="0"/>
              <w:kinsoku w:val="0"/>
              <w:overflowPunct w:val="0"/>
              <w:autoSpaceDE w:val="0"/>
              <w:autoSpaceDN w:val="0"/>
              <w:adjustRightInd w:val="0"/>
              <w:spacing w:after="0" w:line="240" w:lineRule="auto"/>
              <w:ind w:left="35"/>
              <w:rPr>
                <w:rFonts w:eastAsia="Times New Roman" w:cs="Times New Roman"/>
              </w:rPr>
            </w:pPr>
            <w:r w:rsidRPr="007C2750">
              <w:rPr>
                <w:rFonts w:eastAsia="Times New Roman" w:cs="Garamond"/>
                <w:color w:val="231F20"/>
                <w:w w:val="105"/>
              </w:rPr>
              <w:t xml:space="preserve">d.   </w:t>
            </w:r>
            <w:r w:rsidRPr="007C2750">
              <w:rPr>
                <w:rFonts w:eastAsia="Times New Roman" w:cs="Calibri"/>
                <w:color w:val="231F20"/>
                <w:w w:val="105"/>
              </w:rPr>
              <w:t>Qualifying widower</w:t>
            </w:r>
          </w:p>
        </w:tc>
        <w:tc>
          <w:tcPr>
            <w:tcW w:w="1527" w:type="dxa"/>
            <w:tcBorders>
              <w:top w:val="nil"/>
              <w:left w:val="nil"/>
              <w:bottom w:val="single" w:sz="4" w:space="0" w:color="231F20"/>
              <w:right w:val="nil"/>
            </w:tcBorders>
          </w:tcPr>
          <w:p w14:paraId="6D0B5AB6" w14:textId="77777777" w:rsidR="00B61EA6" w:rsidRPr="007C2750" w:rsidRDefault="00FB4B09" w:rsidP="007C2750">
            <w:pPr>
              <w:keepNext/>
              <w:widowControl w:val="0"/>
              <w:kinsoku w:val="0"/>
              <w:overflowPunct w:val="0"/>
              <w:autoSpaceDE w:val="0"/>
              <w:autoSpaceDN w:val="0"/>
              <w:adjustRightInd w:val="0"/>
              <w:spacing w:after="0" w:line="240" w:lineRule="auto"/>
              <w:ind w:left="123"/>
              <w:rPr>
                <w:rFonts w:eastAsia="Times New Roman" w:cs="Times New Roman"/>
              </w:rPr>
            </w:pPr>
            <w:r w:rsidRPr="007C2750">
              <w:rPr>
                <w:rFonts w:eastAsia="Times New Roman" w:cs="Calibri"/>
                <w:color w:val="231F20"/>
              </w:rPr>
              <w:t>Qualifying widower</w:t>
            </w:r>
          </w:p>
        </w:tc>
        <w:tc>
          <w:tcPr>
            <w:tcW w:w="2433" w:type="dxa"/>
            <w:gridSpan w:val="2"/>
            <w:tcBorders>
              <w:top w:val="nil"/>
              <w:left w:val="nil"/>
              <w:bottom w:val="single" w:sz="4" w:space="0" w:color="231F20"/>
              <w:right w:val="nil"/>
            </w:tcBorders>
          </w:tcPr>
          <w:p w14:paraId="67A3E1C4" w14:textId="77777777" w:rsidR="00B61EA6" w:rsidRPr="007C2750" w:rsidRDefault="00FB4B09" w:rsidP="007C2750">
            <w:pPr>
              <w:keepNext/>
              <w:widowControl w:val="0"/>
              <w:kinsoku w:val="0"/>
              <w:overflowPunct w:val="0"/>
              <w:autoSpaceDE w:val="0"/>
              <w:autoSpaceDN w:val="0"/>
              <w:adjustRightInd w:val="0"/>
              <w:spacing w:after="0" w:line="240" w:lineRule="auto"/>
              <w:ind w:left="77" w:right="103"/>
              <w:jc w:val="center"/>
              <w:rPr>
                <w:rFonts w:eastAsia="Times New Roman" w:cs="Times New Roman"/>
              </w:rPr>
            </w:pPr>
            <w:r w:rsidRPr="007C2750">
              <w:rPr>
                <w:rFonts w:eastAsia="Times New Roman" w:cs="Calibri"/>
                <w:color w:val="231F20"/>
              </w:rPr>
              <w:t>Head of</w:t>
            </w:r>
            <w:r w:rsidR="00B61EA6" w:rsidRPr="007C2750">
              <w:rPr>
                <w:rFonts w:eastAsia="Times New Roman" w:cs="Calibri"/>
                <w:color w:val="231F20"/>
              </w:rPr>
              <w:t xml:space="preserve"> household</w:t>
            </w:r>
          </w:p>
        </w:tc>
        <w:tc>
          <w:tcPr>
            <w:tcW w:w="2340" w:type="dxa"/>
            <w:tcBorders>
              <w:top w:val="nil"/>
              <w:left w:val="nil"/>
              <w:bottom w:val="single" w:sz="4" w:space="0" w:color="231F20"/>
              <w:right w:val="nil"/>
            </w:tcBorders>
          </w:tcPr>
          <w:p w14:paraId="1518FA8A" w14:textId="77777777" w:rsidR="00B61EA6" w:rsidRPr="007C2750" w:rsidRDefault="00FB4B09" w:rsidP="007C2750">
            <w:pPr>
              <w:keepNext/>
              <w:widowControl w:val="0"/>
              <w:kinsoku w:val="0"/>
              <w:overflowPunct w:val="0"/>
              <w:autoSpaceDE w:val="0"/>
              <w:autoSpaceDN w:val="0"/>
              <w:adjustRightInd w:val="0"/>
              <w:spacing w:after="0" w:line="240" w:lineRule="auto"/>
              <w:ind w:left="117"/>
              <w:jc w:val="center"/>
              <w:rPr>
                <w:rFonts w:eastAsia="Times New Roman" w:cs="Times New Roman"/>
              </w:rPr>
            </w:pPr>
            <w:r w:rsidRPr="007C2750">
              <w:rPr>
                <w:rFonts w:eastAsia="Times New Roman" w:cs="Calibri"/>
                <w:color w:val="231F20"/>
              </w:rPr>
              <w:t>Qualifying widower</w:t>
            </w:r>
          </w:p>
        </w:tc>
      </w:tr>
    </w:tbl>
    <w:p w14:paraId="75C9ABF3" w14:textId="77777777" w:rsidR="009D077C" w:rsidRPr="007C2750" w:rsidRDefault="009D077C" w:rsidP="007C2750">
      <w:pPr>
        <w:pStyle w:val="ListParagraph"/>
        <w:keepNext/>
        <w:spacing w:after="0" w:line="240" w:lineRule="auto"/>
      </w:pPr>
    </w:p>
    <w:p w14:paraId="54D66E0E" w14:textId="1723FD25" w:rsidR="009D077C" w:rsidRPr="007C2750" w:rsidRDefault="009D077C" w:rsidP="007C2750">
      <w:pPr>
        <w:pStyle w:val="ListParagraph"/>
        <w:keepNext/>
        <w:numPr>
          <w:ilvl w:val="0"/>
          <w:numId w:val="12"/>
        </w:numPr>
        <w:spacing w:after="0" w:line="240" w:lineRule="auto"/>
      </w:pPr>
      <w:r w:rsidRPr="007C2750">
        <w:t xml:space="preserve">Incorrect.  A couple may file a joint return if they are married as of the end of the tax year or, when one spouse has died during the tax year, if they were married as of the date of death.  As a result, Parker would qualify to file a joint return for </w:t>
      </w:r>
      <w:r w:rsidR="0098436C">
        <w:t>2015</w:t>
      </w:r>
      <w:r w:rsidRPr="007C2750">
        <w:t xml:space="preserve">.  A taxpayer may file a tax return as a qualifying widow or widower for 2 tax years after the year in which a spouse dies provided the couple qualified to file a joint return for the year of death; that the taxpayer provided over 50% of the cost of maintaining the principal residence of a dependent child or stepchild; and that the taxpayer has not remarried as of the end of the current year.  As a result, Parker will file as a qualifying widower for </w:t>
      </w:r>
      <w:r w:rsidR="0098436C">
        <w:t>2016</w:t>
      </w:r>
      <w:r w:rsidR="00B61EA6" w:rsidRPr="007C2750">
        <w:t xml:space="preserve"> </w:t>
      </w:r>
      <w:r w:rsidRPr="007C2750">
        <w:t xml:space="preserve">and </w:t>
      </w:r>
      <w:r w:rsidR="0098436C">
        <w:t>2017</w:t>
      </w:r>
      <w:r w:rsidRPr="007C2750">
        <w:t xml:space="preserve">.  In </w:t>
      </w:r>
      <w:r w:rsidR="0098436C">
        <w:t>2018</w:t>
      </w:r>
      <w:r w:rsidRPr="007C2750">
        <w:t>, Parker may no longer file as a qualified widower but may file as a head of household, which is an unmarried taxpayer that maintains a home that is the principal residence of a qualifying relative, such as a child.</w:t>
      </w:r>
    </w:p>
    <w:p w14:paraId="4148F4C4" w14:textId="4DF58FDF" w:rsidR="009D077C" w:rsidRPr="007C2750" w:rsidRDefault="009D077C" w:rsidP="007C2750">
      <w:pPr>
        <w:pStyle w:val="ListParagraph"/>
        <w:keepNext/>
        <w:numPr>
          <w:ilvl w:val="0"/>
          <w:numId w:val="12"/>
        </w:numPr>
        <w:spacing w:after="0" w:line="240" w:lineRule="auto"/>
      </w:pPr>
      <w:r w:rsidRPr="007C2750">
        <w:t xml:space="preserve">Incorrect. A couple may file a joint return if they are married as of the end of the tax year or, when one spouse has died during the tax year, if they were married as of the date of death.  </w:t>
      </w:r>
      <w:r w:rsidR="00B61EA6" w:rsidRPr="007C2750">
        <w:t xml:space="preserve">As a result, Parker would qualify to file a joint return for </w:t>
      </w:r>
      <w:r w:rsidR="0098436C">
        <w:t>2015</w:t>
      </w:r>
      <w:r w:rsidR="00B61EA6" w:rsidRPr="007C2750">
        <w:t>.  A taxpayer may file a tax return as a qualifying widow or widower for 2 tax years after the year in which a spouse dies provided the couple qualified to file a joint return for the year of death; that the taxpayer provided over 50% of the cost of maintaining the principal residence of a dependent child or stepchild; and that the taxpayer has not remarried as of the end of the current year.  As a result, Parker will file as a qualifying widower for 201</w:t>
      </w:r>
      <w:r w:rsidR="0098436C">
        <w:t>6</w:t>
      </w:r>
      <w:r w:rsidR="00B61EA6" w:rsidRPr="007C2750">
        <w:t xml:space="preserve"> and 201</w:t>
      </w:r>
      <w:r w:rsidR="0098436C">
        <w:t>7</w:t>
      </w:r>
      <w:r w:rsidR="00B61EA6" w:rsidRPr="007C2750">
        <w:t>.  In 201</w:t>
      </w:r>
      <w:r w:rsidR="0098436C">
        <w:t>8</w:t>
      </w:r>
      <w:r w:rsidR="00B61EA6" w:rsidRPr="007C2750">
        <w:t>, Parker may no longer file as a qualified widower but may file as a head of household, which is an unmarried taxpayer that maintains a home that is the principal residence of a qualifying relative, such as a child.</w:t>
      </w:r>
    </w:p>
    <w:p w14:paraId="26E2C956" w14:textId="14B2DED8" w:rsidR="009D077C" w:rsidRPr="007C2750" w:rsidRDefault="009D077C" w:rsidP="007C2750">
      <w:pPr>
        <w:pStyle w:val="ListParagraph"/>
        <w:keepNext/>
        <w:numPr>
          <w:ilvl w:val="0"/>
          <w:numId w:val="12"/>
        </w:numPr>
        <w:spacing w:after="0" w:line="240" w:lineRule="auto"/>
      </w:pPr>
      <w:r w:rsidRPr="007C2750">
        <w:rPr>
          <w:b/>
        </w:rPr>
        <w:t>Correct!</w:t>
      </w:r>
      <w:r w:rsidRPr="007C2750">
        <w:t xml:space="preserve"> A couple may file a joint return if they are married as of the end of the tax year or, when one spouse has died during the tax year, if they were married as of the date of death</w:t>
      </w:r>
      <w:r w:rsidR="00B61EA6" w:rsidRPr="007C2750">
        <w:t xml:space="preserve"> </w:t>
      </w:r>
      <w:proofErr w:type="gramStart"/>
      <w:r w:rsidR="00B61EA6" w:rsidRPr="007C2750">
        <w:t>As</w:t>
      </w:r>
      <w:proofErr w:type="gramEnd"/>
      <w:r w:rsidR="00B61EA6" w:rsidRPr="007C2750">
        <w:t xml:space="preserve"> a result, Parker would qualify to file a joint return for 201</w:t>
      </w:r>
      <w:r w:rsidR="0098436C">
        <w:t>5</w:t>
      </w:r>
      <w:r w:rsidR="00B61EA6" w:rsidRPr="007C2750">
        <w:t>.  A taxpayer may file a tax return as a qualifying widow or widower for 2 tax years after the year in which a spouse dies provided the couple qualified to file a joint return for the year of death; that the taxpayer provided over 50% of the cost of maintaining the principal residence of a dependent child or stepchild; and that the taxpayer has not remarried as of the end of the current year.  As a result, Parker will file as a qualifying widower for 201</w:t>
      </w:r>
      <w:r w:rsidR="0098436C">
        <w:t>6</w:t>
      </w:r>
      <w:r w:rsidR="00B61EA6" w:rsidRPr="007C2750">
        <w:t xml:space="preserve"> and 201</w:t>
      </w:r>
      <w:r w:rsidR="0098436C">
        <w:t>7</w:t>
      </w:r>
      <w:r w:rsidR="00B61EA6" w:rsidRPr="007C2750">
        <w:t>.  In 201</w:t>
      </w:r>
      <w:r w:rsidR="0098436C">
        <w:t>8</w:t>
      </w:r>
      <w:r w:rsidR="00B61EA6" w:rsidRPr="007C2750">
        <w:t>, Parker may no longer file as a qualified widower but may file as a head of household, which is an unmarried taxpayer that maintains a home that is the principal residence of a qualifying relative, such as a child.</w:t>
      </w:r>
    </w:p>
    <w:p w14:paraId="6552C2AE" w14:textId="18853FAE" w:rsidR="009D077C" w:rsidRPr="007C2750" w:rsidRDefault="009D077C" w:rsidP="007C2750">
      <w:pPr>
        <w:pStyle w:val="ListParagraph"/>
        <w:keepNext/>
        <w:numPr>
          <w:ilvl w:val="0"/>
          <w:numId w:val="12"/>
        </w:numPr>
        <w:spacing w:after="0" w:line="240" w:lineRule="auto"/>
      </w:pPr>
      <w:r w:rsidRPr="007C2750">
        <w:t xml:space="preserve">Incorrect. A couple may file a joint return if they are married as of the end of the tax year or, when one spouse has died during the tax year, if they were married as of the date of death.  </w:t>
      </w:r>
      <w:r w:rsidR="00B61EA6" w:rsidRPr="007C2750">
        <w:t>As a result, Parker would qualify to file a joint return for 201</w:t>
      </w:r>
      <w:r w:rsidR="0098436C">
        <w:t>5</w:t>
      </w:r>
      <w:r w:rsidR="00B61EA6" w:rsidRPr="007C2750">
        <w:t>.  A taxpayer may file a tax return as a qualifying widow or widower for 2 tax years after the year in which a spouse dies provided the couple qualified to file a joint return for the year of death; that the taxpayer provided over 50% of the cost of maintaining the principal residence of a dependent child or stepchild; and that the taxpayer has not remarried as of the end of the current year.  As a result, Parker will file as a qualifying widower for 201</w:t>
      </w:r>
      <w:r w:rsidR="0098436C">
        <w:t>6</w:t>
      </w:r>
      <w:r w:rsidR="00B61EA6" w:rsidRPr="007C2750">
        <w:t xml:space="preserve"> and 201</w:t>
      </w:r>
      <w:r w:rsidR="0098436C">
        <w:t>7</w:t>
      </w:r>
      <w:r w:rsidR="00B61EA6" w:rsidRPr="007C2750">
        <w:t>.  In 201</w:t>
      </w:r>
      <w:r w:rsidR="0098436C">
        <w:t>8</w:t>
      </w:r>
      <w:r w:rsidR="00B61EA6" w:rsidRPr="007C2750">
        <w:t>, Parker may no longer file as a qualified widower but may file as a head of household, which is an unmarried taxpayer that maintains a home that is the principal residence of a qualifying relative, such as a child.</w:t>
      </w:r>
    </w:p>
    <w:p w14:paraId="33037044" w14:textId="77777777" w:rsidR="009D077C" w:rsidRPr="007C2750" w:rsidRDefault="009D077C" w:rsidP="007C2750">
      <w:pPr>
        <w:pStyle w:val="ListParagraph"/>
        <w:keepNext/>
        <w:spacing w:after="0" w:line="240" w:lineRule="auto"/>
        <w:ind w:left="1800"/>
      </w:pPr>
    </w:p>
    <w:p w14:paraId="25F6BF7D" w14:textId="77777777" w:rsidR="009D077C" w:rsidRPr="007C2750" w:rsidRDefault="009D077C" w:rsidP="007C2750">
      <w:pPr>
        <w:pStyle w:val="ListParagraph"/>
        <w:numPr>
          <w:ilvl w:val="0"/>
          <w:numId w:val="21"/>
        </w:numPr>
        <w:spacing w:after="0" w:line="240" w:lineRule="auto"/>
      </w:pPr>
      <w:r w:rsidRPr="007C2750">
        <w:t>Which of the following items are included in determining the total support of a dependent?</w:t>
      </w:r>
    </w:p>
    <w:p w14:paraId="061CEFA3" w14:textId="77777777" w:rsidR="009D077C" w:rsidRPr="007C2750" w:rsidRDefault="009D077C" w:rsidP="007C2750">
      <w:pPr>
        <w:pStyle w:val="ListParagraph"/>
        <w:keepNext/>
        <w:spacing w:after="0" w:line="240" w:lineRule="auto"/>
      </w:pPr>
    </w:p>
    <w:p w14:paraId="1F21EFCC" w14:textId="77777777" w:rsidR="009D077C" w:rsidRPr="007C2750" w:rsidRDefault="009D077C" w:rsidP="007C2750">
      <w:pPr>
        <w:pStyle w:val="ListParagraph"/>
        <w:keepNext/>
        <w:numPr>
          <w:ilvl w:val="0"/>
          <w:numId w:val="6"/>
        </w:numPr>
        <w:spacing w:after="0" w:line="240" w:lineRule="auto"/>
        <w:ind w:left="1080" w:hanging="360"/>
      </w:pPr>
      <w:r w:rsidRPr="007C2750">
        <w:t xml:space="preserve">Medical expenditures paid on behalf of the dependent </w:t>
      </w:r>
    </w:p>
    <w:p w14:paraId="73F925B2" w14:textId="77777777" w:rsidR="009D077C" w:rsidRPr="007C2750" w:rsidRDefault="009D077C" w:rsidP="007C2750">
      <w:pPr>
        <w:pStyle w:val="ListParagraph"/>
        <w:keepNext/>
        <w:numPr>
          <w:ilvl w:val="0"/>
          <w:numId w:val="6"/>
        </w:numPr>
        <w:spacing w:after="0" w:line="240" w:lineRule="auto"/>
        <w:ind w:left="1080" w:hanging="360"/>
      </w:pPr>
      <w:r w:rsidRPr="007C2750">
        <w:t>Life insurance premiums paid on behalf of the dependent</w:t>
      </w:r>
    </w:p>
    <w:p w14:paraId="38280D88" w14:textId="77777777" w:rsidR="009D077C" w:rsidRPr="007C2750" w:rsidRDefault="009D077C" w:rsidP="007C2750">
      <w:pPr>
        <w:pStyle w:val="ListParagraph"/>
        <w:keepNext/>
        <w:numPr>
          <w:ilvl w:val="0"/>
          <w:numId w:val="6"/>
        </w:numPr>
        <w:spacing w:after="0" w:line="240" w:lineRule="auto"/>
        <w:ind w:left="1080" w:hanging="360"/>
      </w:pPr>
      <w:r w:rsidRPr="007C2750">
        <w:t>Fair rental value of dependent’s lodging</w:t>
      </w:r>
    </w:p>
    <w:p w14:paraId="739BFB96" w14:textId="77777777" w:rsidR="009D077C" w:rsidRPr="007C2750" w:rsidRDefault="009D077C" w:rsidP="007C2750">
      <w:pPr>
        <w:pStyle w:val="ListParagraph"/>
        <w:keepNext/>
        <w:spacing w:after="0" w:line="240" w:lineRule="auto"/>
        <w:ind w:left="2880"/>
      </w:pPr>
    </w:p>
    <w:p w14:paraId="420F99E3" w14:textId="77777777" w:rsidR="009D077C" w:rsidRPr="007C2750" w:rsidRDefault="009D077C" w:rsidP="00FB4B09">
      <w:pPr>
        <w:pStyle w:val="ListParagraph"/>
        <w:keepNext/>
        <w:numPr>
          <w:ilvl w:val="0"/>
          <w:numId w:val="30"/>
        </w:numPr>
        <w:spacing w:after="0" w:line="240" w:lineRule="auto"/>
        <w:ind w:left="1080"/>
      </w:pPr>
      <w:r w:rsidRPr="007C2750">
        <w:t>All of the above</w:t>
      </w:r>
    </w:p>
    <w:p w14:paraId="6B8F5E9F" w14:textId="77777777" w:rsidR="009D077C" w:rsidRPr="007C2750" w:rsidRDefault="009D077C" w:rsidP="00FB4B09">
      <w:pPr>
        <w:pStyle w:val="ListParagraph"/>
        <w:keepNext/>
        <w:numPr>
          <w:ilvl w:val="0"/>
          <w:numId w:val="30"/>
        </w:numPr>
        <w:spacing w:after="0" w:line="240" w:lineRule="auto"/>
        <w:ind w:left="1080"/>
      </w:pPr>
      <w:r w:rsidRPr="007C2750">
        <w:t>I and II only</w:t>
      </w:r>
    </w:p>
    <w:p w14:paraId="762DECB3" w14:textId="77777777" w:rsidR="009D077C" w:rsidRPr="007C2750" w:rsidRDefault="009D077C" w:rsidP="00FB4B09">
      <w:pPr>
        <w:pStyle w:val="ListParagraph"/>
        <w:keepNext/>
        <w:numPr>
          <w:ilvl w:val="0"/>
          <w:numId w:val="30"/>
        </w:numPr>
        <w:spacing w:after="0" w:line="240" w:lineRule="auto"/>
        <w:ind w:left="1080"/>
      </w:pPr>
      <w:r w:rsidRPr="007C2750">
        <w:t>I and III only</w:t>
      </w:r>
    </w:p>
    <w:p w14:paraId="5ADE8171" w14:textId="77777777" w:rsidR="009D077C" w:rsidRPr="007C2750" w:rsidRDefault="009D077C" w:rsidP="00FB4B09">
      <w:pPr>
        <w:pStyle w:val="ListParagraph"/>
        <w:keepNext/>
        <w:numPr>
          <w:ilvl w:val="0"/>
          <w:numId w:val="30"/>
        </w:numPr>
        <w:spacing w:after="0" w:line="240" w:lineRule="auto"/>
        <w:ind w:left="1080"/>
      </w:pPr>
      <w:r w:rsidRPr="007C2750">
        <w:t>I only</w:t>
      </w:r>
    </w:p>
    <w:p w14:paraId="2518B3FA" w14:textId="77777777" w:rsidR="009D077C" w:rsidRPr="007C2750" w:rsidRDefault="009D077C" w:rsidP="007C2750">
      <w:pPr>
        <w:pStyle w:val="ListParagraph"/>
        <w:keepNext/>
        <w:spacing w:after="0" w:line="240" w:lineRule="auto"/>
        <w:ind w:left="1440"/>
      </w:pPr>
    </w:p>
    <w:p w14:paraId="3FBD5530" w14:textId="77777777" w:rsidR="009D077C" w:rsidRPr="007C2750" w:rsidRDefault="009D077C" w:rsidP="007C2750">
      <w:pPr>
        <w:pStyle w:val="ListParagraph"/>
        <w:keepNext/>
        <w:numPr>
          <w:ilvl w:val="0"/>
          <w:numId w:val="14"/>
        </w:numPr>
        <w:spacing w:after="0" w:line="240" w:lineRule="auto"/>
        <w:ind w:left="1080"/>
      </w:pPr>
      <w:r w:rsidRPr="007C2750">
        <w:t>Incorrect.  To determine if a taxpayer provided over 50% of a qualifying relative’s support, or if more than 50% of the support of a qualifying child was provided by that child, Payments for food, lodging, clothing, education, medical and dental care, recreation, transportation, and other necessities are included.  Income, social security, and Medicare taxes paid from the individual’s own income; life insurance premiums; and funeral expenses are not included.</w:t>
      </w:r>
    </w:p>
    <w:p w14:paraId="5D79E455" w14:textId="77777777" w:rsidR="009D077C" w:rsidRPr="007C2750" w:rsidRDefault="009D077C" w:rsidP="007C2750">
      <w:pPr>
        <w:pStyle w:val="ListParagraph"/>
        <w:keepNext/>
        <w:numPr>
          <w:ilvl w:val="0"/>
          <w:numId w:val="14"/>
        </w:numPr>
        <w:spacing w:after="0" w:line="240" w:lineRule="auto"/>
        <w:ind w:left="1080"/>
      </w:pPr>
      <w:r w:rsidRPr="007C2750">
        <w:t>Incorrect. To determine if a taxpayer provided over 50% of a qualifying relative’s support, or if more than 50% of the support of a qualifying child was provided by that child, Payments for food, lodging, clothing, education, medical and dental care, recreation, transportation, and other necessities are included.  Income, social security, and Medicare taxes paid from the individual’s own income; life insurance premiums; and funeral expenses are not included.</w:t>
      </w:r>
    </w:p>
    <w:p w14:paraId="28397F2D" w14:textId="77777777" w:rsidR="009D077C" w:rsidRPr="007C2750" w:rsidRDefault="009D077C" w:rsidP="007C2750">
      <w:pPr>
        <w:pStyle w:val="ListParagraph"/>
        <w:keepNext/>
        <w:numPr>
          <w:ilvl w:val="0"/>
          <w:numId w:val="14"/>
        </w:numPr>
        <w:spacing w:after="0" w:line="240" w:lineRule="auto"/>
        <w:ind w:left="1080"/>
      </w:pPr>
      <w:r w:rsidRPr="007C2750">
        <w:rPr>
          <w:b/>
        </w:rPr>
        <w:t>Correct!</w:t>
      </w:r>
      <w:r w:rsidRPr="007C2750">
        <w:t xml:space="preserve"> To determine if a taxpayer provided over 50% of a qualifying relative’s support, or if more than 50% of the support of a qualifying child was provided by that child, Payments for food, lodging, clothing, education, medical and dental care, recreation, transportation, and other necessities are included.  Income, social security, and Medicare taxes paid from the individual’s own income; life insurance premiums; and funeral expenses are not included.</w:t>
      </w:r>
    </w:p>
    <w:p w14:paraId="40D0A336" w14:textId="77777777" w:rsidR="009D077C" w:rsidRPr="007C2750" w:rsidRDefault="009D077C" w:rsidP="007C2750">
      <w:pPr>
        <w:pStyle w:val="ListParagraph"/>
        <w:keepNext/>
        <w:numPr>
          <w:ilvl w:val="0"/>
          <w:numId w:val="14"/>
        </w:numPr>
        <w:spacing w:after="0" w:line="240" w:lineRule="auto"/>
        <w:ind w:left="1080"/>
      </w:pPr>
      <w:r w:rsidRPr="007C2750">
        <w:t>Incorrect. To determine if a taxpayer provided over 50% of a qualifying relative’s support, or if more than 50% of the support of a qualifying child was provided by that child, Payments for food, lodging, clothing, education, medical and dental care, recreation, transportation, and other necessities are included.  Income, social security, and Medicare taxes paid from the individual’s own income; life insurance premiums; and funeral expenses are not included.</w:t>
      </w:r>
    </w:p>
    <w:p w14:paraId="1F121B7F" w14:textId="77777777" w:rsidR="009D077C" w:rsidRPr="007C2750" w:rsidRDefault="009D077C" w:rsidP="007C2750">
      <w:pPr>
        <w:keepNext/>
        <w:spacing w:after="0" w:line="240" w:lineRule="auto"/>
        <w:rPr>
          <w:b/>
        </w:rPr>
      </w:pPr>
    </w:p>
    <w:p w14:paraId="14B5988D" w14:textId="5C6C0378" w:rsidR="00654673" w:rsidRDefault="00654673" w:rsidP="007C2750">
      <w:pPr>
        <w:pStyle w:val="ListParagraph"/>
        <w:numPr>
          <w:ilvl w:val="0"/>
          <w:numId w:val="21"/>
        </w:numPr>
        <w:spacing w:after="0" w:line="240" w:lineRule="auto"/>
      </w:pPr>
      <w:r w:rsidRPr="007C2750">
        <w:t>Kyle and Elena Smith contributed to the support of their two children, Alexandra and Matthew, and Elena’s divorced father, Nick. For 201</w:t>
      </w:r>
      <w:r w:rsidR="0098436C">
        <w:t>7</w:t>
      </w:r>
      <w:r w:rsidRPr="007C2750">
        <w:t>, Alexandra, a 22-year-old full-time college student, earned $1,700 from a part-time job. Matthew, a 27-year-old full-time graduate student, earned $23,000 from his job as a teaching assistant. Nick received $12,000 in capital gains income and $7,000 in nontaxable Social Security benefits. Alexandra, Matthew, and Nick are U.S. citizens and were over one-half supported by Kyle and Elena. How many exemptions can Kyle and Elena claim on their 201</w:t>
      </w:r>
      <w:r w:rsidR="0098436C">
        <w:t>7</w:t>
      </w:r>
      <w:r w:rsidRPr="007C2750">
        <w:t xml:space="preserve"> joint income tax return?</w:t>
      </w:r>
    </w:p>
    <w:p w14:paraId="15AA22A8" w14:textId="77777777" w:rsidR="007C2750" w:rsidRPr="007C2750" w:rsidRDefault="007C2750" w:rsidP="007C2750">
      <w:pPr>
        <w:pStyle w:val="ListParagraph"/>
        <w:spacing w:after="0" w:line="240" w:lineRule="auto"/>
      </w:pPr>
    </w:p>
    <w:p w14:paraId="3B003ACF" w14:textId="77777777" w:rsidR="00654673" w:rsidRPr="007C2750" w:rsidRDefault="00654673" w:rsidP="007C2750">
      <w:pPr>
        <w:pStyle w:val="ListParagraph"/>
        <w:keepNext/>
        <w:numPr>
          <w:ilvl w:val="0"/>
          <w:numId w:val="24"/>
        </w:numPr>
        <w:spacing w:after="0" w:line="240" w:lineRule="auto"/>
        <w:ind w:left="1080"/>
      </w:pPr>
      <w:r w:rsidRPr="007C2750">
        <w:t>2</w:t>
      </w:r>
    </w:p>
    <w:p w14:paraId="12DCDE62" w14:textId="77777777" w:rsidR="00654673" w:rsidRPr="007C2750" w:rsidRDefault="00654673" w:rsidP="007C2750">
      <w:pPr>
        <w:pStyle w:val="ListParagraph"/>
        <w:keepNext/>
        <w:numPr>
          <w:ilvl w:val="0"/>
          <w:numId w:val="24"/>
        </w:numPr>
        <w:spacing w:after="0" w:line="240" w:lineRule="auto"/>
        <w:ind w:left="1080"/>
      </w:pPr>
      <w:r w:rsidRPr="007C2750">
        <w:t>3</w:t>
      </w:r>
    </w:p>
    <w:p w14:paraId="3E4C1E82" w14:textId="77777777" w:rsidR="00654673" w:rsidRPr="007C2750" w:rsidRDefault="00654673" w:rsidP="007C2750">
      <w:pPr>
        <w:pStyle w:val="ListParagraph"/>
        <w:keepNext/>
        <w:numPr>
          <w:ilvl w:val="0"/>
          <w:numId w:val="24"/>
        </w:numPr>
        <w:spacing w:after="0" w:line="240" w:lineRule="auto"/>
        <w:ind w:left="1080"/>
      </w:pPr>
      <w:r w:rsidRPr="007C2750">
        <w:t>4</w:t>
      </w:r>
    </w:p>
    <w:p w14:paraId="093B30F4" w14:textId="77777777" w:rsidR="00654673" w:rsidRPr="007C2750" w:rsidRDefault="00654673" w:rsidP="007C2750">
      <w:pPr>
        <w:pStyle w:val="ListParagraph"/>
        <w:keepNext/>
        <w:numPr>
          <w:ilvl w:val="0"/>
          <w:numId w:val="24"/>
        </w:numPr>
        <w:spacing w:after="0" w:line="240" w:lineRule="auto"/>
        <w:ind w:left="1080"/>
      </w:pPr>
      <w:r w:rsidRPr="007C2750">
        <w:t>5</w:t>
      </w:r>
    </w:p>
    <w:p w14:paraId="3ED1BE4F" w14:textId="77777777" w:rsidR="009D077C" w:rsidRPr="007C2750" w:rsidRDefault="009D077C" w:rsidP="007C2750">
      <w:pPr>
        <w:pStyle w:val="ListParagraph"/>
        <w:keepNext/>
        <w:spacing w:after="0" w:line="240" w:lineRule="auto"/>
        <w:ind w:left="1710"/>
      </w:pPr>
    </w:p>
    <w:p w14:paraId="0F7EA2FC" w14:textId="77777777" w:rsidR="009D077C" w:rsidRPr="007C2750" w:rsidRDefault="009D077C" w:rsidP="007C2750">
      <w:pPr>
        <w:pStyle w:val="ListParagraph"/>
        <w:keepNext/>
        <w:numPr>
          <w:ilvl w:val="0"/>
          <w:numId w:val="16"/>
        </w:numPr>
        <w:spacing w:after="0" w:line="240" w:lineRule="auto"/>
        <w:ind w:left="1080"/>
      </w:pPr>
      <w:r w:rsidRPr="007C2750">
        <w:t>Incorrect.  Kyle and Elena will be able to claim 3 exemptions, including 2 for themselves, on their joint return.  Alexandra is a qualifying child since she is a student under the age of 24, resulting in the third exemption.  Matthew, being older than 24, is not a qualifying child.  Since Nick has gross income, which includes the $12,000 in capital gains but excludes the nontaxable social security benefits, in excess of the exemption amount, Nick is not a qualifying relative and does not provide an additional exemption.</w:t>
      </w:r>
    </w:p>
    <w:p w14:paraId="083F5F90" w14:textId="77777777" w:rsidR="009D077C" w:rsidRPr="007C2750" w:rsidRDefault="009D077C" w:rsidP="007C2750">
      <w:pPr>
        <w:pStyle w:val="ListParagraph"/>
        <w:keepNext/>
        <w:numPr>
          <w:ilvl w:val="0"/>
          <w:numId w:val="16"/>
        </w:numPr>
        <w:spacing w:after="0" w:line="240" w:lineRule="auto"/>
        <w:ind w:left="1080"/>
      </w:pPr>
      <w:r w:rsidRPr="007C2750">
        <w:rPr>
          <w:b/>
        </w:rPr>
        <w:t>Correct!</w:t>
      </w:r>
      <w:r w:rsidRPr="007C2750">
        <w:t xml:space="preserve"> Kyle and Elena will be able to claim 3 exemptions, including 2 for themselves, on their joint return.  Alexandra is a qualifying child since she is a student under the age of 24, resulting in the third exemption.  Matthew, being older than 24, is not a qualifying child.  Since Nick has gross income, which includes the $12,000 in capital gains but excludes the nontaxable social security benefits, in excess of the exemption amount, Nick is not a qualifying relative and does not provide an additional exemption.</w:t>
      </w:r>
    </w:p>
    <w:p w14:paraId="0241CBC4" w14:textId="77777777" w:rsidR="009D077C" w:rsidRPr="007C2750" w:rsidRDefault="009D077C" w:rsidP="007C2750">
      <w:pPr>
        <w:pStyle w:val="ListParagraph"/>
        <w:keepNext/>
        <w:numPr>
          <w:ilvl w:val="0"/>
          <w:numId w:val="16"/>
        </w:numPr>
        <w:spacing w:after="0" w:line="240" w:lineRule="auto"/>
        <w:ind w:left="1080"/>
      </w:pPr>
      <w:r w:rsidRPr="007C2750">
        <w:t>Incorrect. Kyle and Elena will be able to claim 3 exemptions, including 2 for themselves, on their joint return.  Alexandra is a qualifying child since she is a student under the age of 24, resulting in the third exemption.  Matthew, being older than 24, is not a qualifying child.  Since Nick has gross income, which includes the $12,000 in capital gains but excludes the nontaxable social security benefits, in excess of the exemption amount, Nick is not a qualifying relative and does not provide an additional exemption.</w:t>
      </w:r>
    </w:p>
    <w:p w14:paraId="3132D760" w14:textId="77777777" w:rsidR="009D077C" w:rsidRPr="007C2750" w:rsidRDefault="009D077C" w:rsidP="007C2750">
      <w:pPr>
        <w:pStyle w:val="ListParagraph"/>
        <w:keepNext/>
        <w:numPr>
          <w:ilvl w:val="0"/>
          <w:numId w:val="16"/>
        </w:numPr>
        <w:spacing w:after="0" w:line="240" w:lineRule="auto"/>
        <w:ind w:left="1080"/>
      </w:pPr>
      <w:r w:rsidRPr="007C2750">
        <w:t>Incorrect. Kyle and Elena will be able to claim 3 exemptions, including 2 for themselves, on their joint return.  Alexandra is a qualifying child since she is a student under the age of 24, resulting in the third exemption.  Matthew, being older than 24, is not a qualifying child.  Since Nick has gross income, which includes the $12,000 in capital gains but excludes the nontaxable social security benefits, in excess of the exemption amount, Nick is not a qualifying relative and does not provide an additional exemption.</w:t>
      </w:r>
    </w:p>
    <w:p w14:paraId="067D480F" w14:textId="77777777" w:rsidR="00A05031" w:rsidRPr="007C2750" w:rsidRDefault="00BB7251" w:rsidP="007C2750">
      <w:pPr>
        <w:keepNext/>
        <w:spacing w:after="0" w:line="240" w:lineRule="auto"/>
      </w:pPr>
    </w:p>
    <w:sectPr w:rsidR="00A05031" w:rsidRPr="007C2750" w:rsidSect="007C2750">
      <w:headerReference w:type="default" r:id="rId7"/>
      <w:footerReference w:type="default" r:id="rId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9DF400" w14:textId="77777777" w:rsidR="00C76514" w:rsidRDefault="00C76514" w:rsidP="00157C31">
      <w:pPr>
        <w:spacing w:after="0" w:line="240" w:lineRule="auto"/>
      </w:pPr>
      <w:r>
        <w:separator/>
      </w:r>
    </w:p>
  </w:endnote>
  <w:endnote w:type="continuationSeparator" w:id="0">
    <w:p w14:paraId="1378BB51" w14:textId="77777777" w:rsidR="00C76514" w:rsidRDefault="00C76514" w:rsidP="00157C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D193A" w14:textId="77777777" w:rsidR="00157C31" w:rsidRDefault="00157C31">
    <w:pPr>
      <w:pStyle w:val="Footer"/>
    </w:pPr>
    <w:r w:rsidRPr="00CB0BDB">
      <w:rPr>
        <w:rFonts w:cs="Tahoma"/>
        <w:sz w:val="14"/>
        <w:szCs w:val="14"/>
      </w:rPr>
      <w:t xml:space="preserve">© </w:t>
    </w:r>
    <w:r w:rsidR="00654673" w:rsidRPr="00CB0BDB">
      <w:rPr>
        <w:rFonts w:cs="Tahoma"/>
        <w:sz w:val="14"/>
        <w:szCs w:val="14"/>
      </w:rPr>
      <w:t>201</w:t>
    </w:r>
    <w:r w:rsidR="00654673">
      <w:rPr>
        <w:rFonts w:cs="Tahoma"/>
        <w:sz w:val="14"/>
        <w:szCs w:val="14"/>
      </w:rPr>
      <w:t>7</w:t>
    </w:r>
    <w:r w:rsidR="00654673" w:rsidRPr="00CB0BDB">
      <w:rPr>
        <w:rFonts w:cs="Tahoma"/>
        <w:sz w:val="14"/>
        <w:szCs w:val="14"/>
      </w:rPr>
      <w:t xml:space="preserve"> </w:t>
    </w:r>
    <w:r w:rsidRPr="00CB0BDB">
      <w:rPr>
        <w:rFonts w:cs="Tahoma"/>
        <w:sz w:val="14"/>
        <w:szCs w:val="14"/>
      </w:rPr>
      <w:t>Cengage Learning. All Rights Reserved. May not be copied, scanned, or duplicated, in whole or in part, except for use as permitted in a license distributed with a certain product or service or otherwise on a password-protected website for classroom use</w:t>
    </w:r>
    <w:r w:rsidRPr="00435571">
      <w:rPr>
        <w:rFonts w:cs="Tahoma"/>
        <w:b/>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22B30" w14:textId="77777777" w:rsidR="00C76514" w:rsidRDefault="00C76514" w:rsidP="00157C31">
      <w:pPr>
        <w:spacing w:after="0" w:line="240" w:lineRule="auto"/>
      </w:pPr>
      <w:r>
        <w:separator/>
      </w:r>
    </w:p>
  </w:footnote>
  <w:footnote w:type="continuationSeparator" w:id="0">
    <w:p w14:paraId="501F6C3B" w14:textId="77777777" w:rsidR="00C76514" w:rsidRDefault="00C76514" w:rsidP="00157C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5FB6B" w14:textId="15786A0D" w:rsidR="007E47E0" w:rsidRDefault="007E47E0">
    <w:pPr>
      <w:pStyle w:val="Header"/>
    </w:pPr>
    <w:r>
      <w:t xml:space="preserve">SWFT </w:t>
    </w:r>
    <w:r w:rsidRPr="007E47E0">
      <w:rPr>
        <w:i/>
      </w:rPr>
      <w:t xml:space="preserve">Individual Income Taxes </w:t>
    </w:r>
    <w:r w:rsidR="0098436C">
      <w:rPr>
        <w:i/>
      </w:rPr>
      <w:t>2018</w:t>
    </w:r>
    <w:r w:rsidR="00654673">
      <w:t xml:space="preserve"> </w:t>
    </w:r>
    <w:r>
      <w:t>– Roger CPA Review Question Answers and Feedback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3"/>
      <w:numFmt w:val="decimal"/>
      <w:lvlText w:val="%1"/>
      <w:lvlJc w:val="left"/>
      <w:pPr>
        <w:ind w:left="2180" w:hanging="1001"/>
      </w:pPr>
    </w:lvl>
    <w:lvl w:ilvl="1">
      <w:start w:val="54"/>
      <w:numFmt w:val="decimal"/>
      <w:lvlText w:val="%1-%2"/>
      <w:lvlJc w:val="left"/>
      <w:pPr>
        <w:ind w:left="2180" w:hanging="1001"/>
      </w:pPr>
      <w:rPr>
        <w:rFonts w:ascii="Arial" w:hAnsi="Arial" w:cs="Arial"/>
        <w:b w:val="0"/>
        <w:bCs w:val="0"/>
        <w:color w:val="231F20"/>
        <w:w w:val="98"/>
        <w:position w:val="1"/>
        <w:sz w:val="17"/>
        <w:szCs w:val="17"/>
      </w:rPr>
    </w:lvl>
    <w:lvl w:ilvl="2">
      <w:start w:val="1"/>
      <w:numFmt w:val="decimal"/>
      <w:lvlText w:val="%3."/>
      <w:lvlJc w:val="left"/>
      <w:pPr>
        <w:ind w:left="4135" w:hanging="317"/>
      </w:pPr>
      <w:rPr>
        <w:rFonts w:ascii="Garamond" w:hAnsi="Garamond" w:cs="Garamond"/>
        <w:b w:val="0"/>
        <w:bCs w:val="0"/>
        <w:color w:val="231F20"/>
        <w:w w:val="109"/>
        <w:sz w:val="20"/>
        <w:szCs w:val="20"/>
      </w:rPr>
    </w:lvl>
    <w:lvl w:ilvl="3">
      <w:start w:val="1"/>
      <w:numFmt w:val="upperRoman"/>
      <w:lvlText w:val="%4."/>
      <w:lvlJc w:val="left"/>
      <w:pPr>
        <w:ind w:left="4442" w:hanging="301"/>
      </w:pPr>
      <w:rPr>
        <w:rFonts w:ascii="Garamond" w:hAnsi="Garamond" w:cs="Garamond"/>
        <w:b w:val="0"/>
        <w:bCs w:val="0"/>
        <w:color w:val="231F20"/>
        <w:w w:val="98"/>
        <w:sz w:val="20"/>
        <w:szCs w:val="20"/>
      </w:rPr>
    </w:lvl>
    <w:lvl w:ilvl="4">
      <w:start w:val="1"/>
      <w:numFmt w:val="lowerLetter"/>
      <w:lvlText w:val="%5."/>
      <w:lvlJc w:val="left"/>
      <w:pPr>
        <w:ind w:left="908" w:hanging="367"/>
      </w:pPr>
      <w:rPr>
        <w:rFonts w:ascii="Garamond" w:hAnsi="Garamond" w:cs="Garamond"/>
        <w:b w:val="0"/>
        <w:bCs w:val="0"/>
        <w:color w:val="231F20"/>
        <w:w w:val="116"/>
        <w:sz w:val="20"/>
        <w:szCs w:val="20"/>
      </w:rPr>
    </w:lvl>
    <w:lvl w:ilvl="5">
      <w:numFmt w:val="bullet"/>
      <w:lvlText w:val="•"/>
      <w:lvlJc w:val="left"/>
      <w:pPr>
        <w:ind w:left="4074" w:hanging="367"/>
      </w:pPr>
    </w:lvl>
    <w:lvl w:ilvl="6">
      <w:numFmt w:val="bullet"/>
      <w:lvlText w:val="•"/>
      <w:lvlJc w:val="left"/>
      <w:pPr>
        <w:ind w:left="3709" w:hanging="367"/>
      </w:pPr>
    </w:lvl>
    <w:lvl w:ilvl="7">
      <w:numFmt w:val="bullet"/>
      <w:lvlText w:val="•"/>
      <w:lvlJc w:val="left"/>
      <w:pPr>
        <w:ind w:left="3344" w:hanging="367"/>
      </w:pPr>
    </w:lvl>
    <w:lvl w:ilvl="8">
      <w:numFmt w:val="bullet"/>
      <w:lvlText w:val="•"/>
      <w:lvlJc w:val="left"/>
      <w:pPr>
        <w:ind w:left="2978" w:hanging="367"/>
      </w:pPr>
    </w:lvl>
  </w:abstractNum>
  <w:abstractNum w:abstractNumId="1" w15:restartNumberingAfterBreak="0">
    <w:nsid w:val="00000405"/>
    <w:multiLevelType w:val="multilevel"/>
    <w:tmpl w:val="00000888"/>
    <w:lvl w:ilvl="0">
      <w:start w:val="1"/>
      <w:numFmt w:val="lowerLetter"/>
      <w:lvlText w:val="%1."/>
      <w:lvlJc w:val="left"/>
      <w:pPr>
        <w:ind w:left="908" w:hanging="367"/>
      </w:pPr>
      <w:rPr>
        <w:rFonts w:ascii="Garamond" w:hAnsi="Garamond" w:cs="Garamond"/>
        <w:b w:val="0"/>
        <w:bCs w:val="0"/>
        <w:color w:val="231F20"/>
        <w:w w:val="116"/>
        <w:sz w:val="20"/>
        <w:szCs w:val="20"/>
      </w:rPr>
    </w:lvl>
    <w:lvl w:ilvl="1">
      <w:numFmt w:val="bullet"/>
      <w:lvlText w:val="•"/>
      <w:lvlJc w:val="left"/>
      <w:pPr>
        <w:ind w:left="910" w:hanging="367"/>
      </w:pPr>
    </w:lvl>
    <w:lvl w:ilvl="2">
      <w:numFmt w:val="bullet"/>
      <w:lvlText w:val="•"/>
      <w:lvlJc w:val="left"/>
      <w:pPr>
        <w:ind w:left="921" w:hanging="367"/>
      </w:pPr>
    </w:lvl>
    <w:lvl w:ilvl="3">
      <w:numFmt w:val="bullet"/>
      <w:lvlText w:val="•"/>
      <w:lvlJc w:val="left"/>
      <w:pPr>
        <w:ind w:left="932" w:hanging="367"/>
      </w:pPr>
    </w:lvl>
    <w:lvl w:ilvl="4">
      <w:numFmt w:val="bullet"/>
      <w:lvlText w:val="•"/>
      <w:lvlJc w:val="left"/>
      <w:pPr>
        <w:ind w:left="943" w:hanging="367"/>
      </w:pPr>
    </w:lvl>
    <w:lvl w:ilvl="5">
      <w:numFmt w:val="bullet"/>
      <w:lvlText w:val="•"/>
      <w:lvlJc w:val="left"/>
      <w:pPr>
        <w:ind w:left="954" w:hanging="367"/>
      </w:pPr>
    </w:lvl>
    <w:lvl w:ilvl="6">
      <w:numFmt w:val="bullet"/>
      <w:lvlText w:val="•"/>
      <w:lvlJc w:val="left"/>
      <w:pPr>
        <w:ind w:left="964" w:hanging="367"/>
      </w:pPr>
    </w:lvl>
    <w:lvl w:ilvl="7">
      <w:numFmt w:val="bullet"/>
      <w:lvlText w:val="•"/>
      <w:lvlJc w:val="left"/>
      <w:pPr>
        <w:ind w:left="975" w:hanging="367"/>
      </w:pPr>
    </w:lvl>
    <w:lvl w:ilvl="8">
      <w:numFmt w:val="bullet"/>
      <w:lvlText w:val="•"/>
      <w:lvlJc w:val="left"/>
      <w:pPr>
        <w:ind w:left="986" w:hanging="367"/>
      </w:pPr>
    </w:lvl>
  </w:abstractNum>
  <w:abstractNum w:abstractNumId="2" w15:restartNumberingAfterBreak="0">
    <w:nsid w:val="019E3392"/>
    <w:multiLevelType w:val="hybridMultilevel"/>
    <w:tmpl w:val="39582D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511654"/>
    <w:multiLevelType w:val="hybridMultilevel"/>
    <w:tmpl w:val="7940186A"/>
    <w:lvl w:ilvl="0" w:tplc="04090015">
      <w:start w:val="1"/>
      <w:numFmt w:val="upperLetter"/>
      <w:lvlText w:val="%1."/>
      <w:lvlJc w:val="left"/>
      <w:pPr>
        <w:ind w:left="1080" w:hanging="360"/>
      </w:p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3E46C4"/>
    <w:multiLevelType w:val="hybridMultilevel"/>
    <w:tmpl w:val="70AAB706"/>
    <w:lvl w:ilvl="0" w:tplc="04090017">
      <w:start w:val="1"/>
      <w:numFmt w:val="lowerLetter"/>
      <w:lvlText w:val="%1)"/>
      <w:lvlJc w:val="left"/>
      <w:pPr>
        <w:ind w:left="720" w:hanging="360"/>
      </w:pPr>
      <w:rPr>
        <w:b w:val="0"/>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14645B"/>
    <w:multiLevelType w:val="hybridMultilevel"/>
    <w:tmpl w:val="CE6202AA"/>
    <w:lvl w:ilvl="0" w:tplc="04090017">
      <w:start w:val="1"/>
      <w:numFmt w:val="lowerLetter"/>
      <w:lvlText w:val="%1)"/>
      <w:lvlJc w:val="left"/>
      <w:pPr>
        <w:ind w:left="1440" w:hanging="360"/>
      </w:pPr>
      <w:rPr>
        <w:rFonts w:hint="default"/>
      </w:rPr>
    </w:lvl>
    <w:lvl w:ilvl="1" w:tplc="04090015">
      <w:start w:val="1"/>
      <w:numFmt w:val="upperLetter"/>
      <w:lvlText w:val="%2."/>
      <w:lvlJc w:val="left"/>
      <w:pPr>
        <w:ind w:left="243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0C20EC8"/>
    <w:multiLevelType w:val="hybridMultilevel"/>
    <w:tmpl w:val="7B446222"/>
    <w:lvl w:ilvl="0" w:tplc="0409000F">
      <w:start w:val="1"/>
      <w:numFmt w:val="decimal"/>
      <w:lvlText w:val="%1."/>
      <w:lvlJc w:val="left"/>
      <w:pPr>
        <w:ind w:left="360" w:hanging="360"/>
      </w:pPr>
      <w:rPr>
        <w:rFonts w:hint="default"/>
      </w:rPr>
    </w:lvl>
    <w:lvl w:ilvl="1" w:tplc="04090015">
      <w:start w:val="1"/>
      <w:numFmt w:val="upperLetter"/>
      <w:lvlText w:val="%2."/>
      <w:lvlJc w:val="left"/>
      <w:pPr>
        <w:ind w:left="135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A817A4F"/>
    <w:multiLevelType w:val="hybridMultilevel"/>
    <w:tmpl w:val="FFCCD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175067"/>
    <w:multiLevelType w:val="hybridMultilevel"/>
    <w:tmpl w:val="B436E7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7A933E4"/>
    <w:multiLevelType w:val="hybridMultilevel"/>
    <w:tmpl w:val="8306E74A"/>
    <w:lvl w:ilvl="0" w:tplc="0B74C2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B14DFA"/>
    <w:multiLevelType w:val="hybridMultilevel"/>
    <w:tmpl w:val="190E83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133932"/>
    <w:multiLevelType w:val="hybridMultilevel"/>
    <w:tmpl w:val="DF8475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0E5847"/>
    <w:multiLevelType w:val="hybridMultilevel"/>
    <w:tmpl w:val="EE98FB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0C4C2C"/>
    <w:multiLevelType w:val="hybridMultilevel"/>
    <w:tmpl w:val="389E75C0"/>
    <w:lvl w:ilvl="0" w:tplc="F3A6B21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B13120A"/>
    <w:multiLevelType w:val="hybridMultilevel"/>
    <w:tmpl w:val="715C41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F20153"/>
    <w:multiLevelType w:val="hybridMultilevel"/>
    <w:tmpl w:val="0244326E"/>
    <w:lvl w:ilvl="0" w:tplc="0409000F">
      <w:start w:val="1"/>
      <w:numFmt w:val="decimal"/>
      <w:lvlText w:val="%1."/>
      <w:lvlJc w:val="left"/>
      <w:pPr>
        <w:ind w:left="360" w:hanging="360"/>
      </w:pPr>
      <w:rPr>
        <w:rFonts w:hint="default"/>
      </w:rPr>
    </w:lvl>
    <w:lvl w:ilvl="1" w:tplc="04090017">
      <w:start w:val="1"/>
      <w:numFmt w:val="lowerLetter"/>
      <w:lvlText w:val="%2)"/>
      <w:lvlJc w:val="left"/>
      <w:pPr>
        <w:ind w:left="135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D8845D6"/>
    <w:multiLevelType w:val="hybridMultilevel"/>
    <w:tmpl w:val="E3BE7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CF7F00"/>
    <w:multiLevelType w:val="hybridMultilevel"/>
    <w:tmpl w:val="AAF862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6D6478"/>
    <w:multiLevelType w:val="hybridMultilevel"/>
    <w:tmpl w:val="7526D6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6B441E"/>
    <w:multiLevelType w:val="hybridMultilevel"/>
    <w:tmpl w:val="D19E2696"/>
    <w:lvl w:ilvl="0" w:tplc="0409000F">
      <w:start w:val="1"/>
      <w:numFmt w:val="decimal"/>
      <w:lvlText w:val="%1."/>
      <w:lvlJc w:val="left"/>
      <w:pPr>
        <w:ind w:left="360" w:hanging="360"/>
      </w:pPr>
      <w:rPr>
        <w:rFonts w:hint="default"/>
      </w:rPr>
    </w:lvl>
    <w:lvl w:ilvl="1" w:tplc="04090015">
      <w:start w:val="1"/>
      <w:numFmt w:val="upperLetter"/>
      <w:lvlText w:val="%2."/>
      <w:lvlJc w:val="left"/>
      <w:pPr>
        <w:ind w:left="135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3572D10"/>
    <w:multiLevelType w:val="hybridMultilevel"/>
    <w:tmpl w:val="18D618BE"/>
    <w:lvl w:ilvl="0" w:tplc="0409000F">
      <w:start w:val="1"/>
      <w:numFmt w:val="decimal"/>
      <w:lvlText w:val="%1."/>
      <w:lvlJc w:val="left"/>
      <w:pPr>
        <w:ind w:left="360" w:hanging="360"/>
      </w:pPr>
      <w:rPr>
        <w:rFonts w:hint="default"/>
      </w:rPr>
    </w:lvl>
    <w:lvl w:ilvl="1" w:tplc="04090015">
      <w:start w:val="1"/>
      <w:numFmt w:val="upperLetter"/>
      <w:lvlText w:val="%2."/>
      <w:lvlJc w:val="left"/>
      <w:pPr>
        <w:ind w:left="135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CAD3C95"/>
    <w:multiLevelType w:val="hybridMultilevel"/>
    <w:tmpl w:val="9FAC1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92267E"/>
    <w:multiLevelType w:val="hybridMultilevel"/>
    <w:tmpl w:val="EDC2E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4F79CE"/>
    <w:multiLevelType w:val="hybridMultilevel"/>
    <w:tmpl w:val="322E6048"/>
    <w:lvl w:ilvl="0" w:tplc="0409000F">
      <w:start w:val="1"/>
      <w:numFmt w:val="decimal"/>
      <w:lvlText w:val="%1."/>
      <w:lvlJc w:val="left"/>
      <w:pPr>
        <w:ind w:left="360" w:hanging="360"/>
      </w:pPr>
      <w:rPr>
        <w:rFonts w:hint="default"/>
      </w:rPr>
    </w:lvl>
    <w:lvl w:ilvl="1" w:tplc="04090017">
      <w:start w:val="1"/>
      <w:numFmt w:val="lowerLetter"/>
      <w:lvlText w:val="%2)"/>
      <w:lvlJc w:val="left"/>
      <w:pPr>
        <w:ind w:left="135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B0914DE"/>
    <w:multiLevelType w:val="hybridMultilevel"/>
    <w:tmpl w:val="5510D1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6F1B4A"/>
    <w:multiLevelType w:val="hybridMultilevel"/>
    <w:tmpl w:val="57D4F7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39B4DF5"/>
    <w:multiLevelType w:val="hybridMultilevel"/>
    <w:tmpl w:val="CF521B80"/>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7" w15:restartNumberingAfterBreak="0">
    <w:nsid w:val="77677A74"/>
    <w:multiLevelType w:val="hybridMultilevel"/>
    <w:tmpl w:val="4ACA86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D21450"/>
    <w:multiLevelType w:val="hybridMultilevel"/>
    <w:tmpl w:val="CFC8E73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FCF0758"/>
    <w:multiLevelType w:val="hybridMultilevel"/>
    <w:tmpl w:val="CB086A6E"/>
    <w:lvl w:ilvl="0" w:tplc="879269F8">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29"/>
  </w:num>
  <w:num w:numId="4">
    <w:abstractNumId w:val="9"/>
  </w:num>
  <w:num w:numId="5">
    <w:abstractNumId w:val="27"/>
  </w:num>
  <w:num w:numId="6">
    <w:abstractNumId w:val="13"/>
  </w:num>
  <w:num w:numId="7">
    <w:abstractNumId w:val="25"/>
  </w:num>
  <w:num w:numId="8">
    <w:abstractNumId w:val="20"/>
  </w:num>
  <w:num w:numId="9">
    <w:abstractNumId w:val="14"/>
  </w:num>
  <w:num w:numId="10">
    <w:abstractNumId w:val="5"/>
  </w:num>
  <w:num w:numId="11">
    <w:abstractNumId w:val="10"/>
  </w:num>
  <w:num w:numId="12">
    <w:abstractNumId w:val="8"/>
  </w:num>
  <w:num w:numId="13">
    <w:abstractNumId w:val="19"/>
  </w:num>
  <w:num w:numId="14">
    <w:abstractNumId w:val="18"/>
  </w:num>
  <w:num w:numId="15">
    <w:abstractNumId w:val="6"/>
  </w:num>
  <w:num w:numId="16">
    <w:abstractNumId w:val="17"/>
  </w:num>
  <w:num w:numId="17">
    <w:abstractNumId w:val="7"/>
  </w:num>
  <w:num w:numId="18">
    <w:abstractNumId w:val="0"/>
  </w:num>
  <w:num w:numId="19">
    <w:abstractNumId w:val="1"/>
  </w:num>
  <w:num w:numId="20">
    <w:abstractNumId w:val="11"/>
  </w:num>
  <w:num w:numId="21">
    <w:abstractNumId w:val="12"/>
  </w:num>
  <w:num w:numId="22">
    <w:abstractNumId w:val="15"/>
  </w:num>
  <w:num w:numId="23">
    <w:abstractNumId w:val="24"/>
  </w:num>
  <w:num w:numId="24">
    <w:abstractNumId w:val="2"/>
  </w:num>
  <w:num w:numId="25">
    <w:abstractNumId w:val="26"/>
  </w:num>
  <w:num w:numId="26">
    <w:abstractNumId w:val="21"/>
  </w:num>
  <w:num w:numId="27">
    <w:abstractNumId w:val="16"/>
  </w:num>
  <w:num w:numId="28">
    <w:abstractNumId w:val="23"/>
  </w:num>
  <w:num w:numId="29">
    <w:abstractNumId w:val="22"/>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7C"/>
    <w:rsid w:val="00157C31"/>
    <w:rsid w:val="002D6E59"/>
    <w:rsid w:val="002F75A8"/>
    <w:rsid w:val="003E6DD0"/>
    <w:rsid w:val="004502B4"/>
    <w:rsid w:val="004B267D"/>
    <w:rsid w:val="00654673"/>
    <w:rsid w:val="007C2750"/>
    <w:rsid w:val="007E47E0"/>
    <w:rsid w:val="0081378F"/>
    <w:rsid w:val="0098436C"/>
    <w:rsid w:val="009D077C"/>
    <w:rsid w:val="00A8428A"/>
    <w:rsid w:val="00B61EA6"/>
    <w:rsid w:val="00BB7251"/>
    <w:rsid w:val="00C76514"/>
    <w:rsid w:val="00FB4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F3B748"/>
  <w15:docId w15:val="{15A72E1E-D80E-4B21-99C6-80FA42049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9D077C"/>
    <w:pPr>
      <w:ind w:left="720"/>
      <w:contextualSpacing/>
    </w:pPr>
  </w:style>
  <w:style w:type="table" w:styleId="TableGrid">
    <w:name w:val="Table Grid"/>
    <w:basedOn w:val="TableNormal"/>
    <w:uiPriority w:val="39"/>
    <w:rsid w:val="009D07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7C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7C31"/>
  </w:style>
  <w:style w:type="paragraph" w:styleId="Footer">
    <w:name w:val="footer"/>
    <w:basedOn w:val="Normal"/>
    <w:link w:val="FooterChar"/>
    <w:uiPriority w:val="99"/>
    <w:unhideWhenUsed/>
    <w:rsid w:val="00157C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7C31"/>
  </w:style>
  <w:style w:type="paragraph" w:styleId="BalloonText">
    <w:name w:val="Balloon Text"/>
    <w:basedOn w:val="Normal"/>
    <w:link w:val="BalloonTextChar"/>
    <w:uiPriority w:val="99"/>
    <w:semiHidden/>
    <w:unhideWhenUsed/>
    <w:rsid w:val="007C27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7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2321</Words>
  <Characters>13234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Redko</dc:creator>
  <cp:keywords/>
  <dc:description/>
  <cp:lastModifiedBy>Gross, Jonathan A</cp:lastModifiedBy>
  <cp:revision>2</cp:revision>
  <dcterms:created xsi:type="dcterms:W3CDTF">2017-05-10T20:53:00Z</dcterms:created>
  <dcterms:modified xsi:type="dcterms:W3CDTF">2017-05-10T20:53:00Z</dcterms:modified>
</cp:coreProperties>
</file>